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A1A2E"/>
          <w:sz w:val="48"/>
          <w:szCs w:val="48"/>
        </w:rPr>
        <w:t xml:space="preserve">MARKET AGENT</w:t>
      </w:r>
    </w:p>
    <w:p>
      <w:pPr>
        <w:spacing w:after="200"/>
        <w:jc w:val="center"/>
      </w:pPr>
      <w:r>
        <w:rPr>
          <w:rFonts w:ascii="Arial" w:cs="Arial" w:eastAsia="Arial" w:hAnsi="Arial"/>
          <w:color w:val="2E4057"/>
          <w:sz w:val="36"/>
          <w:szCs w:val="36"/>
        </w:rPr>
        <w:t xml:space="preserve">Aggressive Production Plan</w:t>
      </w:r>
    </w:p>
    <w:p>
      <w:pPr>
        <w:spacing w:after="100"/>
        <w:jc w:val="center"/>
      </w:pPr>
      <w:r>
        <w:rPr>
          <w:rFonts w:ascii="Arial" w:cs="Arial" w:eastAsia="Arial" w:hAnsi="Arial"/>
          <w:b/>
          <w:bCs/>
          <w:color w:val="CC0000"/>
          <w:sz w:val="22"/>
          <w:szCs w:val="22"/>
        </w:rPr>
        <w:t xml:space="preserve">v3 — Data-Driven, AI-Speed</w:t>
      </w:r>
    </w:p>
    <w:p>
      <w:pPr>
        <w:spacing w:after="200"/>
        <w:jc w:val="center"/>
      </w:pPr>
      <w:r>
        <w:rPr>
          <w:rFonts w:ascii="Arial" w:cs="Arial" w:eastAsia="Arial" w:hAnsi="Arial"/>
          <w:color w:val="666666"/>
          <w:sz w:val="22"/>
          <w:szCs w:val="22"/>
        </w:rPr>
        <w:t xml:space="preserve">April 1, 2026</w:t>
      </w:r>
    </w:p>
    <w:p>
      <w:pPr>
        <w:spacing w:after="600"/>
        <w:jc w:val="center"/>
      </w:pPr>
      <w:r>
        <w:rPr>
          <w:rFonts w:ascii="Arial" w:cs="Arial" w:eastAsia="Arial" w:hAnsi="Arial"/>
          <w:color w:val="999999"/>
          <w:sz w:val="20"/>
          <w:szCs w:val="20"/>
        </w:rPr>
        <w:t xml:space="preserve">Classification: Internal — Engineering &amp;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4FD" w:val="clear"/>
            <w:tcMar>
              <w:top w:type="dxa" w:w="120"/>
              <w:left w:type="dxa" w:w="200"/>
              <w:bottom w:type="dxa" w:w="120"/>
              <w:right w:type="dxa" w:w="200"/>
            </w:tcMar>
          </w:tcPr>
          <w:p>
            <w:pPr>
              <w:spacing w:after="160"/>
            </w:pPr>
            <w:r>
              <w:rPr>
                <w:rFonts w:ascii="Arial" w:cs="Arial" w:eastAsia="Arial" w:hAnsi="Arial"/>
                <w:b/>
                <w:bCs/>
                <w:sz w:val="22"/>
                <w:szCs w:val="22"/>
              </w:rPr>
              <w:t xml:space="preserve">PLAN EVOLUTION</w:t>
            </w:r>
          </w:p>
          <w:p>
            <w:pPr>
              <w:spacing w:after="160"/>
            </w:pPr>
            <w:r>
              <w:rPr>
                <w:rFonts w:ascii="Arial" w:cs="Arial" w:eastAsia="Arial" w:hAnsi="Arial"/>
                <w:b/>
                <w:bCs/>
                <w:sz w:val="22"/>
                <w:szCs w:val="22"/>
              </w:rPr>
              <w:t xml:space="preserve">v1 (March 31): </w:t>
            </w:r>
            <w:r>
              <w:rPr>
                <w:rFonts w:ascii="Arial" w:cs="Arial" w:eastAsia="Arial" w:hAnsi="Arial"/>
                <w:sz w:val="22"/>
                <w:szCs w:val="22"/>
              </w:rPr>
              <w:t xml:space="preserve">10-week plan. Assumed human engineering velocity and 14-day data accumulation gate.</w:t>
            </w:r>
          </w:p>
          <w:p>
            <w:pPr>
              <w:spacing w:after="160"/>
            </w:pPr>
            <w:r>
              <w:rPr>
                <w:rFonts w:ascii="Arial" w:cs="Arial" w:eastAsia="Arial" w:hAnsi="Arial"/>
                <w:b/>
                <w:bCs/>
                <w:sz w:val="22"/>
                <w:szCs w:val="22"/>
              </w:rPr>
              <w:t xml:space="preserve">v2 (April 1 AM): </w:t>
            </w:r>
            <w:r>
              <w:rPr>
                <w:rFonts w:ascii="Arial" w:cs="Arial" w:eastAsia="Arial" w:hAnsi="Arial"/>
                <w:sz w:val="22"/>
                <w:szCs w:val="22"/>
              </w:rPr>
              <w:t xml:space="preserve">7-week plan. Historical backfill eliminates data gate. Hummingbot learnings integrated.</w:t>
            </w:r>
          </w:p>
          <w:p>
            <w:pPr>
              <w:spacing w:after="160"/>
            </w:pPr>
            <w:r>
              <w:rPr>
                <w:rFonts w:ascii="Arial" w:cs="Arial" w:eastAsia="Arial" w:hAnsi="Arial"/>
                <w:b/>
                <w:bCs/>
                <w:sz w:val="22"/>
                <w:szCs w:val="22"/>
              </w:rPr>
              <w:t xml:space="preserve">v3 (April 1 PM): </w:t>
            </w:r>
            <w:r>
              <w:rPr>
                <w:rFonts w:ascii="Arial" w:cs="Arial" w:eastAsia="Arial" w:hAnsi="Arial"/>
                <w:sz w:val="22"/>
                <w:szCs w:val="22"/>
              </w:rPr>
              <w:t xml:space="preserve">5-week plan. Real backtest results drive strategy. AI-speed engineering reframes the timeline around the actual bottleneck: market exposure, not coding. Directional signals replace arb as the lead candidate.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C02" w:sz="6"/>
              <w:left w:val="single" w:color="FFCC02" w:sz="6"/>
              <w:bottom w:val="single" w:color="FFCC02" w:sz="6"/>
              <w:right w:val="single" w:color="FFCC02" w:sz="6"/>
            </w:tcBorders>
            <w:shd w:fill="FFF3CD" w:val="clear"/>
            <w:tcMar>
              <w:top w:type="dxa" w:w="120"/>
              <w:left w:type="dxa" w:w="200"/>
              <w:bottom w:type="dxa" w:w="120"/>
              <w:right w:type="dxa" w:w="200"/>
            </w:tcMar>
          </w:tcPr>
          <w:p>
            <w:pPr>
              <w:spacing w:after="160"/>
            </w:pPr>
            <w:r>
              <w:rPr>
                <w:rFonts w:ascii="Arial" w:cs="Arial" w:eastAsia="Arial" w:hAnsi="Arial"/>
                <w:b/>
                <w:bCs/>
                <w:sz w:val="22"/>
                <w:szCs w:val="22"/>
              </w:rPr>
              <w:t xml:space="preserve">KEY INSIGHT: </w:t>
            </w:r>
            <w:r>
              <w:rPr>
                <w:rFonts w:ascii="Arial" w:cs="Arial" w:eastAsia="Arial" w:hAnsi="Arial"/>
                <w:sz w:val="22"/>
                <w:szCs w:val="22"/>
              </w:rPr>
              <w:t xml:space="preserve">All coding work across all three phases took less than one day. The backfill pipeline, backtesting harness, data load, and first backtest run — work that v2 allocated to Weeks 1–2 — were completed in a single session. The engineering is not the bottleneck. The bottleneck is validation time (running experiments, reviewing results) and market exposure time (paper trading needs diverse real-world conditions).</w:t>
            </w:r>
          </w:p>
        </w:tc>
      </w:tr>
    </w:tbl>
    <w:p>
      <w:r>
        <w:br w:type="page"/>
      </w:r>
    </w:p>
    <w:p>
      <w:pPr>
        <w:pStyle w:val="Heading1"/>
        <w:spacing w:after="200" w:before="360"/>
      </w:pPr>
      <w:r>
        <w:rPr>
          <w:rFonts w:ascii="Arial" w:cs="Arial" w:eastAsia="Arial" w:hAnsi="Arial"/>
          <w:b/>
          <w:bCs/>
          <w:color w:val="1A1A2E"/>
          <w:sz w:val="32"/>
          <w:szCs w:val="32"/>
        </w:rPr>
        <w:t xml:space="preserve">Executive Summary</w:t>
      </w:r>
    </w:p>
    <w:p>
      <w:pPr>
        <w:spacing w:after="160"/>
      </w:pPr>
      <w:r>
        <w:rPr>
          <w:rFonts w:ascii="Arial" w:cs="Arial" w:eastAsia="Arial" w:hAnsi="Arial"/>
          <w:sz w:val="22"/>
          <w:szCs w:val="22"/>
        </w:rPr>
        <w:t xml:space="preserve">Market Agent and Sentinel are one system. Sentinel generates proprietary risk intelligence. Market Agent acts on it. The strategic imperative is to compress the path from intelligence-only (Phase 1) to paper trading with Sentinel verification (Phase 3) as fast as possible without skipping signal validation.</w:t>
      </w:r>
    </w:p>
    <w:p>
      <w:pPr>
        <w:spacing w:after="160"/>
      </w:pPr>
      <w:r>
        <w:rPr>
          <w:rFonts w:ascii="Arial" w:cs="Arial" w:eastAsia="Arial" w:hAnsi="Arial"/>
          <w:b/>
          <w:bCs/>
          <w:sz w:val="22"/>
          <w:szCs w:val="22"/>
        </w:rPr>
        <w:t xml:space="preserve">What’s different in v3: </w:t>
      </w:r>
      <w:r>
        <w:rPr>
          <w:rFonts w:ascii="Arial" w:cs="Arial" w:eastAsia="Arial" w:hAnsi="Arial"/>
          <w:sz w:val="22"/>
          <w:szCs w:val="22"/>
        </w:rPr>
        <w:t xml:space="preserve">This plan is built on real data, not projections. The historical backfill pipeline loaded 90 days of data across four sources (Coinbase, CoinGecko, FRED, Aerodrome). The backtesting harness ran the full signal engine against that data with Triple Barrier exit modeling. The results are in, and they change the strategy.</w:t>
      </w:r>
    </w:p>
    <w:p>
      <w:pPr>
        <w:pStyle w:val="Heading2"/>
        <w:spacing w:after="160" w:before="280"/>
      </w:pPr>
      <w:r>
        <w:rPr>
          <w:rFonts w:ascii="Arial" w:cs="Arial" w:eastAsia="Arial" w:hAnsi="Arial"/>
          <w:b/>
          <w:bCs/>
          <w:color w:val="2E4057"/>
          <w:sz w:val="26"/>
          <w:szCs w:val="26"/>
        </w:rPr>
        <w:t xml:space="preserve">Backtest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1200"/>
        <w:gridCol w:w="1360"/>
      </w:tblGrid>
      <w:tr>
        <w:tc>
          <w:tcPr>
            <w:tcW w:type="dxa" w:w="20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12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Trades</w:t>
            </w:r>
          </w:p>
        </w:tc>
        <w:tc>
          <w:tcPr>
            <w:tcW w:type="dxa" w:w="12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Hit Rate</w:t>
            </w:r>
          </w:p>
        </w:tc>
        <w:tc>
          <w:tcPr>
            <w:tcW w:type="dxa" w:w="12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Avg P&amp;L</w:t>
            </w:r>
          </w:p>
        </w:tc>
        <w:tc>
          <w:tcPr>
            <w:tcW w:type="dxa" w:w="12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Sharpe</w:t>
            </w:r>
          </w:p>
        </w:tc>
        <w:tc>
          <w:tcPr>
            <w:tcW w:type="dxa" w:w="12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Profit F.</w:t>
            </w:r>
          </w:p>
        </w:tc>
        <w:tc>
          <w:tcPr>
            <w:tcW w:type="dxa" w:w="136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Verdict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Arb: cbBTC/USDC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1,361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-87.7 bps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0.04</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2"/>
                <w:szCs w:val="22"/>
              </w:rPr>
              <w:t xml:space="preserve">FAIL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Arb: ETH/USDC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2,147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-91.6 bps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-19.89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0.04</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2"/>
                <w:szCs w:val="22"/>
              </w:rPr>
              <w:t xml:space="preserve">FAIL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 cbBTC/USDC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-27.4 bps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0.51</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00"/>
                <w:sz w:val="20"/>
                <w:szCs w:val="20"/>
              </w:rPr>
              <w:t xml:space="preserve">CLOSE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 ETH/USDC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-18.3 bps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0.56</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00"/>
                <w:sz w:val="20"/>
                <w:szCs w:val="20"/>
              </w:rPr>
              <w:t xml:space="preserve">CLOSEST</w:t>
            </w:r>
          </w:p>
        </w:tc>
      </w:tr>
    </w:tbl>
    <w:p>
      <w:pPr>
        <w:spacing w:after="200"/>
      </w:pPr>
    </w:p>
    <w:p>
      <w:pPr>
        <w:pStyle w:val="Heading2"/>
        <w:spacing w:after="160" w:before="280"/>
      </w:pPr>
      <w:r>
        <w:rPr>
          <w:rFonts w:ascii="Arial" w:cs="Arial" w:eastAsia="Arial" w:hAnsi="Arial"/>
          <w:b/>
          <w:bCs/>
          <w:color w:val="2E4057"/>
          <w:sz w:val="26"/>
          <w:szCs w:val="26"/>
        </w:rPr>
        <w:t xml:space="preserve">Strategic Pivot: Directional-First</w:t>
      </w:r>
    </w:p>
    <w:p>
      <w:pPr>
        <w:spacing w:after="160"/>
      </w:pPr>
      <w:r>
        <w:rPr>
          <w:rFonts w:ascii="Arial" w:cs="Arial" w:eastAsia="Arial" w:hAnsi="Arial"/>
          <w:sz w:val="22"/>
          <w:szCs w:val="22"/>
        </w:rPr>
        <w:t xml:space="preserve">v1 and v2 assumed the arb signal would graduate first. The data says otherwise. Round-trip fees on Aerodrome + Coinbase are ~93bps, and spreads almost never exceed that threshold on a low-latency L2 like Base. This confirms what Hummingbot’s community found: pure CEX/DEX arbitrage on fast L2s is effectively the domain of HFT infrastructure. Retail-speed execution can’t compete.</w:t>
      </w:r>
    </w:p>
    <w:p>
      <w:pPr>
        <w:spacing w:after="160"/>
      </w:pPr>
      <w:r>
        <w:rPr>
          <w:rFonts w:ascii="Arial" w:cs="Arial" w:eastAsia="Arial" w:hAnsi="Arial"/>
          <w:sz w:val="22"/>
          <w:szCs w:val="22"/>
        </w:rPr>
        <w:t xml:space="preserve">The directional signals are the real opportunity. ETH/USDC hit 38.2% — just under the 40% graduation threshold — but 97% of exits are hitting the time limit, not the stop loss or take profit. The barriers are miscalibrated, not the thesis. Extending the time limit from 4 hours to 12–24 hours and widening take profit to 3–5% should push performance past graduation criteria. This is a parameter tuning problem, not a fundamental signal problem.</w:t>
      </w:r>
    </w:p>
    <w:p>
      <w:pPr>
        <w:pStyle w:val="Heading2"/>
        <w:spacing w:after="160" w:before="280"/>
      </w:pPr>
      <w:r>
        <w:rPr>
          <w:rFonts w:ascii="Arial" w:cs="Arial" w:eastAsia="Arial" w:hAnsi="Arial"/>
          <w:b/>
          <w:bCs/>
          <w:color w:val="2E4057"/>
          <w:sz w:val="26"/>
          <w:szCs w:val="26"/>
        </w:rPr>
        <w:t xml:space="preserve">Timeline: 5 Weeks to Phase 3 Checkpoint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1960"/>
      </w:tblGrid>
      <w:tr>
        <w:tc>
          <w:tcPr>
            <w:tcW w:type="dxa" w:w="14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4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v1</w:t>
            </w:r>
          </w:p>
        </w:tc>
        <w:tc>
          <w:tcPr>
            <w:tcW w:type="dxa" w:w="14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v2</w:t>
            </w:r>
          </w:p>
        </w:tc>
        <w:tc>
          <w:tcPr>
            <w:tcW w:type="dxa" w:w="14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v3</w:t>
            </w:r>
          </w:p>
        </w:tc>
        <w:tc>
          <w:tcPr>
            <w:tcW w:type="dxa" w:w="14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w:t>
            </w:r>
          </w:p>
        </w:tc>
        <w:tc>
          <w:tcPr>
            <w:tcW w:type="dxa" w:w="196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Changed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weeks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week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8A745"/>
                <w:sz w:val="22"/>
                <w:szCs w:val="22"/>
              </w:rPr>
              <w:t xml:space="preserve">Done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 in hours, not weeks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weeks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weeks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8A745"/>
                <w:sz w:val="22"/>
                <w:szCs w:val="22"/>
              </w:rPr>
              <w:t xml:space="preserve">1 week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Backtest infra done. Iteration + your review.</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weeks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weeks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8A745"/>
                <w:sz w:val="22"/>
                <w:szCs w:val="22"/>
              </w:rPr>
              <w:t xml:space="preserve">3 weeks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Irreducible. Need diverse real conditions.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Total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10 weeks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7 weeks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2"/>
                <w:szCs w:val="22"/>
              </w:rPr>
              <w:t xml:space="preserve">~5 weeks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50% reduction from v1</w:t>
            </w:r>
          </w:p>
        </w:tc>
      </w:tr>
    </w:tbl>
    <w:p>
      <w:pPr>
        <w:spacing w:after="200"/>
      </w:pPr>
    </w:p>
    <w:p>
      <w:r>
        <w:br w:type="page"/>
      </w:r>
    </w:p>
    <w:p>
      <w:pPr>
        <w:pStyle w:val="Heading1"/>
        <w:spacing w:after="200" w:before="360"/>
      </w:pPr>
      <w:r>
        <w:rPr>
          <w:rFonts w:ascii="Arial" w:cs="Arial" w:eastAsia="Arial" w:hAnsi="Arial"/>
          <w:b/>
          <w:bCs/>
          <w:color w:val="1A1A2E"/>
          <w:sz w:val="32"/>
          <w:szCs w:val="32"/>
        </w:rPr>
        <w:t xml:space="preserve">The Two-Track Model</w:t>
      </w:r>
    </w:p>
    <w:p>
      <w:pPr>
        <w:spacing w:after="160"/>
      </w:pPr>
      <w:r>
        <w:rPr>
          <w:rFonts w:ascii="Arial" w:cs="Arial" w:eastAsia="Arial" w:hAnsi="Arial"/>
          <w:sz w:val="22"/>
          <w:szCs w:val="22"/>
        </w:rPr>
        <w:t xml:space="preserve">v1 and v2 used a sequential week-by-week structure inherited from human engineering cadences. v3 replaces this with two parallel tracks that reflect how the work actually happens:</w:t>
      </w:r>
    </w:p>
    <w:p>
      <w:pPr>
        <w:pStyle w:val="Heading2"/>
        <w:spacing w:after="160" w:before="280"/>
      </w:pPr>
      <w:r>
        <w:rPr>
          <w:rFonts w:ascii="Arial" w:cs="Arial" w:eastAsia="Arial" w:hAnsi="Arial"/>
          <w:b/>
          <w:bCs/>
          <w:color w:val="2E4057"/>
          <w:sz w:val="26"/>
          <w:szCs w:val="26"/>
        </w:rPr>
        <w:t xml:space="preserve">Build Track (AI-Speed, Measured in Days)</w:t>
      </w:r>
    </w:p>
    <w:p>
      <w:pPr>
        <w:spacing w:after="160"/>
      </w:pPr>
      <w:r>
        <w:rPr>
          <w:rFonts w:ascii="Arial" w:cs="Arial" w:eastAsia="Arial" w:hAnsi="Arial"/>
          <w:sz w:val="22"/>
          <w:szCs w:val="22"/>
        </w:rPr>
        <w:t xml:space="preserve">All coding, infrastructure, and tooling work. Claude Code handles implementation. Opus handles strategy and document generation. Your role: review, approve, redirect. This track is fast and bursty — most tasks complete in hours, with gaps for your review between sprints.</w:t>
      </w:r>
    </w:p>
    <w:p>
      <w:pPr>
        <w:pStyle w:val="Heading2"/>
        <w:spacing w:after="160" w:before="280"/>
      </w:pPr>
      <w:r>
        <w:rPr>
          <w:rFonts w:ascii="Arial" w:cs="Arial" w:eastAsia="Arial" w:hAnsi="Arial"/>
          <w:b/>
          <w:bCs/>
          <w:color w:val="2E4057"/>
          <w:sz w:val="26"/>
          <w:szCs w:val="26"/>
        </w:rPr>
        <w:t xml:space="preserve">Validation Track (Calendar-Speed, Measured in Weeks)</w:t>
      </w:r>
    </w:p>
    <w:p>
      <w:pPr>
        <w:spacing w:after="160"/>
      </w:pPr>
      <w:r>
        <w:rPr>
          <w:rFonts w:ascii="Arial" w:cs="Arial" w:eastAsia="Arial" w:hAnsi="Arial"/>
          <w:sz w:val="22"/>
          <w:szCs w:val="22"/>
        </w:rPr>
        <w:t xml:space="preserve">All market exposure, parameter optimization experiments, Sentinel integration testing, and paper trading. This track cannot be compressed below a floor set by real-world constraints: you need enough diverse market days to trust the results, and Sentinel needs to process real x402 transactions to prove the integration works.</w:t>
      </w:r>
    </w:p>
    <w:p>
      <w:pPr>
        <w:spacing w:after="160"/>
      </w:pPr>
      <w:r>
        <w:rPr>
          <w:rFonts w:ascii="Arial" w:cs="Arial" w:eastAsia="Arial" w:hAnsi="Arial"/>
          <w:b/>
          <w:bCs/>
          <w:sz w:val="22"/>
          <w:szCs w:val="22"/>
        </w:rPr>
        <w:t xml:space="preserve">The tracks run in parallel. </w:t>
      </w:r>
      <w:r>
        <w:rPr>
          <w:rFonts w:ascii="Arial" w:cs="Arial" w:eastAsia="Arial" w:hAnsi="Arial"/>
          <w:sz w:val="22"/>
          <w:szCs w:val="22"/>
        </w:rPr>
        <w:t xml:space="preserve">While paper trading runs in Phase 3 (calendar track), Claude Code can be building Phase 4 infrastructure, optimizing dashboard visualizations, or implementing the Briefing-as-a-Service revenue stream (build track). Dead time on one track is productive time on the other.</w:t>
      </w:r>
    </w:p>
    <w:p>
      <w:r>
        <w:br w:type="page"/>
      </w:r>
    </w:p>
    <w:p>
      <w:pPr>
        <w:pStyle w:val="Heading1"/>
        <w:spacing w:after="200" w:before="360"/>
      </w:pPr>
      <w:r>
        <w:rPr>
          <w:rFonts w:ascii="Arial" w:cs="Arial" w:eastAsia="Arial" w:hAnsi="Arial"/>
          <w:b/>
          <w:bCs/>
          <w:color w:val="1A1A2E"/>
          <w:sz w:val="32"/>
          <w:szCs w:val="32"/>
        </w:rPr>
        <w:t xml:space="preserve">Phase 1: Intelligence Layer —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6"/>
              <w:left w:val="single" w:color="28A745" w:sz="6"/>
              <w:bottom w:val="single" w:color="28A745" w:sz="6"/>
              <w:right w:val="single" w:color="28A745" w:sz="6"/>
            </w:tcBorders>
            <w:shd w:fill="D4EDDA" w:val="clear"/>
            <w:tcMar>
              <w:top w:type="dxa" w:w="120"/>
              <w:left w:type="dxa" w:w="200"/>
              <w:bottom w:type="dxa" w:w="120"/>
              <w:right w:type="dxa" w:w="200"/>
            </w:tcMar>
          </w:tcPr>
          <w:p>
            <w:pPr>
              <w:spacing w:after="160"/>
            </w:pPr>
            <w:r>
              <w:rPr>
                <w:rFonts w:ascii="Arial" w:cs="Arial" w:eastAsia="Arial" w:hAnsi="Arial"/>
                <w:b/>
                <w:bCs/>
                <w:color w:val="28A745"/>
                <w:sz w:val="22"/>
                <w:szCs w:val="22"/>
              </w:rPr>
              <w:t xml:space="preserve">STATUS: COMPLETE</w:t>
            </w:r>
            <w:r>
              <w:rPr>
                <w:rFonts w:ascii="Arial" w:cs="Arial" w:eastAsia="Arial" w:hAnsi="Arial"/>
                <w:sz w:val="22"/>
                <w:szCs w:val="22"/>
              </w:rPr>
              <w:t xml:space="preserve"> as of April 1, 2026.</w:t>
            </w:r>
          </w:p>
          <w:p>
            <w:pPr>
              <w:spacing w:after="160"/>
            </w:pPr>
            <w:r>
              <w:rPr>
                <w:rFonts w:ascii="Arial" w:cs="Arial" w:eastAsia="Arial" w:hAnsi="Arial"/>
                <w:sz w:val="22"/>
                <w:szCs w:val="22"/>
              </w:rPr>
              <w:t xml:space="preserve">Raw data persistence (migration v4): live. Historical backfill pipeline: built, loaded 90 days across 4 sources. Backtesting harness with Triple Barrier: built, first results in. All 7 data sources operational. API cost tracking wired in.</w:t>
            </w:r>
          </w:p>
        </w:tc>
      </w:tr>
    </w:tbl>
    <w:p>
      <w:pPr>
        <w:spacing w:after="160"/>
      </w:pPr>
      <w:r>
        <w:rPr>
          <w:rFonts w:ascii="Arial" w:cs="Arial" w:eastAsia="Arial" w:hAnsi="Arial"/>
          <w:sz w:val="22"/>
          <w:szCs w:val="22"/>
        </w:rPr>
        <w:t xml:space="preserve">Phase 1 was estimated at 2 weeks in v1, 1 week in v2, and completed in less than 1 day. The infrastructure that makes everything else possible — data persistence, historical backfill, backtesting — is done.</w:t>
      </w:r>
    </w:p>
    <w:p>
      <w:pPr>
        <w:pStyle w:val="Heading2"/>
        <w:spacing w:after="160" w:before="280"/>
      </w:pPr>
      <w:r>
        <w:rPr>
          <w:rFonts w:ascii="Arial" w:cs="Arial" w:eastAsia="Arial" w:hAnsi="Arial"/>
          <w:b/>
          <w:bCs/>
          <w:color w:val="2E4057"/>
          <w:sz w:val="26"/>
          <w:szCs w:val="26"/>
        </w:rPr>
        <w:t xml:space="preserve">What Was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436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20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Build 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data persistence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tables live: ingestion_snapshots, arb_observations, api_costs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minutes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 backfill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files in src/backfill/. 4 sources loaded. 9,000+ rows in Postgres.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hours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Backtesting harness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files in src/backtest/. Triple Barrier, fee model, metrics, graduation check.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hours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backtest run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Arb + directional signals tested. Results in backtest_results table.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minutes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Total Phase 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All infrastructure complete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&lt; 1 day</w:t>
            </w:r>
          </w:p>
        </w:tc>
      </w:tr>
    </w:tbl>
    <w:p>
      <w:pPr>
        <w:spacing w:after="200"/>
      </w:pPr>
    </w:p>
    <w:p>
      <w:pPr>
        <w:pStyle w:val="Heading2"/>
        <w:spacing w:after="160" w:before="280"/>
      </w:pPr>
      <w:r>
        <w:rPr>
          <w:rFonts w:ascii="Arial" w:cs="Arial" w:eastAsia="Arial" w:hAnsi="Arial"/>
          <w:b/>
          <w:bCs/>
          <w:color w:val="2E4057"/>
          <w:sz w:val="26"/>
          <w:szCs w:val="26"/>
        </w:rPr>
        <w:t xml:space="preserve">Historical Data Loaded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1800"/>
        <w:gridCol w:w="2360"/>
      </w:tblGrid>
      <w:tr>
        <w:tc>
          <w:tcPr>
            <w:tcW w:type="dxa" w:w="18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2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Data</w:t>
            </w:r>
          </w:p>
        </w:tc>
        <w:tc>
          <w:tcPr>
            <w:tcW w:type="dxa" w:w="12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Rows</w:t>
            </w:r>
          </w:p>
        </w:tc>
        <w:tc>
          <w:tcPr>
            <w:tcW w:type="dxa" w:w="18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Granularity</w:t>
            </w:r>
          </w:p>
        </w:tc>
        <w:tc>
          <w:tcPr>
            <w:tcW w:type="dxa" w:w="236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Range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Coinbase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cbBTC, ETH candles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Hourly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 1 – Apr 1, 2026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CoinGecko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cbBTC, ETH, AERO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6,483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Hourly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 1 – Apr 1, 2026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Aerodrome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pools (via Graph)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 2 – Apr 1, 2026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macro series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months</w:t>
            </w:r>
          </w:p>
        </w:tc>
      </w:tr>
    </w:tbl>
    <w:p>
      <w:pPr>
        <w:spacing w:after="200"/>
      </w:pPr>
    </w:p>
    <w:p>
      <w:r>
        <w:br w:type="page"/>
      </w:r>
    </w:p>
    <w:p>
      <w:pPr>
        <w:pStyle w:val="Heading1"/>
        <w:spacing w:after="200" w:before="360"/>
      </w:pPr>
      <w:r>
        <w:rPr>
          <w:rFonts w:ascii="Arial" w:cs="Arial" w:eastAsia="Arial" w:hAnsi="Arial"/>
          <w:b/>
          <w:bCs/>
          <w:color w:val="1A1A2E"/>
          <w:sz w:val="32"/>
          <w:szCs w:val="32"/>
        </w:rPr>
        <w:t xml:space="preserve">Phase 2: Backtest Optimization — Week 1 (April 2–8)</w:t>
      </w:r>
    </w:p>
    <w:p>
      <w:pPr>
        <w:spacing w:after="160"/>
      </w:pPr>
      <w:r>
        <w:rPr>
          <w:rFonts w:ascii="Arial" w:cs="Arial" w:eastAsia="Arial" w:hAnsi="Arial"/>
          <w:sz w:val="22"/>
          <w:szCs w:val="22"/>
        </w:rPr>
        <w:t xml:space="preserve">Phase 2 is no longer “build the backtesting engine” — it’s built. Phase 2 is now an optimization and decision sprint: iterate on parameters, evaluate results, and make the graduation call.</w:t>
      </w:r>
    </w:p>
    <w:p>
      <w:pPr>
        <w:pStyle w:val="Heading2"/>
        <w:spacing w:after="160" w:before="280"/>
      </w:pPr>
      <w:r>
        <w:rPr>
          <w:rFonts w:ascii="Arial" w:cs="Arial" w:eastAsia="Arial" w:hAnsi="Arial"/>
          <w:b/>
          <w:bCs/>
          <w:color w:val="2E4057"/>
          <w:sz w:val="26"/>
          <w:szCs w:val="26"/>
        </w:rPr>
        <w:t xml:space="preserve">The Constraint Is Your Review, Not Engineering</w:t>
      </w:r>
    </w:p>
    <w:p>
      <w:pPr>
        <w:spacing w:after="160"/>
      </w:pPr>
      <w:r>
        <w:rPr>
          <w:rFonts w:ascii="Arial" w:cs="Arial" w:eastAsia="Arial" w:hAnsi="Arial"/>
          <w:sz w:val="22"/>
          <w:szCs w:val="22"/>
        </w:rPr>
        <w:t xml:space="preserve">Claude Code can run parameter sweeps and generate results in minutes. The bottleneck is you reviewing those results, understanding what they mean, and deciding what to try next. This phase is a tight loop: Claude runs experiments, you review, you redirect, Claude runs again. Plan for 2–3 of these cycles per day for about a week.</w:t>
      </w:r>
    </w:p>
    <w:p>
      <w:pPr>
        <w:pStyle w:val="Heading2"/>
        <w:spacing w:after="160" w:before="280"/>
      </w:pPr>
      <w:r>
        <w:rPr>
          <w:rFonts w:ascii="Arial" w:cs="Arial" w:eastAsia="Arial" w:hAnsi="Arial"/>
          <w:b/>
          <w:bCs/>
          <w:color w:val="2E4057"/>
          <w:sz w:val="26"/>
          <w:szCs w:val="26"/>
        </w:rPr>
        <w:t xml:space="preserve">Build Track (AI-Speed)</w:t>
      </w:r>
    </w:p>
    <w:p>
      <w:pPr>
        <w:spacing w:after="160"/>
      </w:pPr>
      <w:r>
        <w:rPr>
          <w:rFonts w:ascii="Arial" w:cs="Arial" w:eastAsia="Arial" w:hAnsi="Arial"/>
          <w:i/>
          <w:iCs/>
          <w:sz w:val="22"/>
          <w:szCs w:val="22"/>
        </w:rPr>
        <w:t xml:space="preserve">Estimated build time: 1–2 days of AI work, spread across the week as you direct experiments.</w:t>
      </w:r>
    </w:p>
    <w:p>
      <w:pPr>
        <w:pStyle w:val="ListParagraph"/>
        <w:numPr>
          <w:ilvl w:val="0"/>
          <w:numId w:val="2"/>
        </w:numPr>
        <w:spacing w:after="80"/>
      </w:pPr>
      <w:r>
        <w:rPr>
          <w:rFonts w:ascii="Arial" w:cs="Arial" w:eastAsia="Arial" w:hAnsi="Arial"/>
          <w:b/>
          <w:bCs/>
          <w:sz w:val="22"/>
          <w:szCs w:val="22"/>
        </w:rPr>
        <w:t xml:space="preserve">Directional parameter sweep: </w:t>
      </w:r>
      <w:r>
        <w:rPr>
          <w:rFonts w:ascii="Arial" w:cs="Arial" w:eastAsia="Arial" w:hAnsi="Arial"/>
          <w:sz w:val="22"/>
          <w:szCs w:val="22"/>
        </w:rPr>
        <w:t xml:space="preserve">The primary optimization target. Run ETH/USDC directional backtest with: time limits at 8h, 12h, 24h, 48h (currently 4h); take profit at 2%, 3%, 5%, 8% (current too tight); stop loss at 2%, 3%, 5%; confidence thresholds at 0.3, 0.4, 0.5, 0.6. This is a grid search — automated, results to Postgres. Claude Code builds the sweep runner, you review the output matrix.</w:t>
      </w:r>
    </w:p>
    <w:p>
      <w:pPr>
        <w:pStyle w:val="ListParagraph"/>
        <w:numPr>
          <w:ilvl w:val="0"/>
          <w:numId w:val="2"/>
        </w:numPr>
        <w:spacing w:after="80"/>
      </w:pPr>
      <w:r>
        <w:rPr>
          <w:rFonts w:ascii="Arial" w:cs="Arial" w:eastAsia="Arial" w:hAnsi="Arial"/>
          <w:b/>
          <w:bCs/>
          <w:sz w:val="22"/>
          <w:szCs w:val="22"/>
        </w:rPr>
        <w:t xml:space="preserve">cbBTC/USDC directional tuning: </w:t>
      </w:r>
      <w:r>
        <w:rPr>
          <w:rFonts w:ascii="Arial" w:cs="Arial" w:eastAsia="Arial" w:hAnsi="Arial"/>
          <w:sz w:val="22"/>
          <w:szCs w:val="22"/>
        </w:rPr>
        <w:t xml:space="preserve">Same parameter sweep for cbBTC. It’s at 32.3% hit rate — further from graduation than ETH but worth optimizing in parallel.</w:t>
      </w:r>
    </w:p>
    <w:p>
      <w:pPr>
        <w:pStyle w:val="ListParagraph"/>
        <w:numPr>
          <w:ilvl w:val="0"/>
          <w:numId w:val="2"/>
        </w:numPr>
        <w:spacing w:after="80"/>
      </w:pPr>
      <w:r>
        <w:rPr>
          <w:rFonts w:ascii="Arial" w:cs="Arial" w:eastAsia="Arial" w:hAnsi="Arial"/>
          <w:b/>
          <w:bCs/>
          <w:sz w:val="22"/>
          <w:szCs w:val="22"/>
        </w:rPr>
        <w:t xml:space="preserve">Arb signal reconceptualization: </w:t>
      </w:r>
      <w:r>
        <w:rPr>
          <w:rFonts w:ascii="Arial" w:cs="Arial" w:eastAsia="Arial" w:hAnsi="Arial"/>
          <w:sz w:val="22"/>
          <w:szCs w:val="22"/>
        </w:rPr>
        <w:t xml:space="preserve">Reclassify the arb signal from a trading signal to a market stress indicator. When spreads blow out beyond 150bps+, flag it as a regime signal that feeds into the qualitative layer rather than a direct trade trigger. Build this as a simple threshold change in the arbitrage module.</w:t>
      </w:r>
    </w:p>
    <w:p>
      <w:pPr>
        <w:pStyle w:val="ListParagraph"/>
        <w:numPr>
          <w:ilvl w:val="0"/>
          <w:numId w:val="2"/>
        </w:numPr>
        <w:spacing w:after="80"/>
      </w:pPr>
      <w:r>
        <w:rPr>
          <w:rFonts w:ascii="Arial" w:cs="Arial" w:eastAsia="Arial" w:hAnsi="Arial"/>
          <w:b/>
          <w:bCs/>
          <w:sz w:val="22"/>
          <w:szCs w:val="22"/>
        </w:rPr>
        <w:t xml:space="preserve">Higher-resolution arb data (exploratory): </w:t>
      </w:r>
      <w:r>
        <w:rPr>
          <w:rFonts w:ascii="Arial" w:cs="Arial" w:eastAsia="Arial" w:hAnsi="Arial"/>
          <w:sz w:val="22"/>
          <w:szCs w:val="22"/>
        </w:rPr>
        <w:t xml:space="preserve">Implement Alchemy eth_getLogs swap event decoding for minute-level DEX prices. This is the only path to arb viability — if block-level spread data shows exploitable windows that hourly data missed. Low priority unless directional optimization stalls.</w:t>
      </w:r>
    </w:p>
    <w:p>
      <w:pPr>
        <w:pStyle w:val="ListParagraph"/>
        <w:numPr>
          <w:ilvl w:val="0"/>
          <w:numId w:val="2"/>
        </w:numPr>
        <w:spacing w:after="80"/>
      </w:pPr>
      <w:r>
        <w:rPr>
          <w:rFonts w:ascii="Arial" w:cs="Arial" w:eastAsia="Arial" w:hAnsi="Arial"/>
          <w:b/>
          <w:bCs/>
          <w:sz w:val="22"/>
          <w:szCs w:val="22"/>
        </w:rPr>
        <w:t xml:space="preserve">Fee tier investigation: </w:t>
      </w:r>
      <w:r>
        <w:rPr>
          <w:rFonts w:ascii="Arial" w:cs="Arial" w:eastAsia="Arial" w:hAnsi="Arial"/>
          <w:sz w:val="22"/>
          <w:szCs w:val="22"/>
        </w:rPr>
        <w:t xml:space="preserve">Check if the cbBTC/USDC Aerodrome pool is a stable pair (0.01% fee) rather than volatile (0.30%). If so, the arb breakeven drops from ~93bps to ~64bps, which changes the math significantly.</w:t>
      </w:r>
    </w:p>
    <w:p>
      <w:pPr>
        <w:pStyle w:val="ListParagraph"/>
        <w:numPr>
          <w:ilvl w:val="0"/>
          <w:numId w:val="2"/>
        </w:numPr>
        <w:spacing w:after="80"/>
      </w:pPr>
      <w:r>
        <w:rPr>
          <w:rFonts w:ascii="Arial" w:cs="Arial" w:eastAsia="Arial" w:hAnsi="Arial"/>
          <w:b/>
          <w:bCs/>
          <w:sz w:val="22"/>
          <w:szCs w:val="22"/>
        </w:rPr>
        <w:t xml:space="preserve">Signal weight re-optimization: </w:t>
      </w:r>
      <w:r>
        <w:rPr>
          <w:rFonts w:ascii="Arial" w:cs="Arial" w:eastAsia="Arial" w:hAnsi="Arial"/>
          <w:sz w:val="22"/>
          <w:szCs w:val="22"/>
        </w:rPr>
        <w:t xml:space="preserve">After parameter tuning, re-run the weight optimization sweep. The optimal weights will change once individual signals are better calibrated.</w:t>
      </w:r>
    </w:p>
    <w:p>
      <w:pPr>
        <w:pStyle w:val="Heading2"/>
        <w:spacing w:after="160" w:before="280"/>
      </w:pPr>
      <w:r>
        <w:rPr>
          <w:rFonts w:ascii="Arial" w:cs="Arial" w:eastAsia="Arial" w:hAnsi="Arial"/>
          <w:b/>
          <w:bCs/>
          <w:color w:val="2E4057"/>
          <w:sz w:val="26"/>
          <w:szCs w:val="26"/>
        </w:rPr>
        <w:t xml:space="preserve">Validation Track (Calendar-Speed)</w:t>
      </w:r>
    </w:p>
    <w:p>
      <w:pPr>
        <w:spacing w:after="160"/>
      </w:pPr>
      <w:r>
        <w:rPr>
          <w:rFonts w:ascii="Arial" w:cs="Arial" w:eastAsia="Arial" w:hAnsi="Arial"/>
          <w:i/>
          <w:iCs/>
          <w:sz w:val="22"/>
          <w:szCs w:val="22"/>
        </w:rPr>
        <w:t xml:space="preserve">Estimated duration: ~1 week, constrained by your review cycles.</w:t>
      </w:r>
    </w:p>
    <w:p>
      <w:pPr>
        <w:pStyle w:val="ListParagraph"/>
        <w:numPr>
          <w:ilvl w:val="0"/>
          <w:numId w:val="3"/>
        </w:numPr>
        <w:spacing w:after="80"/>
      </w:pPr>
      <w:r>
        <w:rPr>
          <w:rFonts w:ascii="Arial" w:cs="Arial" w:eastAsia="Arial" w:hAnsi="Arial"/>
          <w:b/>
          <w:bCs/>
          <w:sz w:val="22"/>
          <w:szCs w:val="22"/>
        </w:rPr>
        <w:t xml:space="preserve">Qualitative layer replay (selective): </w:t>
      </w:r>
      <w:r>
        <w:rPr>
          <w:rFonts w:ascii="Arial" w:cs="Arial" w:eastAsia="Arial" w:hAnsi="Arial"/>
          <w:sz w:val="22"/>
          <w:szCs w:val="22"/>
        </w:rPr>
        <w:t xml:space="preserve">Run the Claude prompts against a representative 2-week sample of historical data (not the full 90 days — that would cost ~$50–$100 in API calls). Compare regime classifications against actual market moves. Does the ±30% conviction modifier improve directional signal performance? This is the most expensive experiment; budget it.</w:t>
      </w:r>
    </w:p>
    <w:p>
      <w:pPr>
        <w:pStyle w:val="ListParagraph"/>
        <w:numPr>
          <w:ilvl w:val="0"/>
          <w:numId w:val="3"/>
        </w:numPr>
        <w:spacing w:after="80"/>
      </w:pPr>
      <w:r>
        <w:rPr>
          <w:rFonts w:ascii="Arial" w:cs="Arial" w:eastAsia="Arial" w:hAnsi="Arial"/>
          <w:b/>
          <w:bCs/>
          <w:sz w:val="22"/>
          <w:szCs w:val="22"/>
        </w:rPr>
        <w:t xml:space="preserve">Graduation review: </w:t>
      </w:r>
      <w:r>
        <w:rPr>
          <w:rFonts w:ascii="Arial" w:cs="Arial" w:eastAsia="Arial" w:hAnsi="Arial"/>
          <w:sz w:val="22"/>
          <w:szCs w:val="22"/>
        </w:rPr>
        <w:t xml:space="preserve">After parameter optimization, evaluate each signal type against graduation criteria. Make the go/no-go call. Expected outcome: ETH/USDC directional graduates; cbBTC/USDC directional is borderline; arb does not graduate as a trading signal but is repurposed as intelligence.</w:t>
      </w:r>
    </w:p>
    <w:p>
      <w:pPr>
        <w:pStyle w:val="ListParagraph"/>
        <w:numPr>
          <w:ilvl w:val="0"/>
          <w:numId w:val="3"/>
        </w:numPr>
        <w:spacing w:after="80"/>
      </w:pPr>
      <w:r>
        <w:rPr>
          <w:rFonts w:ascii="Arial" w:cs="Arial" w:eastAsia="Arial" w:hAnsi="Arial"/>
          <w:b/>
          <w:bCs/>
          <w:sz w:val="22"/>
          <w:szCs w:val="22"/>
        </w:rPr>
        <w:t xml:space="preserve">Dashboard upgrade: </w:t>
      </w:r>
      <w:r>
        <w:rPr>
          <w:rFonts w:ascii="Arial" w:cs="Arial" w:eastAsia="Arial" w:hAnsi="Arial"/>
          <w:sz w:val="22"/>
          <w:szCs w:val="22"/>
        </w:rPr>
        <w:t xml:space="preserve">While experiments run, build the operational dashboard: arb spread chart, cycle health timeline, API cost tracker, backtest result visualizations. This is build track work that fills validation track gaps.</w:t>
      </w:r>
    </w:p>
    <w:p>
      <w:pPr>
        <w:pStyle w:val="Heading2"/>
        <w:spacing w:after="160" w:before="280"/>
      </w:pPr>
      <w:r>
        <w:rPr>
          <w:rFonts w:ascii="Arial" w:cs="Arial" w:eastAsia="Arial" w:hAnsi="Arial"/>
          <w:b/>
          <w:bCs/>
          <w:color w:val="2E4057"/>
          <w:sz w:val="26"/>
          <w:szCs w:val="26"/>
        </w:rPr>
        <w:t xml:space="preserve">Phase 2 Gate (Target: April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C02" w:sz="6"/>
              <w:left w:val="single" w:color="FFCC02" w:sz="6"/>
              <w:bottom w:val="single" w:color="FFCC02" w:sz="6"/>
              <w:right w:val="single" w:color="FFCC02" w:sz="6"/>
            </w:tcBorders>
            <w:shd w:fill="FFF3CD" w:val="clear"/>
            <w:tcMar>
              <w:top w:type="dxa" w:w="120"/>
              <w:left w:type="dxa" w:w="200"/>
              <w:bottom w:type="dxa" w:w="120"/>
              <w:right w:type="dxa" w:w="200"/>
            </w:tcMar>
          </w:tcPr>
          <w:p>
            <w:pPr>
              <w:spacing w:after="160"/>
            </w:pPr>
            <w:r>
              <w:rPr>
                <w:rFonts w:ascii="Arial" w:cs="Arial" w:eastAsia="Arial" w:hAnsi="Arial"/>
                <w:b/>
                <w:bCs/>
                <w:sz w:val="22"/>
                <w:szCs w:val="22"/>
              </w:rPr>
              <w:t xml:space="preserve">Graduation criteria (all must pass for Phase 3 promotion):</w:t>
            </w:r>
          </w:p>
          <w:p>
            <w:pPr>
              <w:spacing w:after="160"/>
            </w:pPr>
            <w:r>
              <w:rPr>
                <w:rFonts w:ascii="Arial" w:cs="Arial" w:eastAsia="Arial" w:hAnsi="Arial"/>
                <w:sz w:val="22"/>
                <w:szCs w:val="22"/>
              </w:rPr>
              <w:t xml:space="preserve">Positive expected value (avg_pnl_bps &gt; 0) over 30+ observations</w:t>
            </w:r>
          </w:p>
          <w:p>
            <w:pPr>
              <w:spacing w:after="160"/>
            </w:pPr>
            <w:r>
              <w:rPr>
                <w:rFonts w:ascii="Arial" w:cs="Arial" w:eastAsia="Arial" w:hAnsi="Arial"/>
                <w:sz w:val="22"/>
                <w:szCs w:val="22"/>
              </w:rPr>
              <w:t xml:space="preserve">Sharpe ratio &gt; 1.0</w:t>
            </w:r>
          </w:p>
          <w:p>
            <w:pPr>
              <w:spacing w:after="160"/>
            </w:pPr>
            <w:r>
              <w:rPr>
                <w:rFonts w:ascii="Arial" w:cs="Arial" w:eastAsia="Arial" w:hAnsi="Arial"/>
                <w:sz w:val="22"/>
                <w:szCs w:val="22"/>
              </w:rPr>
              <w:t xml:space="preserve">Max drawdown &lt; 15%</w:t>
            </w:r>
          </w:p>
          <w:p>
            <w:pPr>
              <w:spacing w:after="160"/>
            </w:pPr>
            <w:r>
              <w:rPr>
                <w:rFonts w:ascii="Arial" w:cs="Arial" w:eastAsia="Arial" w:hAnsi="Arial"/>
                <w:sz w:val="22"/>
                <w:szCs w:val="22"/>
              </w:rPr>
              <w:t xml:space="preserve">Hit rate &gt; 40% for directional signals</w:t>
            </w:r>
          </w:p>
          <w:p>
            <w:pPr>
              <w:spacing w:after="160"/>
            </w:pPr>
            <w:r>
              <w:rPr>
                <w:rFonts w:ascii="Arial" w:cs="Arial" w:eastAsia="Arial" w:hAnsi="Arial"/>
                <w:sz w:val="22"/>
                <w:szCs w:val="22"/>
              </w:rPr>
              <w:t xml:space="preserve">Profit factor &gt; 1.5</w:t>
            </w:r>
          </w:p>
          <w:p>
            <w:pPr>
              <w:spacing w:after="160"/>
            </w:pPr>
            <w:r>
              <w:rPr>
                <w:rFonts w:ascii="Arial" w:cs="Arial" w:eastAsia="Arial" w:hAnsi="Arial"/>
                <w:b/>
                <w:bCs/>
                <w:sz w:val="22"/>
                <w:szCs w:val="22"/>
              </w:rPr>
              <w:t xml:space="preserve">Minimum 1 signal type must graduate. If none graduate after parameter optimization, extend Phase 2 by one week and explore alternative approaches before proceeding.</w:t>
            </w:r>
          </w:p>
        </w:tc>
      </w:tr>
    </w:tbl>
    <w:p>
      <w:r>
        <w:br w:type="page"/>
      </w:r>
    </w:p>
    <w:p>
      <w:pPr>
        <w:pStyle w:val="Heading1"/>
        <w:spacing w:after="200" w:before="360"/>
      </w:pPr>
      <w:r>
        <w:rPr>
          <w:rFonts w:ascii="Arial" w:cs="Arial" w:eastAsia="Arial" w:hAnsi="Arial"/>
          <w:b/>
          <w:bCs/>
          <w:color w:val="1A1A2E"/>
          <w:sz w:val="32"/>
          <w:szCs w:val="32"/>
        </w:rPr>
        <w:t xml:space="preserve">Phase 3: Paper Trading with Sentinel — Weeks 2–4 (April 9–27)</w:t>
      </w:r>
    </w:p>
    <w:p>
      <w:pPr>
        <w:spacing w:after="160"/>
      </w:pPr>
      <w:r>
        <w:rPr>
          <w:rFonts w:ascii="Arial" w:cs="Arial" w:eastAsia="Arial" w:hAnsi="Arial"/>
          <w:sz w:val="22"/>
          <w:szCs w:val="22"/>
        </w:rPr>
        <w:t xml:space="preserve">Phase 3 has two sub-phases: a short build sprint to wire up Sentinel integration and paper trading, followed by the irreducible market exposure period.</w:t>
      </w:r>
    </w:p>
    <w:p>
      <w:pPr>
        <w:pStyle w:val="Heading2"/>
        <w:spacing w:after="160" w:before="280"/>
      </w:pPr>
      <w:r>
        <w:rPr>
          <w:rFonts w:ascii="Arial" w:cs="Arial" w:eastAsia="Arial" w:hAnsi="Arial"/>
          <w:b/>
          <w:bCs/>
          <w:color w:val="2E4057"/>
          <w:sz w:val="26"/>
          <w:szCs w:val="26"/>
        </w:rPr>
        <w:t xml:space="preserve">Build Sprint (Days 1–2)</w:t>
      </w:r>
    </w:p>
    <w:p>
      <w:pPr>
        <w:spacing w:after="160"/>
      </w:pPr>
      <w:r>
        <w:rPr>
          <w:rFonts w:ascii="Arial" w:cs="Arial" w:eastAsia="Arial" w:hAnsi="Arial"/>
          <w:i/>
          <w:iCs/>
          <w:sz w:val="22"/>
          <w:szCs w:val="22"/>
        </w:rPr>
        <w:t xml:space="preserve">Estimated build time: 1 day of AI coding. All code can be built before Phase 2 Gate passes — it doesn’t depend on backtest results, only the decision to deploy does.</w:t>
      </w:r>
    </w:p>
    <w:p>
      <w:pPr>
        <w:pStyle w:val="ListParagraph"/>
        <w:numPr>
          <w:ilvl w:val="0"/>
          <w:numId w:val="4"/>
        </w:numPr>
        <w:spacing w:after="80"/>
      </w:pPr>
      <w:r>
        <w:rPr>
          <w:rFonts w:ascii="Arial" w:cs="Arial" w:eastAsia="Arial" w:hAnsi="Arial"/>
          <w:b/>
          <w:bCs/>
          <w:sz w:val="22"/>
          <w:szCs w:val="22"/>
        </w:rPr>
        <w:t xml:space="preserve">Sentinel integration: </w:t>
      </w:r>
      <w:r>
        <w:rPr>
          <w:rFonts w:ascii="Arial" w:cs="Arial" w:eastAsia="Arial" w:hAnsi="Arial"/>
          <w:sz w:val="22"/>
          <w:szCs w:val="22"/>
        </w:rPr>
        <w:t xml:space="preserve">Wire the Phase 3 hook point in agent.js to call Sentinel’s /verify endpoint with the decision object (spec unchanged from v2). Log the full request/response exchange.</w:t>
      </w:r>
    </w:p>
    <w:p>
      <w:pPr>
        <w:pStyle w:val="ListParagraph"/>
        <w:numPr>
          <w:ilvl w:val="0"/>
          <w:numId w:val="4"/>
        </w:numPr>
        <w:spacing w:after="80"/>
      </w:pPr>
      <w:r>
        <w:rPr>
          <w:rFonts w:ascii="Arial" w:cs="Arial" w:eastAsia="Arial" w:hAnsi="Arial"/>
          <w:b/>
          <w:bCs/>
          <w:sz w:val="22"/>
          <w:szCs w:val="22"/>
        </w:rPr>
        <w:t xml:space="preserve">Paper trading engine: </w:t>
      </w:r>
      <w:r>
        <w:rPr>
          <w:rFonts w:ascii="Arial" w:cs="Arial" w:eastAsia="Arial" w:hAnsi="Arial"/>
          <w:sz w:val="22"/>
          <w:szCs w:val="22"/>
        </w:rPr>
        <w:t xml:space="preserve">Virtual position tracker. On each cycle where a graduated signal fires and Sentinel approves, open a paper position. Track entry, exit, P&amp;L, Sentinel’s assessment, and the decision object that triggered it.</w:t>
      </w:r>
    </w:p>
    <w:p>
      <w:pPr>
        <w:pStyle w:val="ListParagraph"/>
        <w:numPr>
          <w:ilvl w:val="0"/>
          <w:numId w:val="4"/>
        </w:numPr>
        <w:spacing w:after="80"/>
      </w:pPr>
      <w:r>
        <w:rPr>
          <w:rFonts w:ascii="Arial" w:cs="Arial" w:eastAsia="Arial" w:hAnsi="Arial"/>
          <w:b/>
          <w:bCs/>
          <w:sz w:val="22"/>
          <w:szCs w:val="22"/>
        </w:rPr>
        <w:t xml:space="preserve">Human approval gate: </w:t>
      </w:r>
      <w:r>
        <w:rPr>
          <w:rFonts w:ascii="Arial" w:cs="Arial" w:eastAsia="Arial" w:hAnsi="Arial"/>
          <w:sz w:val="22"/>
          <w:szCs w:val="22"/>
        </w:rPr>
        <w:t xml:space="preserve">Dashboard interface showing: trade idea, Sentinel verdict, confidence scores, one-click approve/reject. All paper trades require human approval in Phase 3.</w:t>
      </w:r>
    </w:p>
    <w:p>
      <w:pPr>
        <w:pStyle w:val="ListParagraph"/>
        <w:numPr>
          <w:ilvl w:val="0"/>
          <w:numId w:val="4"/>
        </w:numPr>
        <w:spacing w:after="80"/>
      </w:pPr>
      <w:r>
        <w:rPr>
          <w:rFonts w:ascii="Arial" w:cs="Arial" w:eastAsia="Arial" w:hAnsi="Arial"/>
          <w:b/>
          <w:bCs/>
          <w:sz w:val="22"/>
          <w:szCs w:val="22"/>
        </w:rPr>
        <w:t xml:space="preserve">Sentinel response handling: </w:t>
      </w:r>
      <w:r>
        <w:rPr>
          <w:rFonts w:ascii="Arial" w:cs="Arial" w:eastAsia="Arial" w:hAnsi="Arial"/>
          <w:sz w:val="22"/>
          <w:szCs w:val="22"/>
        </w:rPr>
        <w:t xml:space="preserve">SAFE/CAUTION (score &gt;70) + ceiling ≥ amount → proceed to human gate. WARNING → flag for review with risk flags displayed. DANGER → automatic block, no human override. The DANGER hard-block is a trust-building constraint.</w:t>
      </w:r>
    </w:p>
    <w:p>
      <w:pPr>
        <w:pStyle w:val="Heading2"/>
        <w:spacing w:after="160" w:before="280"/>
      </w:pPr>
      <w:r>
        <w:rPr>
          <w:rFonts w:ascii="Arial" w:cs="Arial" w:eastAsia="Arial" w:hAnsi="Arial"/>
          <w:b/>
          <w:bCs/>
          <w:color w:val="2E4057"/>
          <w:sz w:val="26"/>
          <w:szCs w:val="26"/>
        </w:rPr>
        <w:t xml:space="preserve">Market Exposure (Weeks 2–4)</w:t>
      </w:r>
    </w:p>
    <w:p>
      <w:pPr>
        <w:spacing w:after="160"/>
      </w:pPr>
      <w:r>
        <w:rPr>
          <w:rFonts w:ascii="Arial" w:cs="Arial" w:eastAsia="Arial" w:hAnsi="Arial"/>
          <w:i/>
          <w:iCs/>
          <w:sz w:val="22"/>
          <w:szCs w:val="22"/>
        </w:rPr>
        <w:t xml:space="preserve">Estimated duration: 2–3 weeks. This is the hard floor — it cannot be compressed.</w:t>
      </w:r>
    </w:p>
    <w:p>
      <w:pPr>
        <w:spacing w:after="160"/>
      </w:pPr>
      <w:r>
        <w:rPr>
          <w:rFonts w:ascii="Arial" w:cs="Arial" w:eastAsia="Arial" w:hAnsi="Arial"/>
          <w:sz w:val="22"/>
          <w:szCs w:val="22"/>
        </w:rPr>
        <w:t xml:space="preserve">Paper trading needs real market diversity to be meaningful. A system that works during a calm uptrend but breaks on the first volatile down day isn’t validated. You need:</w:t>
      </w:r>
    </w:p>
    <w:p>
      <w:pPr>
        <w:pStyle w:val="ListParagraph"/>
        <w:numPr>
          <w:ilvl w:val="0"/>
          <w:numId w:val="5"/>
        </w:numPr>
        <w:spacing w:after="80"/>
      </w:pPr>
      <w:r>
        <w:rPr>
          <w:rFonts w:ascii="Arial" w:cs="Arial" w:eastAsia="Arial" w:hAnsi="Arial"/>
          <w:b/>
          <w:bCs/>
          <w:sz w:val="22"/>
          <w:szCs w:val="22"/>
        </w:rPr>
        <w:t xml:space="preserve">Trending days: </w:t>
      </w:r>
      <w:r>
        <w:rPr>
          <w:rFonts w:ascii="Arial" w:cs="Arial" w:eastAsia="Arial" w:hAnsi="Arial"/>
          <w:sz w:val="22"/>
          <w:szCs w:val="22"/>
        </w:rPr>
        <w:t xml:space="preserve">At least 3–4 clear directional moves (up or down)</w:t>
      </w:r>
    </w:p>
    <w:p>
      <w:pPr>
        <w:pStyle w:val="ListParagraph"/>
        <w:numPr>
          <w:ilvl w:val="0"/>
          <w:numId w:val="5"/>
        </w:numPr>
        <w:spacing w:after="80"/>
      </w:pPr>
      <w:r>
        <w:rPr>
          <w:rFonts w:ascii="Arial" w:cs="Arial" w:eastAsia="Arial" w:hAnsi="Arial"/>
          <w:b/>
          <w:bCs/>
          <w:sz w:val="22"/>
          <w:szCs w:val="22"/>
        </w:rPr>
        <w:t xml:space="preserve">Range-bound days: </w:t>
      </w:r>
      <w:r>
        <w:rPr>
          <w:rFonts w:ascii="Arial" w:cs="Arial" w:eastAsia="Arial" w:hAnsi="Arial"/>
          <w:sz w:val="22"/>
          <w:szCs w:val="22"/>
        </w:rPr>
        <w:t xml:space="preserve">At least 3–4 choppy/sideways days</w:t>
      </w:r>
    </w:p>
    <w:p>
      <w:pPr>
        <w:pStyle w:val="ListParagraph"/>
        <w:numPr>
          <w:ilvl w:val="0"/>
          <w:numId w:val="5"/>
        </w:numPr>
        <w:spacing w:after="80"/>
      </w:pPr>
      <w:r>
        <w:rPr>
          <w:rFonts w:ascii="Arial" w:cs="Arial" w:eastAsia="Arial" w:hAnsi="Arial"/>
          <w:b/>
          <w:bCs/>
          <w:sz w:val="22"/>
          <w:szCs w:val="22"/>
        </w:rPr>
        <w:t xml:space="preserve">A volatility event: </w:t>
      </w:r>
      <w:r>
        <w:rPr>
          <w:rFonts w:ascii="Arial" w:cs="Arial" w:eastAsia="Arial" w:hAnsi="Arial"/>
          <w:sz w:val="22"/>
          <w:szCs w:val="22"/>
        </w:rPr>
        <w:t xml:space="preserve">At least 1 high-vol day (earnings, macro surprise, protocol event)</w:t>
      </w:r>
    </w:p>
    <w:p>
      <w:pPr>
        <w:pStyle w:val="ListParagraph"/>
        <w:numPr>
          <w:ilvl w:val="0"/>
          <w:numId w:val="5"/>
        </w:numPr>
        <w:spacing w:after="80"/>
      </w:pPr>
      <w:r>
        <w:rPr>
          <w:rFonts w:ascii="Arial" w:cs="Arial" w:eastAsia="Arial" w:hAnsi="Arial"/>
          <w:b/>
          <w:bCs/>
          <w:sz w:val="22"/>
          <w:szCs w:val="22"/>
        </w:rPr>
        <w:t xml:space="preserve">Weekend behavior: </w:t>
      </w:r>
      <w:r>
        <w:rPr>
          <w:rFonts w:ascii="Arial" w:cs="Arial" w:eastAsia="Arial" w:hAnsi="Arial"/>
          <w:sz w:val="22"/>
          <w:szCs w:val="22"/>
        </w:rPr>
        <w:t xml:space="preserve">Crypto trades 24/7 — at least 2 weekends in the sample</w:t>
      </w:r>
    </w:p>
    <w:p>
      <w:pPr>
        <w:spacing w:after="160"/>
      </w:pPr>
      <w:r>
        <w:rPr>
          <w:rFonts w:ascii="Arial" w:cs="Arial" w:eastAsia="Arial" w:hAnsi="Arial"/>
          <w:sz w:val="22"/>
          <w:szCs w:val="22"/>
        </w:rPr>
        <w:t xml:space="preserve">Two weeks is the minimum to see this variety. Three weeks is safer. This is the one part of the plan where patience pays off — launching Phase 4 on insufficient paper trading data is the single highest-risk mistake available.</w:t>
      </w:r>
    </w:p>
    <w:p>
      <w:pPr>
        <w:pStyle w:val="Heading2"/>
        <w:spacing w:after="160" w:before="280"/>
      </w:pPr>
      <w:r>
        <w:rPr>
          <w:rFonts w:ascii="Arial" w:cs="Arial" w:eastAsia="Arial" w:hAnsi="Arial"/>
          <w:b/>
          <w:bCs/>
          <w:color w:val="2E4057"/>
          <w:sz w:val="26"/>
          <w:szCs w:val="26"/>
        </w:rPr>
        <w:t xml:space="preserve">What To Track During Paper Trading</w:t>
      </w:r>
    </w:p>
    <w:p>
      <w:pPr>
        <w:pStyle w:val="ListParagraph"/>
        <w:numPr>
          <w:ilvl w:val="0"/>
          <w:numId w:val="6"/>
        </w:numPr>
        <w:spacing w:after="80"/>
      </w:pPr>
      <w:r>
        <w:rPr>
          <w:rFonts w:ascii="Arial" w:cs="Arial" w:eastAsia="Arial" w:hAnsi="Arial"/>
          <w:b/>
          <w:bCs/>
          <w:sz w:val="22"/>
          <w:szCs w:val="22"/>
        </w:rPr>
        <w:t xml:space="preserve">Paper P&amp;L vs backtest expectation: </w:t>
      </w:r>
      <w:r>
        <w:rPr>
          <w:rFonts w:ascii="Arial" w:cs="Arial" w:eastAsia="Arial" w:hAnsi="Arial"/>
          <w:sz w:val="22"/>
          <w:szCs w:val="22"/>
        </w:rPr>
        <w:t xml:space="preserve">The most important metric. If paper P&amp;L diverges more than 20% from backtest predictions, something is wrong — either the backtest is overfit, the live data is different, or execution assumptions are invalid.</w:t>
      </w:r>
    </w:p>
    <w:p>
      <w:pPr>
        <w:pStyle w:val="ListParagraph"/>
        <w:numPr>
          <w:ilvl w:val="0"/>
          <w:numId w:val="6"/>
        </w:numPr>
        <w:spacing w:after="80"/>
      </w:pPr>
      <w:r>
        <w:rPr>
          <w:rFonts w:ascii="Arial" w:cs="Arial" w:eastAsia="Arial" w:hAnsi="Arial"/>
          <w:b/>
          <w:bCs/>
          <w:sz w:val="22"/>
          <w:szCs w:val="22"/>
        </w:rPr>
        <w:t xml:space="preserve">Sentinel query patterns: </w:t>
      </w:r>
      <w:r>
        <w:rPr>
          <w:rFonts w:ascii="Arial" w:cs="Arial" w:eastAsia="Arial" w:hAnsi="Arial"/>
          <w:sz w:val="22"/>
          <w:szCs w:val="22"/>
        </w:rPr>
        <w:t xml:space="preserve">How often does each endpoint get called? What’s the latency? What’s the cost? Are there edge cases where Sentinel’s response is unexpected?</w:t>
      </w:r>
    </w:p>
    <w:p>
      <w:pPr>
        <w:pStyle w:val="ListParagraph"/>
        <w:numPr>
          <w:ilvl w:val="0"/>
          <w:numId w:val="6"/>
        </w:numPr>
        <w:spacing w:after="80"/>
      </w:pPr>
      <w:r>
        <w:rPr>
          <w:rFonts w:ascii="Arial" w:cs="Arial" w:eastAsia="Arial" w:hAnsi="Arial"/>
          <w:b/>
          <w:bCs/>
          <w:sz w:val="22"/>
          <w:szCs w:val="22"/>
        </w:rPr>
        <w:t xml:space="preserve">Trust progression data: </w:t>
      </w:r>
      <w:r>
        <w:rPr>
          <w:rFonts w:ascii="Arial" w:cs="Arial" w:eastAsia="Arial" w:hAnsi="Arial"/>
          <w:sz w:val="22"/>
          <w:szCs w:val="22"/>
        </w:rPr>
        <w:t xml:space="preserve">How often does Sentinel disagree with Market Agent? When Sentinel says DANGER, was it right? This data calibrates the trust tiers for Phase 4.</w:t>
      </w:r>
    </w:p>
    <w:p>
      <w:pPr>
        <w:pStyle w:val="ListParagraph"/>
        <w:numPr>
          <w:ilvl w:val="0"/>
          <w:numId w:val="6"/>
        </w:numPr>
        <w:spacing w:after="80"/>
      </w:pPr>
      <w:r>
        <w:rPr>
          <w:rFonts w:ascii="Arial" w:cs="Arial" w:eastAsia="Arial" w:hAnsi="Arial"/>
          <w:b/>
          <w:bCs/>
          <w:sz w:val="22"/>
          <w:szCs w:val="22"/>
        </w:rPr>
        <w:t xml:space="preserve">Spending ceiling validation: </w:t>
      </w:r>
      <w:r>
        <w:rPr>
          <w:rFonts w:ascii="Arial" w:cs="Arial" w:eastAsia="Arial" w:hAnsi="Arial"/>
          <w:sz w:val="22"/>
          <w:szCs w:val="22"/>
        </w:rPr>
        <w:t xml:space="preserve">Does Sentinel’s recommended ceiling produce reasonable position size constraints? Too tight kills profitability; too loose defeats the purpose.</w:t>
      </w:r>
    </w:p>
    <w:p>
      <w:pPr>
        <w:pStyle w:val="Heading2"/>
        <w:spacing w:after="160" w:before="280"/>
      </w:pPr>
      <w:r>
        <w:rPr>
          <w:rFonts w:ascii="Arial" w:cs="Arial" w:eastAsia="Arial" w:hAnsi="Arial"/>
          <w:b/>
          <w:bCs/>
          <w:color w:val="2E4057"/>
          <w:sz w:val="26"/>
          <w:szCs w:val="26"/>
        </w:rPr>
        <w:t xml:space="preserve">Phase 3 Gate (Target: April 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C02" w:sz="6"/>
              <w:left w:val="single" w:color="FFCC02" w:sz="6"/>
              <w:bottom w:val="single" w:color="FFCC02" w:sz="6"/>
              <w:right w:val="single" w:color="FFCC02" w:sz="6"/>
            </w:tcBorders>
            <w:shd w:fill="FFF3CD" w:val="clear"/>
            <w:tcMar>
              <w:top w:type="dxa" w:w="120"/>
              <w:left w:type="dxa" w:w="200"/>
              <w:bottom w:type="dxa" w:w="120"/>
              <w:right w:type="dxa" w:w="200"/>
            </w:tcMar>
          </w:tcPr>
          <w:p>
            <w:pPr>
              <w:spacing w:after="160"/>
            </w:pPr>
            <w:r>
              <w:rPr>
                <w:rFonts w:ascii="Arial" w:cs="Arial" w:eastAsia="Arial" w:hAnsi="Arial"/>
                <w:b/>
                <w:bCs/>
                <w:sz w:val="22"/>
                <w:szCs w:val="22"/>
              </w:rPr>
              <w:t xml:space="preserve">Phase 3 checkpoint criteria:</w:t>
            </w:r>
          </w:p>
          <w:p>
            <w:pPr>
              <w:spacing w:after="160"/>
            </w:pPr>
            <w:r>
              <w:rPr>
                <w:rFonts w:ascii="Arial" w:cs="Arial" w:eastAsia="Arial" w:hAnsi="Arial"/>
                <w:sz w:val="22"/>
                <w:szCs w:val="22"/>
              </w:rPr>
              <w:t xml:space="preserve">Paper P&amp;L within 20% of backtest expectation</w:t>
            </w:r>
          </w:p>
          <w:p>
            <w:pPr>
              <w:spacing w:after="160"/>
            </w:pPr>
            <w:r>
              <w:rPr>
                <w:rFonts w:ascii="Arial" w:cs="Arial" w:eastAsia="Arial" w:hAnsi="Arial"/>
                <w:sz w:val="22"/>
                <w:szCs w:val="22"/>
              </w:rPr>
              <w:t xml:space="preserve">Sentinel integration uptime &gt; 99%</w:t>
            </w:r>
          </w:p>
          <w:p>
            <w:pPr>
              <w:spacing w:after="160"/>
            </w:pPr>
            <w:r>
              <w:rPr>
                <w:rFonts w:ascii="Arial" w:cs="Arial" w:eastAsia="Arial" w:hAnsi="Arial"/>
                <w:sz w:val="22"/>
                <w:szCs w:val="22"/>
              </w:rPr>
              <w:t xml:space="preserve">No DANGER verdicts on subsequently profitable trades (false negatives)</w:t>
            </w:r>
          </w:p>
          <w:p>
            <w:pPr>
              <w:spacing w:after="160"/>
            </w:pPr>
            <w:r>
              <w:rPr>
                <w:rFonts w:ascii="Arial" w:cs="Arial" w:eastAsia="Arial" w:hAnsi="Arial"/>
                <w:sz w:val="22"/>
                <w:szCs w:val="22"/>
              </w:rPr>
              <w:t xml:space="preserve">Human approval gate functional with full audit trail</w:t>
            </w:r>
          </w:p>
          <w:p>
            <w:pPr>
              <w:spacing w:after="160"/>
            </w:pPr>
            <w:r>
              <w:rPr>
                <w:rFonts w:ascii="Arial" w:cs="Arial" w:eastAsia="Arial" w:hAnsi="Arial"/>
                <w:b/>
                <w:bCs/>
                <w:sz w:val="22"/>
                <w:szCs w:val="22"/>
              </w:rPr>
              <w:t xml:space="preserve">If criteria pass: ready for Phase 4 (real capital) planning. If not: extend paper trading or revisit signal parameters.</w:t>
            </w:r>
          </w:p>
        </w:tc>
      </w:tr>
    </w:tbl>
    <w:p>
      <w:r>
        <w:br w:type="page"/>
      </w:r>
    </w:p>
    <w:p>
      <w:pPr>
        <w:pStyle w:val="Heading1"/>
        <w:spacing w:after="200" w:before="360"/>
      </w:pPr>
      <w:r>
        <w:rPr>
          <w:rFonts w:ascii="Arial" w:cs="Arial" w:eastAsia="Arial" w:hAnsi="Arial"/>
          <w:b/>
          <w:bCs/>
          <w:color w:val="1A1A2E"/>
          <w:sz w:val="32"/>
          <w:szCs w:val="32"/>
        </w:rPr>
        <w:t xml:space="preserve">Build Track: Parallel Work During Paper Trading</w:t>
      </w:r>
    </w:p>
    <w:p>
      <w:pPr>
        <w:spacing w:after="160"/>
      </w:pPr>
      <w:r>
        <w:rPr>
          <w:rFonts w:ascii="Arial" w:cs="Arial" w:eastAsia="Arial" w:hAnsi="Arial"/>
          <w:sz w:val="22"/>
          <w:szCs w:val="22"/>
        </w:rPr>
        <w:t xml:space="preserve">While the validation track runs paper trading for 2–3 weeks, the build track has capacity. These items don’t depend on paper trading results and can be built concurrently:</w:t>
      </w:r>
    </w:p>
    <w:p>
      <w:pPr>
        <w:pStyle w:val="ListParagraph"/>
        <w:numPr>
          <w:ilvl w:val="0"/>
          <w:numId w:val="7"/>
        </w:numPr>
        <w:spacing w:after="80"/>
      </w:pPr>
      <w:r>
        <w:rPr>
          <w:rFonts w:ascii="Arial" w:cs="Arial" w:eastAsia="Arial" w:hAnsi="Arial"/>
          <w:b/>
          <w:bCs/>
          <w:sz w:val="22"/>
          <w:szCs w:val="22"/>
        </w:rPr>
        <w:t xml:space="preserve">Briefing-as-a-Service: </w:t>
      </w:r>
      <w:r>
        <w:rPr>
          <w:rFonts w:ascii="Arial" w:cs="Arial" w:eastAsia="Arial" w:hAnsi="Arial"/>
          <w:sz w:val="22"/>
          <w:szCs w:val="22"/>
        </w:rPr>
        <w:t xml:space="preserve">The /briefing and /briefings API endpoints already exist. Wrap them with x402 micropayment at $0.01–$0.05 per query. This creates a second revenue stream before Phase 4 even starts. Minimal new code — the payment layer exists in Sentinel’s codebase.</w:t>
      </w:r>
    </w:p>
    <w:p>
      <w:pPr>
        <w:pStyle w:val="ListParagraph"/>
        <w:numPr>
          <w:ilvl w:val="0"/>
          <w:numId w:val="7"/>
        </w:numPr>
        <w:spacing w:after="80"/>
      </w:pPr>
      <w:r>
        <w:rPr>
          <w:rFonts w:ascii="Arial" w:cs="Arial" w:eastAsia="Arial" w:hAnsi="Arial"/>
          <w:b/>
          <w:bCs/>
          <w:sz w:val="22"/>
          <w:szCs w:val="22"/>
        </w:rPr>
        <w:t xml:space="preserve">Haiku/Sonnet hybrid implementation: </w:t>
      </w:r>
      <w:r>
        <w:rPr>
          <w:rFonts w:ascii="Arial" w:cs="Arial" w:eastAsia="Arial" w:hAnsi="Arial"/>
          <w:sz w:val="22"/>
          <w:szCs w:val="22"/>
        </w:rPr>
        <w:t xml:space="preserve">Modify config.js for per-prompt-type model selection. Route news synthesis to Haiku, keep contradiction detection on Sonnet. Track cost impact in api_costs table. Expected savings: 55–70%.</w:t>
      </w:r>
    </w:p>
    <w:p>
      <w:pPr>
        <w:pStyle w:val="ListParagraph"/>
        <w:numPr>
          <w:ilvl w:val="0"/>
          <w:numId w:val="7"/>
        </w:numPr>
        <w:spacing w:after="80"/>
      </w:pPr>
      <w:r>
        <w:rPr>
          <w:rFonts w:ascii="Arial" w:cs="Arial" w:eastAsia="Arial" w:hAnsi="Arial"/>
          <w:b/>
          <w:bCs/>
          <w:sz w:val="22"/>
          <w:szCs w:val="22"/>
        </w:rPr>
        <w:t xml:space="preserve">Cycle frequency optimization: </w:t>
      </w:r>
      <w:r>
        <w:rPr>
          <w:rFonts w:ascii="Arial" w:cs="Arial" w:eastAsia="Arial" w:hAnsi="Arial"/>
          <w:sz w:val="22"/>
          <w:szCs w:val="22"/>
        </w:rPr>
        <w:t xml:space="preserve">Skip Claude API calls when inputs haven’t changed. No new news = skip news synthesis. FRED unchanged = skip macro analysis. Expected reduction: 50–70% of API calls.</w:t>
      </w:r>
    </w:p>
    <w:p>
      <w:pPr>
        <w:pStyle w:val="ListParagraph"/>
        <w:numPr>
          <w:ilvl w:val="0"/>
          <w:numId w:val="7"/>
        </w:numPr>
        <w:spacing w:after="80"/>
      </w:pPr>
      <w:r>
        <w:rPr>
          <w:rFonts w:ascii="Arial" w:cs="Arial" w:eastAsia="Arial" w:hAnsi="Arial"/>
          <w:b/>
          <w:bCs/>
          <w:sz w:val="22"/>
          <w:szCs w:val="22"/>
        </w:rPr>
        <w:t xml:space="preserve">Performance documentation: </w:t>
      </w:r>
      <w:r>
        <w:rPr>
          <w:rFonts w:ascii="Arial" w:cs="Arial" w:eastAsia="Arial" w:hAnsi="Arial"/>
          <w:sz w:val="22"/>
          <w:szCs w:val="22"/>
        </w:rPr>
        <w:t xml:space="preserve">Write up backtesting methodology, results, parameter optimization decisions. This becomes the credibility document for the public narrative.</w:t>
      </w:r>
    </w:p>
    <w:p>
      <w:pPr>
        <w:pStyle w:val="ListParagraph"/>
        <w:numPr>
          <w:ilvl w:val="0"/>
          <w:numId w:val="7"/>
        </w:numPr>
        <w:spacing w:after="80"/>
      </w:pPr>
      <w:r>
        <w:rPr>
          <w:rFonts w:ascii="Arial" w:cs="Arial" w:eastAsia="Arial" w:hAnsi="Arial"/>
          <w:b/>
          <w:bCs/>
          <w:sz w:val="22"/>
          <w:szCs w:val="22"/>
        </w:rPr>
        <w:t xml:space="preserve">Sentinel community engagement: </w:t>
      </w:r>
      <w:r>
        <w:rPr>
          <w:rFonts w:ascii="Arial" w:cs="Arial" w:eastAsia="Arial" w:hAnsi="Arial"/>
          <w:sz w:val="22"/>
          <w:szCs w:val="22"/>
        </w:rPr>
        <w:t xml:space="preserve">Soft reveal of the integrated system story. Architecture diagram, methodology post, decision object spec as an example for other agent builders.</w:t>
      </w:r>
    </w:p>
    <w:p>
      <w:r>
        <w:br w:type="page"/>
      </w:r>
    </w:p>
    <w:p>
      <w:pPr>
        <w:pStyle w:val="Heading1"/>
        <w:spacing w:after="200" w:before="360"/>
      </w:pPr>
      <w:r>
        <w:rPr>
          <w:rFonts w:ascii="Arial" w:cs="Arial" w:eastAsia="Arial" w:hAnsi="Arial"/>
          <w:b/>
          <w:bCs/>
          <w:color w:val="1A1A2E"/>
          <w:sz w:val="32"/>
          <w:szCs w:val="32"/>
        </w:rPr>
        <w:t xml:space="preserve">Arb Signal: Honest Assessment and Path Forward</w:t>
      </w:r>
    </w:p>
    <w:p>
      <w:pPr>
        <w:spacing w:after="160"/>
      </w:pPr>
      <w:r>
        <w:rPr>
          <w:rFonts w:ascii="Arial" w:cs="Arial" w:eastAsia="Arial" w:hAnsi="Arial"/>
          <w:sz w:val="22"/>
          <w:szCs w:val="22"/>
        </w:rPr>
        <w:t xml:space="preserve">The arb signal was the original centerpiece of the Market Agent thesis. The data shows it doesn’t work as a trading signal at retail execution speed. This section is an honest reckoning with that finding and a path forward.</w:t>
      </w:r>
    </w:p>
    <w:p>
      <w:pPr>
        <w:pStyle w:val="Heading2"/>
        <w:spacing w:after="160" w:before="280"/>
      </w:pPr>
      <w:r>
        <w:rPr>
          <w:rFonts w:ascii="Arial" w:cs="Arial" w:eastAsia="Arial" w:hAnsi="Arial"/>
          <w:b/>
          <w:bCs/>
          <w:color w:val="2E4057"/>
          <w:sz w:val="26"/>
          <w:szCs w:val="26"/>
        </w:rPr>
        <w:t xml:space="preserve">Why Arb Fails</w:t>
      </w:r>
    </w:p>
    <w:p>
      <w:pPr>
        <w:pStyle w:val="ListParagraph"/>
        <w:numPr>
          <w:ilvl w:val="0"/>
          <w:numId w:val="5"/>
        </w:numPr>
        <w:spacing w:after="80"/>
      </w:pPr>
      <w:r>
        <w:rPr>
          <w:rFonts w:ascii="Arial" w:cs="Arial" w:eastAsia="Arial" w:hAnsi="Arial"/>
          <w:b/>
          <w:bCs/>
          <w:sz w:val="22"/>
          <w:szCs w:val="22"/>
        </w:rPr>
        <w:t xml:space="preserve">Fee wall: </w:t>
      </w:r>
      <w:r>
        <w:rPr>
          <w:rFonts w:ascii="Arial" w:cs="Arial" w:eastAsia="Arial" w:hAnsi="Arial"/>
          <w:sz w:val="22"/>
          <w:szCs w:val="22"/>
        </w:rPr>
        <w:t xml:space="preserve">Round-trip cost is ~93bps (Aerodrome 30bps + Coinbase taker 60bps + gas ~3bps). Spreads must exceed this to be profitable.</w:t>
      </w:r>
    </w:p>
    <w:p>
      <w:pPr>
        <w:pStyle w:val="ListParagraph"/>
        <w:numPr>
          <w:ilvl w:val="0"/>
          <w:numId w:val="5"/>
        </w:numPr>
        <w:spacing w:after="80"/>
      </w:pPr>
      <w:r>
        <w:rPr>
          <w:rFonts w:ascii="Arial" w:cs="Arial" w:eastAsia="Arial" w:hAnsi="Arial"/>
          <w:b/>
          <w:bCs/>
          <w:sz w:val="22"/>
          <w:szCs w:val="22"/>
        </w:rPr>
        <w:t xml:space="preserve">Spread compression: </w:t>
      </w:r>
      <w:r>
        <w:rPr>
          <w:rFonts w:ascii="Arial" w:cs="Arial" w:eastAsia="Arial" w:hAnsi="Arial"/>
          <w:sz w:val="22"/>
          <w:szCs w:val="22"/>
        </w:rPr>
        <w:t xml:space="preserve">On Base L2 (400ms block time, $0.01–$0.05 gas), professional market makers close spreads faster than retail can execute. Only 6.5–6.8% of observations exceeded the fee wall.</w:t>
      </w:r>
    </w:p>
    <w:p>
      <w:pPr>
        <w:pStyle w:val="ListParagraph"/>
        <w:numPr>
          <w:ilvl w:val="0"/>
          <w:numId w:val="5"/>
        </w:numPr>
        <w:spacing w:after="80"/>
      </w:pPr>
      <w:r>
        <w:rPr>
          <w:rFonts w:ascii="Arial" w:cs="Arial" w:eastAsia="Arial" w:hAnsi="Arial"/>
          <w:b/>
          <w:bCs/>
          <w:sz w:val="22"/>
          <w:szCs w:val="22"/>
        </w:rPr>
        <w:t xml:space="preserve">Time limit exhaustion: </w:t>
      </w:r>
      <w:r>
        <w:rPr>
          <w:rFonts w:ascii="Arial" w:cs="Arial" w:eastAsia="Arial" w:hAnsi="Arial"/>
          <w:sz w:val="22"/>
          <w:szCs w:val="22"/>
        </w:rPr>
        <w:t xml:space="preserve">100% of arb exits hit the time limit. Spreads don’t persist long enough to hit take profit. The opportunity window is seconds, not minutes.</w:t>
      </w:r>
    </w:p>
    <w:p>
      <w:pPr>
        <w:pStyle w:val="ListParagraph"/>
        <w:numPr>
          <w:ilvl w:val="0"/>
          <w:numId w:val="5"/>
        </w:numPr>
        <w:spacing w:after="80"/>
      </w:pPr>
      <w:r>
        <w:rPr>
          <w:rFonts w:ascii="Arial" w:cs="Arial" w:eastAsia="Arial" w:hAnsi="Arial"/>
          <w:b/>
          <w:bCs/>
          <w:sz w:val="22"/>
          <w:szCs w:val="22"/>
        </w:rPr>
        <w:t xml:space="preserve">Data resolution: </w:t>
      </w:r>
      <w:r>
        <w:rPr>
          <w:rFonts w:ascii="Arial" w:cs="Arial" w:eastAsia="Arial" w:hAnsi="Arial"/>
          <w:sz w:val="22"/>
          <w:szCs w:val="22"/>
        </w:rPr>
        <w:t xml:space="preserve">Daily Aerodrome data from The Graph may be masking sub-hourly opportunities. But even with higher-resolution data, execution speed is the fundamental constraint.</w:t>
      </w:r>
    </w:p>
    <w:p>
      <w:pPr>
        <w:pStyle w:val="Heading2"/>
        <w:spacing w:after="160" w:before="280"/>
      </w:pPr>
      <w:r>
        <w:rPr>
          <w:rFonts w:ascii="Arial" w:cs="Arial" w:eastAsia="Arial" w:hAnsi="Arial"/>
          <w:b/>
          <w:bCs/>
          <w:color w:val="2E4057"/>
          <w:sz w:val="26"/>
          <w:szCs w:val="26"/>
        </w:rPr>
        <w:t xml:space="preserve">What the Arb Signal Is Good For</w:t>
      </w:r>
    </w:p>
    <w:p>
      <w:pPr>
        <w:spacing w:after="160"/>
      </w:pPr>
      <w:r>
        <w:rPr>
          <w:rFonts w:ascii="Arial" w:cs="Arial" w:eastAsia="Arial" w:hAnsi="Arial"/>
          <w:sz w:val="22"/>
          <w:szCs w:val="22"/>
        </w:rPr>
        <w:t xml:space="preserve">A spread blowout above 150–200bps indicates market stress: a large directional move, a liquidity event, or protocol instability. This is valuable intelligence even if you’re not the one capturing the spread.</w:t>
      </w:r>
    </w:p>
    <w:p>
      <w:pPr>
        <w:pStyle w:val="ListParagraph"/>
        <w:numPr>
          <w:ilvl w:val="0"/>
          <w:numId w:val="5"/>
        </w:numPr>
        <w:spacing w:after="80"/>
      </w:pPr>
      <w:r>
        <w:rPr>
          <w:rFonts w:ascii="Arial" w:cs="Arial" w:eastAsia="Arial" w:hAnsi="Arial"/>
          <w:b/>
          <w:bCs/>
          <w:sz w:val="22"/>
          <w:szCs w:val="22"/>
        </w:rPr>
        <w:t xml:space="preserve">Regime indicator: </w:t>
      </w:r>
      <w:r>
        <w:rPr>
          <w:rFonts w:ascii="Arial" w:cs="Arial" w:eastAsia="Arial" w:hAnsi="Arial"/>
          <w:sz w:val="22"/>
          <w:szCs w:val="22"/>
        </w:rPr>
        <w:t xml:space="preserve">Feed extreme spread events into the qualitative layer as a market stress signal. This strengthens the conviction modifier for directional trades.</w:t>
      </w:r>
    </w:p>
    <w:p>
      <w:pPr>
        <w:pStyle w:val="ListParagraph"/>
        <w:numPr>
          <w:ilvl w:val="0"/>
          <w:numId w:val="5"/>
        </w:numPr>
        <w:spacing w:after="80"/>
      </w:pPr>
      <w:r>
        <w:rPr>
          <w:rFonts w:ascii="Arial" w:cs="Arial" w:eastAsia="Arial" w:hAnsi="Arial"/>
          <w:b/>
          <w:bCs/>
          <w:sz w:val="22"/>
          <w:szCs w:val="22"/>
        </w:rPr>
        <w:t xml:space="preserve">Liquidity monitoring: </w:t>
      </w:r>
      <w:r>
        <w:rPr>
          <w:rFonts w:ascii="Arial" w:cs="Arial" w:eastAsia="Arial" w:hAnsi="Arial"/>
          <w:sz w:val="22"/>
          <w:szCs w:val="22"/>
        </w:rPr>
        <w:t xml:space="preserve">Track pool depth alongside spreads. A deepening spread with declining liquidity is an early warning of pool instability — useful for Sentinel’s risk assessment.</w:t>
      </w:r>
    </w:p>
    <w:p>
      <w:pPr>
        <w:pStyle w:val="ListParagraph"/>
        <w:numPr>
          <w:ilvl w:val="0"/>
          <w:numId w:val="5"/>
        </w:numPr>
        <w:spacing w:after="80"/>
      </w:pPr>
      <w:r>
        <w:rPr>
          <w:rFonts w:ascii="Arial" w:cs="Arial" w:eastAsia="Arial" w:hAnsi="Arial"/>
          <w:b/>
          <w:bCs/>
          <w:sz w:val="22"/>
          <w:szCs w:val="22"/>
        </w:rPr>
        <w:t xml:space="preserve">Future optionality: </w:t>
      </w:r>
      <w:r>
        <w:rPr>
          <w:rFonts w:ascii="Arial" w:cs="Arial" w:eastAsia="Arial" w:hAnsi="Arial"/>
          <w:sz w:val="22"/>
          <w:szCs w:val="22"/>
        </w:rPr>
        <w:t xml:space="preserve">If Aerodrome launches lower-fee tiers, or if a direct on-chain execution path eliminates the CEX leg, the arb math changes. Keep the infrastructure; revisit when conditions shift.</w:t>
      </w:r>
    </w:p>
    <w:p>
      <w:pPr>
        <w:pStyle w:val="Heading2"/>
        <w:spacing w:after="160" w:before="280"/>
      </w:pPr>
      <w:r>
        <w:rPr>
          <w:rFonts w:ascii="Arial" w:cs="Arial" w:eastAsia="Arial" w:hAnsi="Arial"/>
          <w:b/>
          <w:bCs/>
          <w:color w:val="2E4057"/>
          <w:sz w:val="26"/>
          <w:szCs w:val="26"/>
        </w:rPr>
        <w:t xml:space="preserve">Possible Arb Rehabilitation (Low Priority)</w:t>
      </w:r>
    </w:p>
    <w:p>
      <w:pPr>
        <w:spacing w:after="160"/>
      </w:pPr>
      <w:r>
        <w:rPr>
          <w:rFonts w:ascii="Arial" w:cs="Arial" w:eastAsia="Arial" w:hAnsi="Arial"/>
          <w:sz w:val="22"/>
          <w:szCs w:val="22"/>
        </w:rPr>
        <w:t xml:space="preserve">Two paths could rehabilitate arb as a trading signal, both speculative:</w:t>
      </w:r>
    </w:p>
    <w:p>
      <w:pPr>
        <w:pStyle w:val="ListParagraph"/>
        <w:numPr>
          <w:ilvl w:val="0"/>
          <w:numId w:val="5"/>
        </w:numPr>
        <w:spacing w:after="80"/>
      </w:pPr>
      <w:r>
        <w:rPr>
          <w:rFonts w:ascii="Arial" w:cs="Arial" w:eastAsia="Arial" w:hAnsi="Arial"/>
          <w:b/>
          <w:bCs/>
          <w:sz w:val="22"/>
          <w:szCs w:val="22"/>
        </w:rPr>
        <w:t xml:space="preserve">Fee tier check: </w:t>
      </w:r>
      <w:r>
        <w:rPr>
          <w:rFonts w:ascii="Arial" w:cs="Arial" w:eastAsia="Arial" w:hAnsi="Arial"/>
          <w:sz w:val="22"/>
          <w:szCs w:val="22"/>
        </w:rPr>
        <w:t xml:space="preserve">If cbBTC/USDC is a stable pair on Aerodrome (0.01% vs 0.30%), round-trip drops to ~64bps. This alone might not be enough, but it narrows the gap significantly.</w:t>
      </w:r>
    </w:p>
    <w:p>
      <w:pPr>
        <w:pStyle w:val="ListParagraph"/>
        <w:numPr>
          <w:ilvl w:val="0"/>
          <w:numId w:val="5"/>
        </w:numPr>
        <w:spacing w:after="80"/>
      </w:pPr>
      <w:r>
        <w:rPr>
          <w:rFonts w:ascii="Arial" w:cs="Arial" w:eastAsia="Arial" w:hAnsi="Arial"/>
          <w:b/>
          <w:bCs/>
          <w:sz w:val="22"/>
          <w:szCs w:val="22"/>
        </w:rPr>
        <w:t xml:space="preserve">Block-level data: </w:t>
      </w:r>
      <w:r>
        <w:rPr>
          <w:rFonts w:ascii="Arial" w:cs="Arial" w:eastAsia="Arial" w:hAnsi="Arial"/>
          <w:sz w:val="22"/>
          <w:szCs w:val="22"/>
        </w:rPr>
        <w:t xml:space="preserve">Implement Alchemy eth_getLogs decoding for swap-level DEX prices. If minute-level data shows exploitable windows that hourly data missed, and those windows are wide enough for on-chain execution (no CEX leg), there may be a path. This is research, not a commitment.</w:t>
      </w:r>
    </w:p>
    <w:p>
      <w:r>
        <w:br w:type="page"/>
      </w:r>
    </w:p>
    <w:p>
      <w:pPr>
        <w:pStyle w:val="Heading1"/>
        <w:spacing w:after="200" w:before="360"/>
      </w:pPr>
      <w:r>
        <w:rPr>
          <w:rFonts w:ascii="Arial" w:cs="Arial" w:eastAsia="Arial" w:hAnsi="Arial"/>
          <w:b/>
          <w:bCs/>
          <w:color w:val="1A1A2E"/>
          <w:sz w:val="32"/>
          <w:szCs w:val="32"/>
        </w:rPr>
        <w:t xml:space="preserve">Sentinel Decision Object</w:t>
      </w:r>
    </w:p>
    <w:p>
      <w:pPr>
        <w:spacing w:after="160"/>
      </w:pPr>
      <w:r>
        <w:rPr>
          <w:rFonts w:ascii="Arial" w:cs="Arial" w:eastAsia="Arial" w:hAnsi="Arial"/>
          <w:sz w:val="22"/>
          <w:szCs w:val="22"/>
        </w:rPr>
        <w:t xml:space="preserve">Unchanged from v2. The decision object spec, endpoint mapping, and response handling are stable. See v2 document for the full specification tables. Key points:</w:t>
      </w:r>
    </w:p>
    <w:p>
      <w:pPr>
        <w:pStyle w:val="ListParagraph"/>
        <w:numPr>
          <w:ilvl w:val="0"/>
          <w:numId w:val="5"/>
        </w:numPr>
        <w:spacing w:after="80"/>
      </w:pPr>
      <w:r>
        <w:rPr>
          <w:rFonts w:ascii="Arial" w:cs="Arial" w:eastAsia="Arial" w:hAnsi="Arial"/>
          <w:b/>
          <w:bCs/>
          <w:sz w:val="22"/>
          <w:szCs w:val="22"/>
        </w:rPr>
        <w:t xml:space="preserve">13 fields: </w:t>
      </w:r>
      <w:r>
        <w:rPr>
          <w:rFonts w:ascii="Arial" w:cs="Arial" w:eastAsia="Arial" w:hAnsi="Arial"/>
          <w:sz w:val="22"/>
          <w:szCs w:val="22"/>
        </w:rPr>
        <w:t xml:space="preserve">agent_id, action, target_contract, token_in, token_out, amount_usd, direction, confidence, regime, signal_agreement, entry_zone, thesis, cycle</w:t>
      </w:r>
    </w:p>
    <w:p>
      <w:pPr>
        <w:pStyle w:val="ListParagraph"/>
        <w:numPr>
          <w:ilvl w:val="0"/>
          <w:numId w:val="5"/>
        </w:numPr>
        <w:spacing w:after="80"/>
      </w:pPr>
      <w:r>
        <w:rPr>
          <w:rFonts w:ascii="Arial" w:cs="Arial" w:eastAsia="Arial" w:hAnsi="Arial"/>
          <w:b/>
          <w:bCs/>
          <w:sz w:val="22"/>
          <w:szCs w:val="22"/>
        </w:rPr>
        <w:t xml:space="preserve">4 Sentinel calls per decision: </w:t>
      </w:r>
      <w:r>
        <w:rPr>
          <w:rFonts w:ascii="Arial" w:cs="Arial" w:eastAsia="Arial" w:hAnsi="Arial"/>
          <w:sz w:val="22"/>
          <w:szCs w:val="22"/>
        </w:rPr>
        <w:t xml:space="preserve">/verify/contract ($0.010), /verify/token x2 ($0.005 each), /verify/transaction ($0.025). Total: $0.035–$0.055</w:t>
      </w:r>
    </w:p>
    <w:p>
      <w:pPr>
        <w:pStyle w:val="ListParagraph"/>
        <w:numPr>
          <w:ilvl w:val="0"/>
          <w:numId w:val="5"/>
        </w:numPr>
        <w:spacing w:after="80"/>
      </w:pPr>
      <w:r>
        <w:rPr>
          <w:rFonts w:ascii="Arial" w:cs="Arial" w:eastAsia="Arial" w:hAnsi="Arial"/>
          <w:b/>
          <w:bCs/>
          <w:sz w:val="22"/>
          <w:szCs w:val="22"/>
        </w:rPr>
        <w:t xml:space="preserve">Response handling: </w:t>
      </w:r>
      <w:r>
        <w:rPr>
          <w:rFonts w:ascii="Arial" w:cs="Arial" w:eastAsia="Arial" w:hAnsi="Arial"/>
          <w:sz w:val="22"/>
          <w:szCs w:val="22"/>
        </w:rPr>
        <w:t xml:space="preserve">SAFE/CAUTION (&gt;70) → human gate. WARNING → flagged review. DANGER → hard block.</w:t>
      </w:r>
    </w:p>
    <w:p>
      <w:pPr>
        <w:pStyle w:val="Heading1"/>
        <w:spacing w:after="200" w:before="360"/>
      </w:pPr>
      <w:r>
        <w:rPr>
          <w:rFonts w:ascii="Arial" w:cs="Arial" w:eastAsia="Arial" w:hAnsi="Arial"/>
          <w:b/>
          <w:bCs/>
          <w:color w:val="1A1A2E"/>
          <w:sz w:val="32"/>
          <w:szCs w:val="32"/>
        </w:rPr>
        <w:t xml:space="preserve">API Cost Management</w:t>
      </w:r>
    </w:p>
    <w:p>
      <w:pPr>
        <w:spacing w:after="160"/>
      </w:pPr>
      <w:r>
        <w:rPr>
          <w:rFonts w:ascii="Arial" w:cs="Arial" w:eastAsia="Arial" w:hAnsi="Arial"/>
          <w:sz w:val="22"/>
          <w:szCs w:val="22"/>
        </w:rPr>
        <w:t xml:space="preserve">Unchanged from v2. Hybrid Haiku/Sonnet strategy targets 55–70% cost reduction. Cycle frequency optimization targets 50–70% call reduction. Combined: monthly cost drops from $390–$1,050 (all Sonnet, every cycle) to an estimated $50–$150. Implementation is scheduled as parallel build track work during Phase 3 paper trading.</w:t>
      </w:r>
    </w:p>
    <w:p>
      <w:pPr>
        <w:pStyle w:val="Heading1"/>
        <w:spacing w:after="200" w:before="360"/>
      </w:pPr>
      <w:r>
        <w:rPr>
          <w:rFonts w:ascii="Arial" w:cs="Arial" w:eastAsia="Arial" w:hAnsi="Arial"/>
          <w:b/>
          <w:bCs/>
          <w:color w:val="1A1A2E"/>
          <w:sz w:val="32"/>
          <w:szCs w:val="32"/>
        </w:rPr>
        <w:t xml:space="preserve">Revenue Acceleration</w:t>
      </w:r>
    </w:p>
    <w:p>
      <w:pPr>
        <w:spacing w:after="160"/>
      </w:pPr>
      <w:r>
        <w:rPr>
          <w:rFonts w:ascii="Arial" w:cs="Arial" w:eastAsia="Arial" w:hAnsi="Arial"/>
          <w:sz w:val="22"/>
          <w:szCs w:val="22"/>
        </w:rPr>
        <w:t xml:space="preserve">Phase 3 now starts </w:t>
      </w:r>
      <w:r>
        <w:rPr>
          <w:rFonts w:ascii="Arial" w:cs="Arial" w:eastAsia="Arial" w:hAnsi="Arial"/>
          <w:b/>
          <w:bCs/>
          <w:sz w:val="22"/>
          <w:szCs w:val="22"/>
        </w:rPr>
        <w:t xml:space="preserve">5 weeks earlier than v1</w:t>
      </w:r>
      <w:r>
        <w:rPr>
          <w:rFonts w:ascii="Arial" w:cs="Arial" w:eastAsia="Arial" w:hAnsi="Arial"/>
          <w:sz w:val="22"/>
          <w:szCs w:val="22"/>
        </w:rPr>
        <w:t xml:space="preserve">. But the bigger revenue insight is that Briefing-as-a-Service can launch during Phase 3 paper trading as a parallel build track item. This means revenue generation doesn’t wait for Phase 3 completion — it can begin during Phase 3.</w:t>
      </w:r>
    </w:p>
    <w:p>
      <w:pPr>
        <w:pStyle w:val="Heading2"/>
        <w:spacing w:after="160" w:before="280"/>
      </w:pPr>
      <w:r>
        <w:rPr>
          <w:rFonts w:ascii="Arial" w:cs="Arial" w:eastAsia="Arial" w:hAnsi="Arial"/>
          <w:b/>
          <w:bCs/>
          <w:color w:val="2E4057"/>
          <w:sz w:val="26"/>
          <w:szCs w:val="26"/>
        </w:rPr>
        <w:t xml:space="preserve">Revenue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c>
          <w:tcPr>
            <w:tcW w:type="dxa" w:w="20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Stream</w:t>
            </w:r>
          </w:p>
        </w:tc>
        <w:tc>
          <w:tcPr>
            <w:tcW w:type="dxa" w:w="20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Earliest Start</w:t>
            </w:r>
          </w:p>
        </w:tc>
        <w:tc>
          <w:tcPr>
            <w:tcW w:type="dxa" w:w="28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w:t>
            </w:r>
          </w:p>
        </w:tc>
        <w:tc>
          <w:tcPr>
            <w:tcW w:type="dxa" w:w="256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Briefing-as-a-Service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 (Apr 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$0.01–$0.05 per query via x402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Endpoints exist. Needs x402 payment wrapper.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Sentinel queries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 (Apr 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$0.035–$0.055 per decision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Paper trading generates real queries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Other agents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4+ (Apr 22+)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Multiplier on Sentinel queries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case study + integration docs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 P&amp;L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TBD from backtest projections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gate must pass first</w:t>
            </w:r>
          </w:p>
        </w:tc>
      </w:tr>
    </w:tbl>
    <w:p>
      <w:pPr>
        <w:spacing w:after="200"/>
      </w:pPr>
    </w:p>
    <w:p>
      <w:r>
        <w:br w:type="page"/>
      </w:r>
    </w:p>
    <w:p>
      <w:pPr>
        <w:pStyle w:val="Heading1"/>
        <w:spacing w:after="200" w:before="360"/>
      </w:pPr>
      <w:r>
        <w:rPr>
          <w:rFonts w:ascii="Arial" w:cs="Arial" w:eastAsia="Arial" w:hAnsi="Arial"/>
          <w:b/>
          <w:bCs/>
          <w:color w:val="1A1A2E"/>
          <w:sz w:val="32"/>
          <w:szCs w:val="32"/>
        </w:rPr>
        <w:t xml:space="preserve">Public Narrative Playbook</w:t>
      </w:r>
    </w:p>
    <w:p>
      <w:pPr>
        <w:spacing w:after="160"/>
      </w:pPr>
      <w:r>
        <w:rPr>
          <w:rFonts w:ascii="Arial" w:cs="Arial" w:eastAsia="Arial" w:hAnsi="Arial"/>
          <w:sz w:val="22"/>
          <w:szCs w:val="22"/>
        </w:rPr>
        <w:t xml:space="preserve">Compressed to match the new timeline. The narrative stages are now tied to real milestones, not calendar weeks.</w:t>
      </w:r>
    </w:p>
    <w:p>
      <w:pPr>
        <w:pStyle w:val="Heading2"/>
        <w:spacing w:after="160" w:before="280"/>
      </w:pPr>
      <w:r>
        <w:rPr>
          <w:rFonts w:ascii="Arial" w:cs="Arial" w:eastAsia="Arial" w:hAnsi="Arial"/>
          <w:b/>
          <w:bCs/>
          <w:color w:val="2E4057"/>
          <w:sz w:val="26"/>
          <w:szCs w:val="26"/>
        </w:rPr>
        <w:t xml:space="preserve">Stage 1: Now Through Phase 2 Gate — Silent</w:t>
      </w:r>
    </w:p>
    <w:p>
      <w:pPr>
        <w:spacing w:after="160"/>
      </w:pPr>
      <w:r>
        <w:rPr>
          <w:rFonts w:ascii="Arial" w:cs="Arial" w:eastAsia="Arial" w:hAnsi="Arial"/>
          <w:sz w:val="22"/>
          <w:szCs w:val="22"/>
        </w:rPr>
        <w:t xml:space="preserve">No public mentions of Market Agent. Focus on Sentinel’s community-facing features. Internal development only.</w:t>
      </w:r>
    </w:p>
    <w:p>
      <w:pPr>
        <w:pStyle w:val="Heading2"/>
        <w:spacing w:after="160" w:before="280"/>
      </w:pPr>
      <w:r>
        <w:rPr>
          <w:rFonts w:ascii="Arial" w:cs="Arial" w:eastAsia="Arial" w:hAnsi="Arial"/>
          <w:b/>
          <w:bCs/>
          <w:color w:val="2E4057"/>
          <w:sz w:val="26"/>
          <w:szCs w:val="26"/>
        </w:rPr>
        <w:t xml:space="preserve">Stage 2: Phase 3 Week 1 — Soft Reveal</w:t>
      </w:r>
    </w:p>
    <w:p>
      <w:pPr>
        <w:spacing w:after="160"/>
      </w:pPr>
      <w:r>
        <w:rPr>
          <w:rFonts w:ascii="Arial" w:cs="Arial" w:eastAsia="Arial" w:hAnsi="Arial"/>
          <w:sz w:val="22"/>
          <w:szCs w:val="22"/>
        </w:rPr>
        <w:t xml:space="preserve">After graduation decision, share a technical post: “how we use Sentinel to constrain an autonomous agent.” Architecture diagram, backtesting methodology, decision object spec. Frame as a case study, not a product launch. Goal: other agent builders see the pattern and ask how to replicate it.</w:t>
      </w:r>
    </w:p>
    <w:p>
      <w:pPr>
        <w:pStyle w:val="Heading2"/>
        <w:spacing w:after="160" w:before="280"/>
      </w:pPr>
      <w:r>
        <w:rPr>
          <w:rFonts w:ascii="Arial" w:cs="Arial" w:eastAsia="Arial" w:hAnsi="Arial"/>
          <w:b/>
          <w:bCs/>
          <w:color w:val="2E4057"/>
          <w:sz w:val="26"/>
          <w:szCs w:val="26"/>
        </w:rPr>
        <w:t xml:space="preserve">Stage 3: Phase 3 Checkpoint — Full Story</w:t>
      </w:r>
    </w:p>
    <w:p>
      <w:pPr>
        <w:spacing w:after="160"/>
      </w:pPr>
      <w:r>
        <w:rPr>
          <w:rFonts w:ascii="Arial" w:cs="Arial" w:eastAsia="Arial" w:hAnsi="Arial"/>
          <w:sz w:val="22"/>
          <w:szCs w:val="22"/>
        </w:rPr>
        <w:t xml:space="preserve">Paper trading results in hand. Publish the complete case study: backtest results, paper trading performance, Sentinel integration metrics, trust progression data, honest arb assessment (showing the pivot adds credibility). Venues: x402 GitHub thread, Base ecosystem channels, blog post. If Erik Reppel has engaged on ERC-8004, share directly.</w:t>
      </w:r>
    </w:p>
    <w:p>
      <w:pPr>
        <w:pStyle w:val="Heading2"/>
        <w:spacing w:after="160" w:before="280"/>
      </w:pPr>
      <w:r>
        <w:rPr>
          <w:rFonts w:ascii="Arial" w:cs="Arial" w:eastAsia="Arial" w:hAnsi="Arial"/>
          <w:b/>
          <w:bCs/>
          <w:color w:val="2E4057"/>
          <w:sz w:val="26"/>
          <w:szCs w:val="26"/>
        </w:rPr>
        <w:t xml:space="preserve">Stage 4: Post-Phase 3 — Reference Implementation</w:t>
      </w:r>
    </w:p>
    <w:p>
      <w:pPr>
        <w:spacing w:after="160"/>
      </w:pPr>
      <w:r>
        <w:rPr>
          <w:rFonts w:ascii="Arial" w:cs="Arial" w:eastAsia="Arial" w:hAnsi="Arial"/>
          <w:sz w:val="22"/>
          <w:szCs w:val="22"/>
        </w:rPr>
        <w:t xml:space="preserve">Open-source the integration code. Let other agents fork Market Agent’s Sentinel integration pattern. The honest arb assessment and directional pivot make the story more credible, not less — it shows data-driven decision-making.</w:t>
      </w:r>
    </w:p>
    <w:p>
      <w:r>
        <w:br w:type="page"/>
      </w:r>
    </w:p>
    <w:p>
      <w:pPr>
        <w:pStyle w:val="Heading1"/>
        <w:spacing w:after="200" w:before="360"/>
      </w:pPr>
      <w:r>
        <w:rPr>
          <w:rFonts w:ascii="Arial" w:cs="Arial" w:eastAsia="Arial" w:hAnsi="Arial"/>
          <w:b/>
          <w:bCs/>
          <w:color w:val="1A1A2E"/>
          <w:sz w:val="32"/>
          <w:szCs w:val="32"/>
        </w:rPr>
        <w:t xml:space="preserve">Critical Path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200"/>
        <w:gridCol w:w="3360"/>
        <w:gridCol w:w="2400"/>
      </w:tblGrid>
      <w:tr>
        <w:tc>
          <w:tcPr>
            <w:tcW w:type="dxa" w:w="8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Gate</w:t>
            </w:r>
          </w:p>
        </w:tc>
        <w:tc>
          <w:tcPr>
            <w:tcW w:type="dxa" w:w="16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Deadline</w:t>
            </w:r>
          </w:p>
        </w:tc>
        <w:tc>
          <w:tcPr>
            <w:tcW w:type="dxa" w:w="12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36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4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8A745"/>
                <w:sz w:val="22"/>
                <w:szCs w:val="22"/>
              </w:rPr>
              <w:t xml:space="preserve">PASSED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Persistence + backfill + harness operational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optimization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 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least 1 signal graduates (Sharpe &gt;1.0, drawdown &lt;15%, hit rate &gt;40%, PF &gt;1.5)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deployment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 27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Paper P&amp;L within 20% of backtest. Sentinel uptime &gt;99%. No false DANGER blocks.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 (real capital)</w:t>
            </w:r>
          </w:p>
        </w:tc>
      </w:tr>
    </w:tbl>
    <w:p>
      <w:pPr>
        <w:spacing w:after="300"/>
      </w:pPr>
    </w:p>
    <w:p>
      <w:pPr>
        <w:pStyle w:val="Heading2"/>
        <w:spacing w:after="160" w:before="280"/>
      </w:pPr>
      <w:r>
        <w:rPr>
          <w:rFonts w:ascii="Arial" w:cs="Arial" w:eastAsia="Arial" w:hAnsi="Arial"/>
          <w:b/>
          <w:bCs/>
          <w:color w:val="2E4057"/>
          <w:sz w:val="26"/>
          <w:szCs w:val="26"/>
        </w:rPr>
        <w:t xml:space="preserve">What’s Different About This Critical Path</w:t>
      </w:r>
    </w:p>
    <w:p>
      <w:pPr>
        <w:spacing w:after="160"/>
      </w:pPr>
      <w:r>
        <w:rPr>
          <w:rFonts w:ascii="Arial" w:cs="Arial" w:eastAsia="Arial" w:hAnsi="Arial"/>
          <w:sz w:val="22"/>
          <w:szCs w:val="22"/>
        </w:rPr>
        <w:t xml:space="preserve">Gate 1 is already passed. That has never happened on Day 1 of a production plan before. Gate 2 is a review gate, not a build gate — the infrastructure exists, you’re deciding whether the results are good enough. Gate 3 is a market gate — no amount of engineering speed compresses the need for real-world validation.</w:t>
      </w:r>
    </w:p>
    <w:p>
      <w:pPr>
        <w:spacing w:after="160"/>
      </w:pPr>
      <w:r>
        <w:rPr>
          <w:rFonts w:ascii="Arial" w:cs="Arial" w:eastAsia="Arial" w:hAnsi="Arial"/>
          <w:sz w:val="22"/>
          <w:szCs w:val="22"/>
        </w:rPr>
        <w:t xml:space="preserve">The entire plan now has exactly one type of risk that matters: are the directional signals good enough after parameter optimization? Everything else — infrastructure, tooling, Sentinel integration, paper trading engine — is solved or solvable in hours. The open question is whether ETH/USDC directional can cross the graduation threshold with better-calibrated barriers. The data suggests yes (38.2% hit rate with miscalibrated parameters), but the optimization hasn’t been run yet. That’s the next step.</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4FD" w:val="clear"/>
            <w:tcMar>
              <w:top w:type="dxa" w:w="120"/>
              <w:left w:type="dxa" w:w="200"/>
              <w:bottom w:type="dxa" w:w="120"/>
              <w:right w:type="dxa" w:w="200"/>
            </w:tcMar>
          </w:tcPr>
          <w:p>
            <w:pPr>
              <w:spacing w:after="160"/>
            </w:pPr>
            <w:r>
              <w:rPr>
                <w:rFonts w:ascii="Arial" w:cs="Arial" w:eastAsia="Arial" w:hAnsi="Arial"/>
                <w:b/>
                <w:bCs/>
                <w:sz w:val="22"/>
                <w:szCs w:val="22"/>
              </w:rPr>
              <w:t xml:space="preserve">v1 said: </w:t>
            </w:r>
            <w:r>
              <w:rPr>
                <w:rFonts w:ascii="Arial" w:cs="Arial" w:eastAsia="Arial" w:hAnsi="Arial"/>
                <w:i/>
                <w:iCs/>
                <w:sz w:val="22"/>
                <w:szCs w:val="22"/>
              </w:rPr>
              <w:t xml:space="preserve">“The single most important action item is raw data persistence.”</w:t>
            </w:r>
          </w:p>
          <w:p>
            <w:pPr>
              <w:spacing w:after="160"/>
            </w:pPr>
            <w:r>
              <w:rPr>
                <w:rFonts w:ascii="Arial" w:cs="Arial" w:eastAsia="Arial" w:hAnsi="Arial"/>
                <w:b/>
                <w:bCs/>
                <w:sz w:val="22"/>
                <w:szCs w:val="22"/>
              </w:rPr>
              <w:t xml:space="preserve">v2 said: </w:t>
            </w:r>
            <w:r>
              <w:rPr>
                <w:rFonts w:ascii="Arial" w:cs="Arial" w:eastAsia="Arial" w:hAnsi="Arial"/>
                <w:i/>
                <w:iCs/>
                <w:sz w:val="22"/>
                <w:szCs w:val="22"/>
              </w:rPr>
              <w:t xml:space="preserve">“The single most important action item is the backfill pipeline and backtesting harness.”</w:t>
            </w:r>
          </w:p>
          <w:p>
            <w:pPr>
              <w:spacing w:after="160"/>
            </w:pPr>
            <w:r>
              <w:rPr>
                <w:rFonts w:ascii="Arial" w:cs="Arial" w:eastAsia="Arial" w:hAnsi="Arial"/>
                <w:b/>
                <w:bCs/>
                <w:sz w:val="22"/>
                <w:szCs w:val="22"/>
              </w:rPr>
              <w:t xml:space="preserve">v3 says: </w:t>
            </w:r>
            <w:r>
              <w:rPr>
                <w:rFonts w:ascii="Arial" w:cs="Arial" w:eastAsia="Arial" w:hAnsi="Arial"/>
                <w:sz w:val="22"/>
                <w:szCs w:val="22"/>
              </w:rPr>
              <w:t xml:space="preserve">Both are done. The single most important action item is the directional signal parameter sweep. If ETH/USDC crosses the graduation threshold with optimized barriers, Phase 3 starts next week. If it doesn’t, we know exactly what to try next.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6"/>
        <w:szCs w:val="16"/>
      </w:rPr>
      <w:t xml:space="preserve">Sentinel / Market Agent  —  Internal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6" w:space="1"/>
      </w:pBdr>
      <w:spacing w:after="0"/>
    </w:pPr>
    <w:r>
      <w:rPr>
        <w:rFonts w:ascii="Arial" w:cs="Arial" w:eastAsia="Arial" w:hAnsi="Arial"/>
        <w:b/>
        <w:bCs/>
        <w:color w:val="2E4057"/>
        <w:sz w:val="16"/>
        <w:szCs w:val="16"/>
      </w:rPr>
      <w:t xml:space="preserve">MARKET AGENT</w:t>
    </w:r>
    <w:r>
      <w:rPr>
        <w:rFonts w:ascii="Arial" w:cs="Arial" w:eastAsia="Arial" w:hAnsi="Arial"/>
        <w:color w:val="666666"/>
        <w:sz w:val="16"/>
        <w:szCs w:val="16"/>
      </w:rPr>
      <w:t xml:space="preserve">  |  Aggressive Production Plan v3 — Data-Driven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2"/>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2026-04-01T11:39:17.349Z</dcterms:created>
  <dcterms:modified xsi:type="dcterms:W3CDTF">2026-04-01T11:39:17.349Z</dcterms:modified>
</cp:coreProperties>
</file>

<file path=docProps/custom.xml><?xml version="1.0" encoding="utf-8"?>
<Properties xmlns="http://schemas.openxmlformats.org/officeDocument/2006/custom-properties" xmlns:vt="http://schemas.openxmlformats.org/officeDocument/2006/docPropsVTypes"/>
</file>