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B4F72"/>
          <w:sz w:val="52"/>
          <w:szCs w:val="52"/>
        </w:rPr>
        <w:t xml:space="preserve">MARKET AGENT</w:t>
      </w:r>
    </w:p>
    <w:p>
      <w:pPr>
        <w:spacing w:after="120"/>
        <w:jc w:val="center"/>
      </w:pPr>
      <w:r>
        <w:rPr>
          <w:rFonts w:ascii="Arial" w:cs="Arial" w:eastAsia="Arial" w:hAnsi="Arial"/>
          <w:color w:val="2C3E50"/>
          <w:sz w:val="36"/>
          <w:szCs w:val="36"/>
        </w:rPr>
        <w:t xml:space="preserve">Aggressive Production Plan</w:t>
      </w:r>
    </w:p>
    <w:p>
      <w:pPr>
        <w:spacing w:after="600"/>
        <w:jc w:val="center"/>
      </w:pPr>
      <w:r>
        <w:rPr>
          <w:rFonts w:ascii="Arial" w:cs="Arial" w:eastAsia="Arial" w:hAnsi="Arial"/>
          <w:b/>
          <w:bCs/>
          <w:color w:val="2E86C1"/>
          <w:sz w:val="28"/>
          <w:szCs w:val="28"/>
        </w:rPr>
        <w:t xml:space="preserve">v4 — Phase 2 Complete, Entering Phase 3</w:t>
      </w:r>
    </w:p>
    <w:p>
      <w:pPr>
        <w:spacing w:after="80"/>
        <w:jc w:val="center"/>
      </w:pPr>
      <w:r>
        <w:rPr>
          <w:rFonts w:ascii="Arial" w:cs="Arial" w:eastAsia="Arial" w:hAnsi="Arial"/>
          <w:color w:val="5D6D7E"/>
          <w:sz w:val="22"/>
          <w:szCs w:val="22"/>
        </w:rPr>
        <w:t xml:space="preserve">April 1, 2026</w:t>
      </w:r>
    </w:p>
    <w:p>
      <w:pPr>
        <w:spacing w:after="600"/>
        <w:jc w:val="center"/>
      </w:pPr>
      <w:r>
        <w:rPr>
          <w:rFonts w:ascii="Arial" w:cs="Arial" w:eastAsia="Arial" w:hAnsi="Arial"/>
          <w:i/>
          <w:iCs/>
          <w:color w:val="5D6D7E"/>
          <w:sz w:val="20"/>
          <w:szCs w:val="20"/>
        </w:rPr>
        <w:t xml:space="preserve">Classification: Internal — Engineering &amp;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2"/>
              <w:left w:val="single" w:color="1B4F72" w:sz="8"/>
              <w:bottom w:val="none" w:sz="0"/>
              <w:right w:val="none" w:sz="0"/>
            </w:tcBorders>
            <w:shd w:fill="D4E6F1" w:val="clear"/>
            <w:tcMar>
              <w:top w:type="dxa" w:w="120"/>
              <w:left w:type="dxa" w:w="200"/>
              <w:bottom w:type="dxa" w:w="120"/>
              <w:right w:type="dxa" w:w="200"/>
            </w:tcMar>
          </w:tcPr>
          <w:p>
            <w:r>
              <w:rPr>
                <w:rFonts w:ascii="Arial" w:cs="Arial" w:eastAsia="Arial" w:hAnsi="Arial"/>
                <w:color w:val="2C3E50"/>
                <w:sz w:val="20"/>
                <w:szCs w:val="20"/>
              </w:rPr>
              <w:t xml:space="preserve">PLAN EVOLUTION
v1 (March 31): 10-week plan. Assumed human engineering velocity and 14-day data gate.
v2 (April 1 AM): 7-week plan. Historical backfill eliminates data gate. Hummingbot learnings integrated.
v3 (April 1 PM): 5-week plan. Real backtest results drive strategy. AI-speed engineering reframes the timeline around market exposure.
v4 (April 1 Evening): Phase 2 complete. cbBTC/USDC graduates 6/6. Strategic pivot confirmed by real data: composite signal with reversion-as-filter outperforms all standalone signals. Entering Phase 3.</w:t>
            </w:r>
          </w:p>
        </w:tc>
      </w:tr>
    </w:tbl>
    <w:p>
      <w:r>
        <w:br w:type="page"/>
      </w:r>
    </w:p>
    <w:p>
      <w:pPr>
        <w:pStyle w:val="Heading1"/>
        <w:spacing w:after="200" w:before="360"/>
      </w:pPr>
      <w:r>
        <w:rPr>
          <w:rFonts w:ascii="Arial" w:cs="Arial" w:eastAsia="Arial" w:hAnsi="Arial"/>
          <w:b/>
          <w:bCs/>
          <w:color w:val="1B4F72"/>
          <w:sz w:val="32"/>
          <w:szCs w:val="32"/>
        </w:rPr>
        <w:t xml:space="preserve">Executive Summary</w:t>
      </w:r>
    </w:p>
    <w:p>
      <w:pPr>
        <w:spacing w:after="160"/>
        <w:jc w:val="left"/>
      </w:pPr>
      <w:r>
        <w:rPr>
          <w:rFonts w:ascii="Arial" w:cs="Arial" w:eastAsia="Arial" w:hAnsi="Arial"/>
          <w:b w:val="false"/>
          <w:bCs w:val="false"/>
          <w:i w:val="false"/>
          <w:iCs w:val="false"/>
          <w:color w:val="2C3E50"/>
          <w:sz w:val="20"/>
          <w:szCs w:val="20"/>
        </w:rPr>
        <w:t xml:space="preserve">Market Agent and Sentinel are one system. Sentinel generates proprietary risk intelligence. Market Agent acts on it. This plan tracks the path from intelligence-only (Phase 1, complete) through signal validation (Phase 2, complete) to paper trading with Sentinel verification (Phase 3, starting now).</w:t>
      </w:r>
    </w:p>
    <w:p>
      <w:pPr>
        <w:spacing w:after="160"/>
      </w:pPr>
      <w:r>
        <w:rPr>
          <w:rFonts w:ascii="Arial" w:cs="Arial" w:eastAsia="Arial" w:hAnsi="Arial"/>
          <w:b/>
          <w:bCs/>
          <w:i w:val="false"/>
          <w:iCs w:val="false"/>
          <w:color w:val="2C3E50"/>
          <w:sz w:val="20"/>
          <w:szCs w:val="20"/>
        </w:rPr>
        <w:t xml:space="preserve">What changed in v4: </w:t>
      </w:r>
      <w:r>
        <w:rPr>
          <w:rFonts w:ascii="Arial" w:cs="Arial" w:eastAsia="Arial" w:hAnsi="Arial"/>
          <w:b w:val="false"/>
          <w:bCs w:val="false"/>
          <w:i w:val="false"/>
          <w:iCs w:val="false"/>
          <w:color w:val="2C3E50"/>
          <w:sz w:val="20"/>
          <w:szCs w:val="20"/>
        </w:rPr>
        <w:t xml:space="preserve">Phase 2 is done. The directional signal parameter sweep, signal decomposition analysis, and graduation review are all complete. cbBTC/USDC passes all 6 graduation criteria with a Sharpe of 4.46, hit rate of 53.3%, and profit factor of 3.96. The signal that graduated is not a single indicator but a </w:t>
      </w:r>
      <w:r>
        <w:rPr>
          <w:rFonts w:ascii="Arial" w:cs="Arial" w:eastAsia="Arial" w:hAnsi="Arial"/>
          <w:b/>
          <w:bCs/>
          <w:i w:val="false"/>
          <w:iCs w:val="false"/>
          <w:color w:val="2C3E50"/>
          <w:sz w:val="20"/>
          <w:szCs w:val="20"/>
        </w:rPr>
        <w:t xml:space="preserve">composite ensemble</w:t>
      </w:r>
      <w:r>
        <w:rPr>
          <w:rFonts w:ascii="Arial" w:cs="Arial" w:eastAsia="Arial" w:hAnsi="Arial"/>
          <w:b w:val="false"/>
          <w:bCs w:val="false"/>
          <w:i w:val="false"/>
          <w:iCs w:val="false"/>
          <w:color w:val="2C3E50"/>
          <w:sz w:val="20"/>
          <w:szCs w:val="20"/>
        </w:rPr>
        <w:t xml:space="preserve"> where the interaction between trend and reversion signals creates emergent filtering behavior that outperforms any standalone signal.</w:t>
      </w:r>
    </w:p>
    <w:p>
      <w:pPr>
        <w:pStyle w:val="Heading2"/>
        <w:spacing w:after="160" w:before="280"/>
      </w:pPr>
      <w:r>
        <w:rPr>
          <w:rFonts w:ascii="Arial" w:cs="Arial" w:eastAsia="Arial" w:hAnsi="Arial"/>
          <w:b/>
          <w:bCs/>
          <w:color w:val="2C3E50"/>
          <w:sz w:val="26"/>
          <w:szCs w:val="26"/>
        </w:rPr>
        <w:t xml:space="preserve">Key Discovery: Reversion-as-Filter</w:t>
      </w:r>
    </w:p>
    <w:p>
      <w:pPr>
        <w:spacing w:after="160"/>
        <w:jc w:val="left"/>
      </w:pPr>
      <w:r>
        <w:rPr>
          <w:rFonts w:ascii="Arial" w:cs="Arial" w:eastAsia="Arial" w:hAnsi="Arial"/>
          <w:b w:val="false"/>
          <w:bCs w:val="false"/>
          <w:i w:val="false"/>
          <w:iCs w:val="false"/>
          <w:color w:val="2C3E50"/>
          <w:sz w:val="20"/>
          <w:szCs w:val="20"/>
        </w:rPr>
        <w:t xml:space="preserve">The most important finding from Phase 2 is that the reversion signal (Sharpe -3.21 standalone, deeply unprofitable on its own) acts as an implicit trade filter inside the composite. When reversion disagrees with the trend signal, composite confidence drops below the 0.5 threshold, preventing bad entries. This mechanism blocked 48 trades averaging -40.6 bps each, saving 1,948 bps total. The composite Sharpe of 4.46 vs trend standalone Sharpe of 1.28 is driven by this emergent behavior.</w:t>
      </w:r>
    </w:p>
    <w:p>
      <w:pPr>
        <w:pStyle w:val="Heading2"/>
        <w:spacing w:after="160" w:before="280"/>
      </w:pPr>
      <w:r>
        <w:rPr>
          <w:rFonts w:ascii="Arial" w:cs="Arial" w:eastAsia="Arial" w:hAnsi="Arial"/>
          <w:b/>
          <w:bCs/>
          <w:color w:val="2C3E50"/>
          <w:sz w:val="26"/>
          <w:szCs w:val="26"/>
        </w:rPr>
        <w:t xml:space="preserve">Scope Reduction</w:t>
      </w:r>
    </w:p>
    <w:p>
      <w:pPr>
        <w:spacing w:after="160"/>
        <w:jc w:val="left"/>
      </w:pPr>
      <w:r>
        <w:rPr>
          <w:rFonts w:ascii="Arial" w:cs="Arial" w:eastAsia="Arial" w:hAnsi="Arial"/>
          <w:b w:val="false"/>
          <w:bCs w:val="false"/>
          <w:i w:val="false"/>
          <w:iCs w:val="false"/>
          <w:color w:val="2C3E50"/>
          <w:sz w:val="20"/>
          <w:szCs w:val="20"/>
        </w:rPr>
        <w:t xml:space="preserve">ETH/USDC was the v3 lead candidate for graduation. The real data tells a different story: ETH/USDC is unprofitable across every parameter configuration tested (best Sharpe: -0.68). cbBTC/USDC, which v3 described as borderline, is the pair that graduated. ETH/USDC and AERO/USDC have been dropped from the active scope. The system is now focused entirely on cbBTC/USDC.</w:t>
      </w:r>
    </w:p>
    <w:p>
      <w:pPr>
        <w:pStyle w:val="Heading1"/>
        <w:spacing w:after="200" w:before="360"/>
      </w:pPr>
      <w:r>
        <w:rPr>
          <w:rFonts w:ascii="Arial" w:cs="Arial" w:eastAsia="Arial" w:hAnsi="Arial"/>
          <w:b/>
          <w:bCs/>
          <w:color w:val="1B4F72"/>
          <w:sz w:val="32"/>
          <w:szCs w:val="32"/>
        </w:rPr>
        <w:t xml:space="preserve">Phase 2 Results: Signal Graduation</w:t>
      </w:r>
    </w:p>
    <w:p>
      <w:pPr>
        <w:pStyle w:val="Heading2"/>
        <w:spacing w:after="160" w:before="280"/>
      </w:pPr>
      <w:r>
        <w:rPr>
          <w:rFonts w:ascii="Arial" w:cs="Arial" w:eastAsia="Arial" w:hAnsi="Arial"/>
          <w:b/>
          <w:bCs/>
          <w:color w:val="2C3E50"/>
          <w:sz w:val="26"/>
          <w:szCs w:val="26"/>
        </w:rPr>
        <w:t xml:space="preserve">Final Backtest Results (Real Data, Optimized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1000"/>
        <w:gridCol w:w="900"/>
        <w:gridCol w:w="1000"/>
        <w:gridCol w:w="900"/>
        <w:gridCol w:w="9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Signal</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Trades</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Hit Rate</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Avg P&amp;L</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Sharpe</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Profit F.</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Max DD</w:t>
            </w:r>
          </w:p>
        </w:tc>
        <w:tc>
          <w:tcPr>
            <w:tcW w:type="dxa" w:w="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Verdict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C3E50"/>
                <w:sz w:val="20"/>
                <w:szCs w:val="20"/>
              </w:rPr>
              <w:t xml:space="preserve">Composite (cbBTC)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30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53.3%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E8449"/>
                <w:sz w:val="20"/>
                <w:szCs w:val="20"/>
              </w:rPr>
              <w:t xml:space="preserve">+58.1 bps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E8449"/>
                <w:sz w:val="20"/>
                <w:szCs w:val="20"/>
              </w:rPr>
              <w:t xml:space="preserve">4.46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E8449"/>
                <w:sz w:val="20"/>
                <w:szCs w:val="20"/>
              </w:rPr>
              <w:t xml:space="preserve">3.96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E8449"/>
                <w:sz w:val="20"/>
                <w:szCs w:val="20"/>
              </w:rPr>
              <w:t xml:space="preserve">0.05%</w:t>
            </w:r>
          </w:p>
        </w:tc>
        <w:tc>
          <w:tcPr>
            <w:tcW w:type="dxa" w:w="96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PASS 6/6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Trend Standalone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78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44.9%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E8449"/>
                <w:sz w:val="20"/>
                <w:szCs w:val="20"/>
              </w:rPr>
              <w:t xml:space="preserve">+27.3 bps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1.28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1.79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0.10%</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E8449"/>
                <w:sz w:val="20"/>
                <w:szCs w:val="20"/>
              </w:rPr>
              <w:t xml:space="preserve">PASS 6/6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Reversion Standalone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78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29.5%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922B21"/>
                <w:sz w:val="20"/>
                <w:szCs w:val="20"/>
              </w:rPr>
              <w:t xml:space="preserve">-61.3 bps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922B21"/>
                <w:sz w:val="20"/>
                <w:szCs w:val="20"/>
              </w:rPr>
              <w:t xml:space="preserve">-3.21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922B21"/>
                <w:sz w:val="20"/>
                <w:szCs w:val="20"/>
              </w:rPr>
              <w:t xml:space="preserve">0.38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0.24%</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922B21"/>
                <w:sz w:val="20"/>
                <w:szCs w:val="20"/>
              </w:rPr>
              <w:t xml:space="preserve">FAIL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Volatility Standalone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N/A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N/A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N/A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N/A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N/A</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D6D7E"/>
                <w:sz w:val="20"/>
                <w:szCs w:val="20"/>
              </w:rPr>
              <w:t xml:space="preserve">DEAD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Onchain Standalone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N/A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N/A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N/A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N/A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N/A</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D6D7E"/>
                <w:sz w:val="20"/>
                <w:szCs w:val="20"/>
              </w:rPr>
              <w:t xml:space="preserve">DEAD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Arb (cbBTC)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1,361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6.5%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922B21"/>
                <w:sz w:val="20"/>
                <w:szCs w:val="20"/>
              </w:rPr>
              <w:t xml:space="preserve">-87.7 bps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922B21"/>
                <w:sz w:val="20"/>
                <w:szCs w:val="20"/>
              </w:rPr>
              <w:t xml:space="preserve">-23.11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922B21"/>
                <w:sz w:val="20"/>
                <w:szCs w:val="20"/>
              </w:rPr>
              <w:t xml:space="preserve">0.04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N/A</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922B21"/>
                <w:sz w:val="20"/>
                <w:szCs w:val="20"/>
              </w:rPr>
              <w:t xml:space="preserve">FAIL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Dir: ETH/USDC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varied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&lt;40%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922B21"/>
                <w:sz w:val="20"/>
                <w:szCs w:val="20"/>
              </w:rPr>
              <w:t xml:space="preserve">negative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922B21"/>
                <w:sz w:val="20"/>
                <w:szCs w:val="20"/>
              </w:rPr>
              <w:t xml:space="preserve">-0.68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922B21"/>
                <w:sz w:val="20"/>
                <w:szCs w:val="20"/>
              </w:rPr>
              <w:t xml:space="preserve">&lt;1.0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N/A</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E67E22"/>
                <w:sz w:val="20"/>
                <w:szCs w:val="20"/>
              </w:rPr>
              <w:t xml:space="preserve">DROPPED</w:t>
            </w:r>
          </w:p>
        </w:tc>
      </w:tr>
    </w:tbl>
    <w:p>
      <w:pPr>
        <w:spacing w:after="200"/>
      </w:pPr>
    </w:p>
    <w:p>
      <w:pPr>
        <w:pStyle w:val="Heading2"/>
        <w:spacing w:after="160" w:before="280"/>
      </w:pPr>
      <w:r>
        <w:rPr>
          <w:rFonts w:ascii="Arial" w:cs="Arial" w:eastAsia="Arial" w:hAnsi="Arial"/>
          <w:b/>
          <w:bCs/>
          <w:color w:val="2C3E50"/>
          <w:sz w:val="26"/>
          <w:szCs w:val="26"/>
        </w:rPr>
        <w:t xml:space="preserve">Winning Parameters</w:t>
      </w:r>
    </w:p>
    <w:p>
      <w:pPr>
        <w:spacing w:after="160"/>
        <w:jc w:val="left"/>
      </w:pPr>
      <w:r>
        <w:rPr>
          <w:rFonts w:ascii="Arial" w:cs="Arial" w:eastAsia="Arial" w:hAnsi="Arial"/>
          <w:b w:val="false"/>
          <w:bCs w:val="false"/>
          <w:i w:val="false"/>
          <w:iCs w:val="false"/>
          <w:color w:val="2C3E50"/>
          <w:sz w:val="20"/>
          <w:szCs w:val="20"/>
        </w:rPr>
        <w:t xml:space="preserve">The parameters that produced the graduating composite signal on cbBTC/USDC:</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Time Limit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48 hours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Take Profit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Stop Loss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Confidence Threshold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0.50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Position Size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0.5% of portfolio</w:t>
            </w:r>
          </w:p>
        </w:tc>
      </w:tr>
    </w:tbl>
    <w:p>
      <w:pPr>
        <w:spacing w:after="200"/>
      </w:pPr>
    </w:p>
    <w:p>
      <w:pPr>
        <w:pStyle w:val="Heading2"/>
        <w:spacing w:after="160" w:before="280"/>
      </w:pPr>
      <w:r>
        <w:rPr>
          <w:rFonts w:ascii="Arial" w:cs="Arial" w:eastAsia="Arial" w:hAnsi="Arial"/>
          <w:b/>
          <w:bCs/>
          <w:color w:val="2C3E50"/>
          <w:sz w:val="26"/>
          <w:szCs w:val="26"/>
        </w:rPr>
        <w:t xml:space="preserve">Graduation Criteria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Criterion</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Required</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Actual</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Positive EV</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&gt; 0 bps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E8449"/>
                <w:sz w:val="20"/>
                <w:szCs w:val="20"/>
              </w:rPr>
              <w:t xml:space="preserve">+58.1 bps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E8449"/>
                <w:sz w:val="20"/>
                <w:szCs w:val="20"/>
              </w:rPr>
              <w:t xml:space="preserve">✓ PASS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Sharpe Ratio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&gt; 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E8449"/>
                <w:sz w:val="20"/>
                <w:szCs w:val="20"/>
              </w:rPr>
              <w:t xml:space="preserve">4.46</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E8449"/>
                <w:sz w:val="20"/>
                <w:szCs w:val="20"/>
              </w:rPr>
              <w:t xml:space="preserve">✓ PASS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Max Drawdown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&lt; 15%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E8449"/>
                <w:sz w:val="20"/>
                <w:szCs w:val="20"/>
              </w:rPr>
              <w:t xml:space="preserve">0.05%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E8449"/>
                <w:sz w:val="20"/>
                <w:szCs w:val="20"/>
              </w:rPr>
              <w:t xml:space="preserve">✓ PASS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Hit Rate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&gt; 40%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E8449"/>
                <w:sz w:val="20"/>
                <w:szCs w:val="20"/>
              </w:rPr>
              <w:t xml:space="preserve">53.3%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E8449"/>
                <w:sz w:val="20"/>
                <w:szCs w:val="20"/>
              </w:rPr>
              <w:t xml:space="preserve">✓ PASS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Profit Factor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&gt; 1.5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E8449"/>
                <w:sz w:val="20"/>
                <w:szCs w:val="20"/>
              </w:rPr>
              <w:t xml:space="preserve">3.96</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E8449"/>
                <w:sz w:val="20"/>
                <w:szCs w:val="20"/>
              </w:rPr>
              <w:t xml:space="preserve">✓ PASS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Minimum Trades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&gt;= 30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E8449"/>
                <w:sz w:val="20"/>
                <w:szCs w:val="20"/>
              </w:rPr>
              <w:t xml:space="preserve">30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E8449"/>
                <w:sz w:val="20"/>
                <w:szCs w:val="20"/>
              </w:rPr>
              <w:t xml:space="preserve">✓ PASS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2"/>
              <w:left w:val="single" w:color="1B4F72" w:sz="8"/>
              <w:bottom w:val="none" w:sz="0"/>
              <w:right w:val="none" w:sz="0"/>
            </w:tcBorders>
            <w:shd w:fill="D5F5E3" w:val="clear"/>
            <w:tcMar>
              <w:top w:type="dxa" w:w="120"/>
              <w:left w:type="dxa" w:w="200"/>
              <w:bottom w:type="dxa" w:w="120"/>
              <w:right w:type="dxa" w:w="200"/>
            </w:tcMar>
          </w:tcPr>
          <w:p>
            <w:r>
              <w:rPr>
                <w:rFonts w:ascii="Arial" w:cs="Arial" w:eastAsia="Arial" w:hAnsi="Arial"/>
                <w:color w:val="2C3E50"/>
                <w:sz w:val="20"/>
                <w:szCs w:val="20"/>
              </w:rPr>
              <w:t xml:space="preserve">GATE 2 VERDICT: PASSED. cbBTC/USDC composite directional signal graduates 6/6. Phase 3 is authorized to begin immediately.</w:t>
            </w:r>
          </w:p>
        </w:tc>
      </w:tr>
    </w:tbl>
    <w:p>
      <w:r>
        <w:br w:type="page"/>
      </w:r>
    </w:p>
    <w:p>
      <w:pPr>
        <w:pStyle w:val="Heading1"/>
        <w:spacing w:after="200" w:before="360"/>
      </w:pPr>
      <w:r>
        <w:rPr>
          <w:rFonts w:ascii="Arial" w:cs="Arial" w:eastAsia="Arial" w:hAnsi="Arial"/>
          <w:b/>
          <w:bCs/>
          <w:color w:val="1B4F72"/>
          <w:sz w:val="32"/>
          <w:szCs w:val="32"/>
        </w:rPr>
        <w:t xml:space="preserve">Signal Architecture: What We Learned</w:t>
      </w:r>
    </w:p>
    <w:p>
      <w:pPr>
        <w:pStyle w:val="Heading2"/>
        <w:spacing w:after="160" w:before="280"/>
      </w:pPr>
      <w:r>
        <w:rPr>
          <w:rFonts w:ascii="Arial" w:cs="Arial" w:eastAsia="Arial" w:hAnsi="Arial"/>
          <w:b/>
          <w:bCs/>
          <w:color w:val="2C3E50"/>
          <w:sz w:val="26"/>
          <w:szCs w:val="26"/>
        </w:rPr>
        <w:t xml:space="preserve">The Composite Ensemble Model</w:t>
      </w:r>
    </w:p>
    <w:p>
      <w:pPr>
        <w:spacing w:after="160"/>
        <w:jc w:val="left"/>
      </w:pPr>
      <w:r>
        <w:rPr>
          <w:rFonts w:ascii="Arial" w:cs="Arial" w:eastAsia="Arial" w:hAnsi="Arial"/>
          <w:b w:val="false"/>
          <w:bCs w:val="false"/>
          <w:i w:val="false"/>
          <w:iCs w:val="false"/>
          <w:color w:val="2C3E50"/>
          <w:sz w:val="20"/>
          <w:szCs w:val="20"/>
        </w:rPr>
        <w:t xml:space="preserve">The graduating signal is not a single indicator. It is a weighted composite of trend (weight 0.30), reversion (0.20), volatility (0.15), arbitrage (0.20), and onchain (0.15). In practice, only trend and reversion contribute non-zero signals. Volatility, onchain, and arbitrage produce zero directional trades on real data. However, removing them is not straightforward because the weights affect composite confidence normalization.</w:t>
      </w:r>
    </w:p>
    <w:p>
      <w:pPr>
        <w:pStyle w:val="Heading2"/>
        <w:spacing w:after="160" w:before="280"/>
      </w:pPr>
      <w:r>
        <w:rPr>
          <w:rFonts w:ascii="Arial" w:cs="Arial" w:eastAsia="Arial" w:hAnsi="Arial"/>
          <w:b/>
          <w:bCs/>
          <w:color w:val="2C3E50"/>
          <w:sz w:val="26"/>
          <w:szCs w:val="26"/>
        </w:rPr>
        <w:t xml:space="preserve">Why Reversion Matters (Despite Negative Standalone Sharpe)</w:t>
      </w:r>
    </w:p>
    <w:p>
      <w:pPr>
        <w:spacing w:after="160"/>
        <w:jc w:val="left"/>
      </w:pPr>
      <w:r>
        <w:rPr>
          <w:rFonts w:ascii="Arial" w:cs="Arial" w:eastAsia="Arial" w:hAnsi="Arial"/>
          <w:b w:val="false"/>
          <w:bCs w:val="false"/>
          <w:i w:val="false"/>
          <w:iCs w:val="false"/>
          <w:color w:val="2C3E50"/>
          <w:sz w:val="20"/>
          <w:szCs w:val="20"/>
        </w:rPr>
        <w:t xml:space="preserve">The reversion signal has a standalone Sharpe of -3.21. If you ran it alone, you would lose money consistently. But inside the composite, it serves a critical function: when reversion disagrees with trend, the composite confidence drops below the 0.5 entry threshold. This prevented 48 trades that would have averaged -40.6 bps each. The reversion signal is effectively a loss-prevention filter, not a trade generator. Do not remove it without running the filter analysis to verify the composite still performs.</w:t>
      </w:r>
    </w:p>
    <w:p>
      <w:pPr>
        <w:pStyle w:val="Heading2"/>
        <w:spacing w:after="160" w:before="280"/>
      </w:pPr>
      <w:r>
        <w:rPr>
          <w:rFonts w:ascii="Arial" w:cs="Arial" w:eastAsia="Arial" w:hAnsi="Arial"/>
          <w:b/>
          <w:bCs/>
          <w:color w:val="2C3E50"/>
          <w:sz w:val="26"/>
          <w:szCs w:val="26"/>
        </w:rPr>
        <w:t xml:space="preserve">What Failed and Why</w:t>
      </w:r>
    </w:p>
    <w:p>
      <w:pPr>
        <w:spacing w:after="120" w:before="200"/>
      </w:pPr>
      <w:r>
        <w:rPr>
          <w:rFonts w:ascii="Arial" w:cs="Arial" w:eastAsia="Arial" w:hAnsi="Arial"/>
          <w:b/>
          <w:bCs/>
          <w:color w:val="5D6D7E"/>
          <w:sz w:val="22"/>
          <w:szCs w:val="22"/>
        </w:rPr>
        <w:t xml:space="preserve">ADX Regime Filter</w:t>
      </w:r>
    </w:p>
    <w:p>
      <w:pPr>
        <w:spacing w:after="160"/>
        <w:jc w:val="left"/>
      </w:pPr>
      <w:r>
        <w:rPr>
          <w:rFonts w:ascii="Arial" w:cs="Arial" w:eastAsia="Arial" w:hAnsi="Arial"/>
          <w:b w:val="false"/>
          <w:bCs w:val="false"/>
          <w:i w:val="false"/>
          <w:iCs w:val="false"/>
          <w:color w:val="2C3E50"/>
          <w:sz w:val="20"/>
          <w:szCs w:val="20"/>
        </w:rPr>
        <w:t xml:space="preserve">Tested at thresholds 20, 25, and 30. The hypothesis was that filtering out low-ADX (non-trending) periods would improve directional signal quality. The result: ADX filtering hurts performance on real data. It removes good trades along with bad trades, reducing total P&amp;L without improving Sharpe. Dropped from the architecture.</w:t>
      </w:r>
    </w:p>
    <w:p>
      <w:pPr>
        <w:spacing w:after="120" w:before="200"/>
      </w:pPr>
      <w:r>
        <w:rPr>
          <w:rFonts w:ascii="Arial" w:cs="Arial" w:eastAsia="Arial" w:hAnsi="Arial"/>
          <w:b/>
          <w:bCs/>
          <w:color w:val="5D6D7E"/>
          <w:sz w:val="22"/>
          <w:szCs w:val="22"/>
        </w:rPr>
        <w:t xml:space="preserve">ETH/USDC</w:t>
      </w:r>
    </w:p>
    <w:p>
      <w:pPr>
        <w:spacing w:after="160"/>
        <w:jc w:val="left"/>
      </w:pPr>
      <w:r>
        <w:rPr>
          <w:rFonts w:ascii="Arial" w:cs="Arial" w:eastAsia="Arial" w:hAnsi="Arial"/>
          <w:b w:val="false"/>
          <w:bCs w:val="false"/>
          <w:i w:val="false"/>
          <w:iCs w:val="false"/>
          <w:color w:val="2C3E50"/>
          <w:sz w:val="20"/>
          <w:szCs w:val="20"/>
        </w:rPr>
        <w:t xml:space="preserve">Tested across every parameter configuration available. Best result: Sharpe -0.68. ETH/USDC is fundamentally unprofitable for this signal architecture. The price dynamics of ETH on Aerodrome do not produce the same trend-following alpha that cbBTC does. Dropped from scope.</w:t>
      </w:r>
    </w:p>
    <w:p>
      <w:pPr>
        <w:spacing w:after="120" w:before="200"/>
      </w:pPr>
      <w:r>
        <w:rPr>
          <w:rFonts w:ascii="Arial" w:cs="Arial" w:eastAsia="Arial" w:hAnsi="Arial"/>
          <w:b/>
          <w:bCs/>
          <w:color w:val="5D6D7E"/>
          <w:sz w:val="22"/>
          <w:szCs w:val="22"/>
        </w:rPr>
        <w:t xml:space="preserve">Arbitrage</w:t>
      </w:r>
    </w:p>
    <w:p>
      <w:pPr>
        <w:spacing w:after="160"/>
        <w:jc w:val="left"/>
      </w:pPr>
      <w:r>
        <w:rPr>
          <w:rFonts w:ascii="Arial" w:cs="Arial" w:eastAsia="Arial" w:hAnsi="Arial"/>
          <w:b w:val="false"/>
          <w:bCs w:val="false"/>
          <w:i w:val="false"/>
          <w:iCs w:val="false"/>
          <w:color w:val="2C3E50"/>
          <w:sz w:val="20"/>
          <w:szCs w:val="20"/>
        </w:rPr>
        <w:t xml:space="preserve">Unchanged from v3 assessment. Round-trip fees of ~93bps on Base L2 make retail-speed arb unviable. The arb signal remains available as a market stress indicator (spreads &gt;150bps indicate unusual conditions) but is not a trading signal.</w:t>
      </w:r>
    </w:p>
    <w:p>
      <w:pPr>
        <w:spacing w:after="120" w:before="200"/>
      </w:pPr>
      <w:r>
        <w:rPr>
          <w:rFonts w:ascii="Arial" w:cs="Arial" w:eastAsia="Arial" w:hAnsi="Arial"/>
          <w:b/>
          <w:bCs/>
          <w:color w:val="5D6D7E"/>
          <w:sz w:val="22"/>
          <w:szCs w:val="22"/>
        </w:rPr>
        <w:t xml:space="preserve">Volatility and Onchain Signals</w:t>
      </w:r>
    </w:p>
    <w:p>
      <w:pPr>
        <w:spacing w:after="160"/>
        <w:jc w:val="left"/>
      </w:pPr>
      <w:r>
        <w:rPr>
          <w:rFonts w:ascii="Arial" w:cs="Arial" w:eastAsia="Arial" w:hAnsi="Arial"/>
          <w:b w:val="false"/>
          <w:bCs w:val="false"/>
          <w:i w:val="false"/>
          <w:iCs w:val="false"/>
          <w:color w:val="2C3E50"/>
          <w:sz w:val="20"/>
          <w:szCs w:val="20"/>
        </w:rPr>
        <w:t xml:space="preserve">Both produce zero trades on real data. Volatility never fires a non-neutral signal. Onchain has no events in the database (needs a data pipeline fix). Both are candidates for future rework but contribute nothing to current performance.</w:t>
      </w:r>
    </w:p>
    <w:p>
      <w:r>
        <w:br w:type="page"/>
      </w:r>
    </w:p>
    <w:p>
      <w:pPr>
        <w:pStyle w:val="Heading1"/>
        <w:spacing w:after="200" w:before="360"/>
      </w:pPr>
      <w:r>
        <w:rPr>
          <w:rFonts w:ascii="Arial" w:cs="Arial" w:eastAsia="Arial" w:hAnsi="Arial"/>
          <w:b/>
          <w:bCs/>
          <w:color w:val="1B4F72"/>
          <w:sz w:val="32"/>
          <w:szCs w:val="32"/>
        </w:rPr>
        <w:t xml:space="preserve">Updated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900"/>
        <w:gridCol w:w="1000"/>
        <w:gridCol w:w="1000"/>
        <w:gridCol w:w="1800"/>
        <w:gridCol w:w="2360"/>
      </w:tblGrid>
      <w:t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v1</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v2</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v3</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v4</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C3E50"/>
                <w:sz w:val="20"/>
                <w:szCs w:val="20"/>
              </w:rPr>
              <w:t xml:space="preserve">Phase 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 wks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 wk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Done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E8449"/>
                <w:sz w:val="20"/>
                <w:szCs w:val="20"/>
              </w:rPr>
              <w:t xml:space="preserve">Done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Code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E8449"/>
                <w:sz w:val="20"/>
                <w:szCs w:val="20"/>
              </w:rPr>
              <w:t xml:space="preserve">Complete (&lt;1 day)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C3E50"/>
                <w:sz w:val="20"/>
                <w:szCs w:val="20"/>
              </w:rPr>
              <w:t xml:space="preserve">Phase 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4 wks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3 wks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 wk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E8449"/>
                <w:sz w:val="20"/>
                <w:szCs w:val="20"/>
              </w:rPr>
              <w:t xml:space="preserve">Done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Review</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E8449"/>
                <w:sz w:val="20"/>
                <w:szCs w:val="20"/>
              </w:rPr>
              <w:t xml:space="preserve">Complete (&lt;1 day)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C3E50"/>
                <w:sz w:val="20"/>
                <w:szCs w:val="20"/>
              </w:rPr>
              <w:t xml:space="preserve">Phase 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4 wks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3 wks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3 wks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C3E50"/>
                <w:sz w:val="20"/>
                <w:szCs w:val="20"/>
              </w:rPr>
              <w:t xml:space="preserve">3 wks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Market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E86C1"/>
                <w:sz w:val="20"/>
                <w:szCs w:val="20"/>
              </w:rPr>
              <w:t xml:space="preserve">Starting now</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C3E50"/>
                <w:sz w:val="20"/>
                <w:szCs w:val="20"/>
              </w:rPr>
              <w:t xml:space="preserve">Total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10 wks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7 wks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~5 wks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C3E50"/>
                <w:sz w:val="20"/>
                <w:szCs w:val="20"/>
              </w:rPr>
              <w:t xml:space="preserve">~3 wks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60% reduction from v1</w:t>
            </w:r>
          </w:p>
        </w:tc>
      </w:tr>
    </w:tbl>
    <w:p>
      <w:pPr>
        <w:spacing w:after="200"/>
      </w:pPr>
    </w:p>
    <w:p>
      <w:pPr>
        <w:spacing w:after="160"/>
        <w:jc w:val="left"/>
      </w:pPr>
      <w:r>
        <w:rPr>
          <w:rFonts w:ascii="Arial" w:cs="Arial" w:eastAsia="Arial" w:hAnsi="Arial"/>
          <w:b w:val="false"/>
          <w:bCs w:val="false"/>
          <w:i w:val="false"/>
          <w:iCs w:val="false"/>
          <w:color w:val="2C3E50"/>
          <w:sz w:val="20"/>
          <w:szCs w:val="20"/>
        </w:rPr>
        <w:t xml:space="preserve">Phase 2, which v3 allocated a full week for, completed in the same day as Phase 1. The parameter sweep, signal decomposition, filter analysis, drawdown fix, and graduation review were all executed by Claude Code against real Postgres data in a single session. The engineering bottleneck continues to be nonexistent. The only remaining constraint is market exposure time.</w:t>
      </w:r>
    </w:p>
    <w:p>
      <w:pPr>
        <w:pStyle w:val="Heading1"/>
        <w:spacing w:after="200" w:before="360"/>
      </w:pPr>
      <w:r>
        <w:rPr>
          <w:rFonts w:ascii="Arial" w:cs="Arial" w:eastAsia="Arial" w:hAnsi="Arial"/>
          <w:b/>
          <w:bCs/>
          <w:color w:val="1B4F72"/>
          <w:sz w:val="32"/>
          <w:szCs w:val="32"/>
        </w:rPr>
        <w:t xml:space="preserve">Phase 3: Paper Trading with Sentinel (April 2–27)</w:t>
      </w:r>
    </w:p>
    <w:p>
      <w:pPr>
        <w:spacing w:after="160"/>
        <w:jc w:val="left"/>
      </w:pPr>
      <w:r>
        <w:rPr>
          <w:rFonts w:ascii="Arial" w:cs="Arial" w:eastAsia="Arial" w:hAnsi="Arial"/>
          <w:b w:val="false"/>
          <w:bCs w:val="false"/>
          <w:i w:val="false"/>
          <w:iCs w:val="false"/>
          <w:color w:val="2C3E50"/>
          <w:sz w:val="20"/>
          <w:szCs w:val="20"/>
        </w:rPr>
        <w:t xml:space="preserve">Phase 3 has two sub-phases: a short build sprint to wire up Sentinel integration and paper trading, followed by the irreducible market exposure period. The build sprint can start immediately.</w:t>
      </w:r>
    </w:p>
    <w:p>
      <w:pPr>
        <w:pStyle w:val="Heading2"/>
        <w:spacing w:after="160" w:before="280"/>
      </w:pPr>
      <w:r>
        <w:rPr>
          <w:rFonts w:ascii="Arial" w:cs="Arial" w:eastAsia="Arial" w:hAnsi="Arial"/>
          <w:b/>
          <w:bCs/>
          <w:color w:val="2C3E50"/>
          <w:sz w:val="26"/>
          <w:szCs w:val="26"/>
        </w:rPr>
        <w:t xml:space="preserve">Build Sprint (Days 1–2)</w:t>
      </w:r>
    </w:p>
    <w:p>
      <w:pPr>
        <w:spacing w:after="160"/>
        <w:jc w:val="left"/>
      </w:pPr>
      <w:r>
        <w:rPr>
          <w:rFonts w:ascii="Arial" w:cs="Arial" w:eastAsia="Arial" w:hAnsi="Arial"/>
          <w:b w:val="false"/>
          <w:bCs w:val="false"/>
          <w:i w:val="false"/>
          <w:iCs w:val="false"/>
          <w:color w:val="2C3E50"/>
          <w:sz w:val="20"/>
          <w:szCs w:val="20"/>
        </w:rPr>
        <w:t xml:space="preserve">Estimated build time: 1 day of AI coding. All infrastructure can be built before the first paper trade executes.</w:t>
      </w:r>
    </w:p>
    <w:p>
      <w:pPr>
        <w:pStyle w:val="ListParagraph"/>
        <w:numPr>
          <w:ilvl w:val="0"/>
          <w:numId w:val="2"/>
        </w:numPr>
        <w:spacing w:after="80"/>
      </w:pPr>
      <w:r>
        <w:rPr>
          <w:rFonts w:ascii="Arial" w:cs="Arial" w:eastAsia="Arial" w:hAnsi="Arial"/>
          <w:color w:val="2C3E50"/>
          <w:sz w:val="20"/>
          <w:szCs w:val="20"/>
        </w:rPr>
        <w:t xml:space="preserve">Sentinel integration: Wire the Phase 3 hook point in agent.js (line 90) to call Sentinel’s /verify endpoint with the decision object. Log the full request/response exchange. The hook point is already marked in code with a commented-out call.</w:t>
      </w:r>
    </w:p>
    <w:p>
      <w:pPr>
        <w:pStyle w:val="ListParagraph"/>
        <w:numPr>
          <w:ilvl w:val="0"/>
          <w:numId w:val="2"/>
        </w:numPr>
        <w:spacing w:after="80"/>
      </w:pPr>
      <w:r>
        <w:rPr>
          <w:rFonts w:ascii="Arial" w:cs="Arial" w:eastAsia="Arial" w:hAnsi="Arial"/>
          <w:color w:val="2C3E50"/>
          <w:sz w:val="20"/>
          <w:szCs w:val="20"/>
        </w:rPr>
        <w:t xml:space="preserve">Paper trading engine: Virtual position tracker. On each cycle where the composite signal fires above 0.5 confidence and Sentinel approves, open a paper position at 0.5% of virtual portfolio. Track entry price, exit price (triple barrier), P&amp;L, Sentinel’s assessment, and the full decision object.</w:t>
      </w:r>
    </w:p>
    <w:p>
      <w:pPr>
        <w:pStyle w:val="ListParagraph"/>
        <w:numPr>
          <w:ilvl w:val="0"/>
          <w:numId w:val="2"/>
        </w:numPr>
        <w:spacing w:after="80"/>
      </w:pPr>
      <w:r>
        <w:rPr>
          <w:rFonts w:ascii="Arial" w:cs="Arial" w:eastAsia="Arial" w:hAnsi="Arial"/>
          <w:color w:val="2C3E50"/>
          <w:sz w:val="20"/>
          <w:szCs w:val="20"/>
        </w:rPr>
        <w:t xml:space="preserve">Human approval gate: Dashboard interface showing the trade idea, Sentinel verdict, confidence scores, signal attribution breakdown, and one-click approve/reject. All paper trades require human approval in Phase 3.</w:t>
      </w:r>
    </w:p>
    <w:p>
      <w:pPr>
        <w:pStyle w:val="ListParagraph"/>
        <w:numPr>
          <w:ilvl w:val="0"/>
          <w:numId w:val="2"/>
        </w:numPr>
        <w:spacing w:after="80"/>
      </w:pPr>
      <w:r>
        <w:rPr>
          <w:rFonts w:ascii="Arial" w:cs="Arial" w:eastAsia="Arial" w:hAnsi="Arial"/>
          <w:color w:val="2C3E50"/>
          <w:sz w:val="20"/>
          <w:szCs w:val="20"/>
        </w:rPr>
        <w:t xml:space="preserve">Sentinel response handling: SAFE/CAUTION (score &gt;70) + ceiling &gt;= amount → proceed to human gate. WARNING → flag for review with risk flags displayed. DANGER → automatic block, no human override. The DANGER hard-block is a trust-building constraint.</w:t>
      </w:r>
    </w:p>
    <w:p>
      <w:pPr>
        <w:pStyle w:val="Heading2"/>
        <w:spacing w:after="160" w:before="280"/>
      </w:pPr>
      <w:r>
        <w:rPr>
          <w:rFonts w:ascii="Arial" w:cs="Arial" w:eastAsia="Arial" w:hAnsi="Arial"/>
          <w:b/>
          <w:bCs/>
          <w:color w:val="2C3E50"/>
          <w:sz w:val="26"/>
          <w:szCs w:val="26"/>
        </w:rPr>
        <w:t xml:space="preserve">Winning Parameters for Paper Trading</w:t>
      </w:r>
    </w:p>
    <w:p>
      <w:pPr>
        <w:spacing w:after="160"/>
        <w:jc w:val="left"/>
      </w:pPr>
      <w:r>
        <w:rPr>
          <w:rFonts w:ascii="Arial" w:cs="Arial" w:eastAsia="Arial" w:hAnsi="Arial"/>
          <w:b w:val="false"/>
          <w:bCs w:val="false"/>
          <w:i w:val="false"/>
          <w:iCs w:val="false"/>
          <w:color w:val="2C3E50"/>
          <w:sz w:val="20"/>
          <w:szCs w:val="20"/>
        </w:rPr>
        <w:t xml:space="preserve">The paper trading engine will use the exact parameters that passed graduation: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Pair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cbBTC/USDC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Signal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Composite (trend + reversion filter)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Time Limit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48 hours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Take Profit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Stop Loss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Confidence Threshold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0.50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Position Size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0.5% of portfolio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Fee Assumption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~30 bps (single DEX swap)</w:t>
            </w:r>
          </w:p>
        </w:tc>
      </w:tr>
    </w:tbl>
    <w:p>
      <w:pPr>
        <w:spacing w:after="200"/>
      </w:pPr>
    </w:p>
    <w:p>
      <w:pPr>
        <w:pStyle w:val="Heading2"/>
        <w:spacing w:after="160" w:before="280"/>
      </w:pPr>
      <w:r>
        <w:rPr>
          <w:rFonts w:ascii="Arial" w:cs="Arial" w:eastAsia="Arial" w:hAnsi="Arial"/>
          <w:b/>
          <w:bCs/>
          <w:color w:val="2C3E50"/>
          <w:sz w:val="26"/>
          <w:szCs w:val="26"/>
        </w:rPr>
        <w:t xml:space="preserve">Market Exposure (Weeks 2–4)</w:t>
      </w:r>
    </w:p>
    <w:p>
      <w:pPr>
        <w:spacing w:after="160"/>
        <w:jc w:val="left"/>
      </w:pPr>
      <w:r>
        <w:rPr>
          <w:rFonts w:ascii="Arial" w:cs="Arial" w:eastAsia="Arial" w:hAnsi="Arial"/>
          <w:b w:val="false"/>
          <w:bCs w:val="false"/>
          <w:i w:val="false"/>
          <w:iCs w:val="false"/>
          <w:color w:val="2C3E50"/>
          <w:sz w:val="20"/>
          <w:szCs w:val="20"/>
        </w:rPr>
        <w:t xml:space="preserve">Paper trading needs real market diversity to be meaningful. A system that works during a calm uptrend but breaks on the first volatile down day is not validated. The minimum exposure requirements:</w:t>
      </w:r>
    </w:p>
    <w:p>
      <w:pPr>
        <w:pStyle w:val="ListParagraph"/>
        <w:numPr>
          <w:ilvl w:val="0"/>
          <w:numId w:val="3"/>
        </w:numPr>
        <w:spacing w:after="80"/>
      </w:pPr>
      <w:r>
        <w:rPr>
          <w:rFonts w:ascii="Arial" w:cs="Arial" w:eastAsia="Arial" w:hAnsi="Arial"/>
          <w:color w:val="2C3E50"/>
          <w:sz w:val="20"/>
          <w:szCs w:val="20"/>
        </w:rPr>
        <w:t xml:space="preserve">Trending days: At least 3–4 clear directional moves (up or down)</w:t>
      </w:r>
    </w:p>
    <w:p>
      <w:pPr>
        <w:pStyle w:val="ListParagraph"/>
        <w:numPr>
          <w:ilvl w:val="0"/>
          <w:numId w:val="3"/>
        </w:numPr>
        <w:spacing w:after="80"/>
      </w:pPr>
      <w:r>
        <w:rPr>
          <w:rFonts w:ascii="Arial" w:cs="Arial" w:eastAsia="Arial" w:hAnsi="Arial"/>
          <w:color w:val="2C3E50"/>
          <w:sz w:val="20"/>
          <w:szCs w:val="20"/>
        </w:rPr>
        <w:t xml:space="preserve">Range-bound days: At least 3–4 choppy/sideways days</w:t>
      </w:r>
    </w:p>
    <w:p>
      <w:pPr>
        <w:pStyle w:val="ListParagraph"/>
        <w:numPr>
          <w:ilvl w:val="0"/>
          <w:numId w:val="3"/>
        </w:numPr>
        <w:spacing w:after="80"/>
      </w:pPr>
      <w:r>
        <w:rPr>
          <w:rFonts w:ascii="Arial" w:cs="Arial" w:eastAsia="Arial" w:hAnsi="Arial"/>
          <w:color w:val="2C3E50"/>
          <w:sz w:val="20"/>
          <w:szCs w:val="20"/>
        </w:rPr>
        <w:t xml:space="preserve">A volatility event: At least 1 high-vol day (macro surprise, protocol event, large liquidation)</w:t>
      </w:r>
    </w:p>
    <w:p>
      <w:pPr>
        <w:pStyle w:val="ListParagraph"/>
        <w:numPr>
          <w:ilvl w:val="0"/>
          <w:numId w:val="3"/>
        </w:numPr>
        <w:spacing w:after="80"/>
      </w:pPr>
      <w:r>
        <w:rPr>
          <w:rFonts w:ascii="Arial" w:cs="Arial" w:eastAsia="Arial" w:hAnsi="Arial"/>
          <w:color w:val="2C3E50"/>
          <w:sz w:val="20"/>
          <w:szCs w:val="20"/>
        </w:rPr>
        <w:t xml:space="preserve">Weekend behavior: Crypto trades 24/7 — at least 2 weekends in the sample</w:t>
      </w:r>
    </w:p>
    <w:p>
      <w:pPr>
        <w:spacing w:after="160"/>
        <w:jc w:val="left"/>
      </w:pPr>
      <w:r>
        <w:rPr>
          <w:rFonts w:ascii="Arial" w:cs="Arial" w:eastAsia="Arial" w:hAnsi="Arial"/>
          <w:b w:val="false"/>
          <w:bCs w:val="false"/>
          <w:i w:val="false"/>
          <w:iCs w:val="false"/>
          <w:color w:val="2C3E50"/>
          <w:sz w:val="20"/>
          <w:szCs w:val="20"/>
        </w:rPr>
        <w:t xml:space="preserve">Two weeks is the minimum to see this variety. Three weeks is safer.</w:t>
      </w:r>
    </w:p>
    <w:p>
      <w:pPr>
        <w:pStyle w:val="Heading2"/>
        <w:spacing w:after="160" w:before="280"/>
      </w:pPr>
      <w:r>
        <w:rPr>
          <w:rFonts w:ascii="Arial" w:cs="Arial" w:eastAsia="Arial" w:hAnsi="Arial"/>
          <w:b/>
          <w:bCs/>
          <w:color w:val="2C3E50"/>
          <w:sz w:val="26"/>
          <w:szCs w:val="26"/>
        </w:rPr>
        <w:t xml:space="preserve">What to Track During Paper Trading</w:t>
      </w:r>
    </w:p>
    <w:p>
      <w:pPr>
        <w:pStyle w:val="ListParagraph"/>
        <w:numPr>
          <w:ilvl w:val="0"/>
          <w:numId w:val="4"/>
        </w:numPr>
        <w:spacing w:after="80"/>
      </w:pPr>
      <w:r>
        <w:rPr>
          <w:rFonts w:ascii="Arial" w:cs="Arial" w:eastAsia="Arial" w:hAnsi="Arial"/>
          <w:color w:val="2C3E50"/>
          <w:sz w:val="20"/>
          <w:szCs w:val="20"/>
        </w:rPr>
        <w:t xml:space="preserve">Paper P&amp;L vs backtest expectation: If paper P&amp;L diverges more than 20% from the 58.1 bps/trade average, investigate. Either the backtest is overfit, live data behaves differently, or execution assumptions are wrong.</w:t>
      </w:r>
    </w:p>
    <w:p>
      <w:pPr>
        <w:pStyle w:val="ListParagraph"/>
        <w:numPr>
          <w:ilvl w:val="0"/>
          <w:numId w:val="4"/>
        </w:numPr>
        <w:spacing w:after="80"/>
      </w:pPr>
      <w:r>
        <w:rPr>
          <w:rFonts w:ascii="Arial" w:cs="Arial" w:eastAsia="Arial" w:hAnsi="Arial"/>
          <w:color w:val="2C3E50"/>
          <w:sz w:val="20"/>
          <w:szCs w:val="20"/>
        </w:rPr>
        <w:t xml:space="preserve">Sentinel query patterns: Endpoint latency, cost per decision (~$0.035–$0.055), edge cases where Sentinel response is unexpected.</w:t>
      </w:r>
    </w:p>
    <w:p>
      <w:pPr>
        <w:pStyle w:val="ListParagraph"/>
        <w:numPr>
          <w:ilvl w:val="0"/>
          <w:numId w:val="4"/>
        </w:numPr>
        <w:spacing w:after="80"/>
      </w:pPr>
      <w:r>
        <w:rPr>
          <w:rFonts w:ascii="Arial" w:cs="Arial" w:eastAsia="Arial" w:hAnsi="Arial"/>
          <w:color w:val="2C3E50"/>
          <w:sz w:val="20"/>
          <w:szCs w:val="20"/>
        </w:rPr>
        <w:t xml:space="preserve">Trust progression data: How often does Sentinel disagree with Market Agent? When Sentinel says DANGER, was it right? This calibrates Phase 4 trust tiers.</w:t>
      </w:r>
    </w:p>
    <w:p>
      <w:pPr>
        <w:pStyle w:val="ListParagraph"/>
        <w:numPr>
          <w:ilvl w:val="0"/>
          <w:numId w:val="4"/>
        </w:numPr>
        <w:spacing w:after="80"/>
      </w:pPr>
      <w:r>
        <w:rPr>
          <w:rFonts w:ascii="Arial" w:cs="Arial" w:eastAsia="Arial" w:hAnsi="Arial"/>
          <w:color w:val="2C3E50"/>
          <w:sz w:val="20"/>
          <w:szCs w:val="20"/>
        </w:rPr>
        <w:t xml:space="preserve">Signal attribution logs: For each trade, record which signals contributed what direction and confidence. Verify the reversion-as-filter mechanism works in live conditions.</w:t>
      </w:r>
    </w:p>
    <w:p>
      <w:pPr>
        <w:pStyle w:val="Heading2"/>
        <w:spacing w:after="160" w:before="280"/>
      </w:pPr>
      <w:r>
        <w:rPr>
          <w:rFonts w:ascii="Arial" w:cs="Arial" w:eastAsia="Arial" w:hAnsi="Arial"/>
          <w:b/>
          <w:bCs/>
          <w:color w:val="2C3E50"/>
          <w:sz w:val="26"/>
          <w:szCs w:val="26"/>
        </w:rPr>
        <w:t xml:space="preserve">Phase 3 Gate (Target: April 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2"/>
              <w:left w:val="single" w:color="1B4F72" w:sz="8"/>
              <w:bottom w:val="none" w:sz="0"/>
              <w:right w:val="none" w:sz="0"/>
            </w:tcBorders>
            <w:shd w:fill="FEF9E7" w:val="clear"/>
            <w:tcMar>
              <w:top w:type="dxa" w:w="120"/>
              <w:left w:type="dxa" w:w="200"/>
              <w:bottom w:type="dxa" w:w="120"/>
              <w:right w:type="dxa" w:w="200"/>
            </w:tcMar>
          </w:tcPr>
          <w:p>
            <w:r>
              <w:rPr>
                <w:rFonts w:ascii="Arial" w:cs="Arial" w:eastAsia="Arial" w:hAnsi="Arial"/>
                <w:color w:val="2C3E50"/>
                <w:sz w:val="20"/>
                <w:szCs w:val="20"/>
              </w:rPr>
              <w:t xml:space="preserve">Phase 3 checkpoint criteria:
✓ Paper P&amp;L within 20% of backtest expectation (58.1 bps/trade avg)
✓ Sentinel integration uptime &gt; 99%
✓ No DANGER verdicts on subsequently profitable trades (false negatives)
✓ Human approval gate functional with full audit trail
✓ Reversion-as-filter mechanism confirmed in live conditions
If criteria pass: ready for Phase 4 (real capital) planning. If not: extend paper trading or revisit signal parameters.</w:t>
            </w:r>
          </w:p>
        </w:tc>
      </w:tr>
    </w:tbl>
    <w:p>
      <w:r>
        <w:br w:type="page"/>
      </w:r>
    </w:p>
    <w:p>
      <w:pPr>
        <w:pStyle w:val="Heading1"/>
        <w:spacing w:after="200" w:before="360"/>
      </w:pPr>
      <w:r>
        <w:rPr>
          <w:rFonts w:ascii="Arial" w:cs="Arial" w:eastAsia="Arial" w:hAnsi="Arial"/>
          <w:b/>
          <w:bCs/>
          <w:color w:val="1B4F72"/>
          <w:sz w:val="32"/>
          <w:szCs w:val="32"/>
        </w:rPr>
        <w:t xml:space="preserve">Build Track: Parallel Work During Paper Trading</w:t>
      </w:r>
    </w:p>
    <w:p>
      <w:pPr>
        <w:spacing w:after="160"/>
        <w:jc w:val="left"/>
      </w:pPr>
      <w:r>
        <w:rPr>
          <w:rFonts w:ascii="Arial" w:cs="Arial" w:eastAsia="Arial" w:hAnsi="Arial"/>
          <w:b w:val="false"/>
          <w:bCs w:val="false"/>
          <w:i w:val="false"/>
          <w:iCs w:val="false"/>
          <w:color w:val="2C3E50"/>
          <w:sz w:val="20"/>
          <w:szCs w:val="20"/>
        </w:rPr>
        <w:t xml:space="preserve">While the validation track runs paper trading for 2–3 weeks, the build track has capacity. These items do not depend on paper trading results and can be built concurrently:</w:t>
      </w:r>
    </w:p>
    <w:p>
      <w:pPr>
        <w:pStyle w:val="ListParagraph"/>
        <w:numPr>
          <w:ilvl w:val="0"/>
          <w:numId w:val="5"/>
        </w:numPr>
        <w:spacing w:after="80"/>
      </w:pPr>
      <w:r>
        <w:rPr>
          <w:rFonts w:ascii="Arial" w:cs="Arial" w:eastAsia="Arial" w:hAnsi="Arial"/>
          <w:color w:val="2C3E50"/>
          <w:sz w:val="20"/>
          <w:szCs w:val="20"/>
        </w:rPr>
        <w:t xml:space="preserve">Briefing-as-a-Service: The /briefing and /briefings API endpoints already exist. Wrap them with x402 micropayment at $0.01–$0.05 per query. This creates a second revenue stream before Phase 4 starts.</w:t>
      </w:r>
    </w:p>
    <w:p>
      <w:pPr>
        <w:pStyle w:val="ListParagraph"/>
        <w:numPr>
          <w:ilvl w:val="0"/>
          <w:numId w:val="5"/>
        </w:numPr>
        <w:spacing w:after="80"/>
      </w:pPr>
      <w:r>
        <w:rPr>
          <w:rFonts w:ascii="Arial" w:cs="Arial" w:eastAsia="Arial" w:hAnsi="Arial"/>
          <w:color w:val="2C3E50"/>
          <w:sz w:val="20"/>
          <w:szCs w:val="20"/>
        </w:rPr>
        <w:t xml:space="preserve">Haiku/Sonnet hybrid implementation: Route news synthesis to Haiku, keep contradiction detection on Sonnet. Expected savings: 55–70% of Claude API costs.</w:t>
      </w:r>
    </w:p>
    <w:p>
      <w:pPr>
        <w:pStyle w:val="ListParagraph"/>
        <w:numPr>
          <w:ilvl w:val="0"/>
          <w:numId w:val="5"/>
        </w:numPr>
        <w:spacing w:after="80"/>
      </w:pPr>
      <w:r>
        <w:rPr>
          <w:rFonts w:ascii="Arial" w:cs="Arial" w:eastAsia="Arial" w:hAnsi="Arial"/>
          <w:color w:val="2C3E50"/>
          <w:sz w:val="20"/>
          <w:szCs w:val="20"/>
        </w:rPr>
        <w:t xml:space="preserve">Cycle frequency optimization: Skip Claude API calls when inputs have not changed. Expected reduction: 50–70% of API calls.</w:t>
      </w:r>
    </w:p>
    <w:p>
      <w:pPr>
        <w:pStyle w:val="ListParagraph"/>
        <w:numPr>
          <w:ilvl w:val="0"/>
          <w:numId w:val="5"/>
        </w:numPr>
        <w:spacing w:after="80"/>
      </w:pPr>
      <w:r>
        <w:rPr>
          <w:rFonts w:ascii="Arial" w:cs="Arial" w:eastAsia="Arial" w:hAnsi="Arial"/>
          <w:color w:val="2C3E50"/>
          <w:sz w:val="20"/>
          <w:szCs w:val="20"/>
        </w:rPr>
        <w:t xml:space="preserve">Performance documentation: Write up backtesting methodology, signal decomposition findings, and the reversion-as-filter discovery. This becomes the credibility document.</w:t>
      </w:r>
    </w:p>
    <w:p>
      <w:pPr>
        <w:pStyle w:val="Heading1"/>
        <w:spacing w:after="200" w:before="360"/>
      </w:pPr>
      <w:r>
        <w:rPr>
          <w:rFonts w:ascii="Arial" w:cs="Arial" w:eastAsia="Arial" w:hAnsi="Arial"/>
          <w:b/>
          <w:bCs/>
          <w:color w:val="1B4F72"/>
          <w:sz w:val="32"/>
          <w:szCs w:val="32"/>
        </w:rPr>
        <w:t xml:space="preserve">Sentinel Decision Object</w:t>
      </w:r>
    </w:p>
    <w:p>
      <w:pPr>
        <w:spacing w:after="160"/>
        <w:jc w:val="left"/>
      </w:pPr>
      <w:r>
        <w:rPr>
          <w:rFonts w:ascii="Arial" w:cs="Arial" w:eastAsia="Arial" w:hAnsi="Arial"/>
          <w:b w:val="false"/>
          <w:bCs w:val="false"/>
          <w:i w:val="false"/>
          <w:iCs w:val="false"/>
          <w:color w:val="2C3E50"/>
          <w:sz w:val="20"/>
          <w:szCs w:val="20"/>
        </w:rPr>
        <w:t xml:space="preserve">Unchanged from v2/v3. The decision object spec, endpoint mapping, and response handling are stable. 13 fields (agent_id, action, target_contract, token_in, token_out, amount_usd, direction, confidence, regime, signal_agreement, entry_zone, thesis, cycle). 4 Sentinel calls per decision totaling $0.035–$0.055. Response tiers: SAFE/CAUTION (&gt;70) to human gate, WARNING to flagged review, DANGER to hard block.</w:t>
      </w:r>
    </w:p>
    <w:p>
      <w:pPr>
        <w:pStyle w:val="Heading1"/>
        <w:spacing w:after="200" w:before="360"/>
      </w:pPr>
      <w:r>
        <w:rPr>
          <w:rFonts w:ascii="Arial" w:cs="Arial" w:eastAsia="Arial" w:hAnsi="Arial"/>
          <w:b/>
          <w:bCs/>
          <w:color w:val="1B4F72"/>
          <w:sz w:val="32"/>
          <w:szCs w:val="32"/>
        </w:rPr>
        <w:t xml:space="preserve">Critical Path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900"/>
        <w:gridCol w:w="4300"/>
        <w:gridCol w:w="2360"/>
      </w:tblGrid>
      <w:tr>
        <w:tc>
          <w:tcPr>
            <w:tcW w:type="dxa" w:w="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Gate</w:t>
            </w:r>
          </w:p>
        </w:tc>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Deadline</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4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C3E50"/>
                <w:sz w:val="20"/>
                <w:szCs w:val="20"/>
              </w:rPr>
              <w:t xml:space="preserve">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E8449"/>
                <w:sz w:val="20"/>
                <w:szCs w:val="20"/>
              </w:rPr>
              <w:t xml:space="preserve">PASSED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Code</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Persistence + backfill + harness operational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E8449"/>
                <w:sz w:val="20"/>
                <w:szCs w:val="20"/>
              </w:rPr>
              <w:t xml:space="preserve">✓ Complete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C3E50"/>
                <w:sz w:val="20"/>
                <w:szCs w:val="20"/>
              </w:rPr>
              <w:t xml:space="preserve">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E8449"/>
                <w:sz w:val="20"/>
                <w:szCs w:val="20"/>
              </w:rPr>
              <w:t xml:space="preserve">PASSED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Review</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At least 1 signal graduates (Sharpe &gt;1.0, DD &lt;15%, HR &gt;40%, PF &gt;1.5)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E8449"/>
                <w:sz w:val="20"/>
                <w:szCs w:val="20"/>
              </w:rPr>
              <w:t xml:space="preserve">✓ Complete (6/6)</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C3E50"/>
                <w:sz w:val="20"/>
                <w:szCs w:val="20"/>
              </w:rPr>
              <w:t xml:space="preserve">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C3E50"/>
                <w:sz w:val="20"/>
                <w:szCs w:val="20"/>
              </w:rPr>
              <w:t xml:space="preserve">Apr 27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Market</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Paper P&amp;L within 20% of backtest. Sentinel uptime &gt;99%. No false DANGER blocks.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E86C1"/>
                <w:sz w:val="20"/>
                <w:szCs w:val="20"/>
              </w:rPr>
              <w:t xml:space="preserve">Starting now</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2"/>
              <w:left w:val="single" w:color="1B4F72" w:sz="8"/>
              <w:bottom w:val="none" w:sz="0"/>
              <w:right w:val="none" w:sz="0"/>
            </w:tcBorders>
            <w:shd w:fill="D4E6F1" w:val="clear"/>
            <w:tcMar>
              <w:top w:type="dxa" w:w="120"/>
              <w:left w:type="dxa" w:w="200"/>
              <w:bottom w:type="dxa" w:w="120"/>
              <w:right w:type="dxa" w:w="200"/>
            </w:tcMar>
          </w:tcPr>
          <w:p>
            <w:r>
              <w:rPr>
                <w:rFonts w:ascii="Arial" w:cs="Arial" w:eastAsia="Arial" w:hAnsi="Arial"/>
                <w:color w:val="2C3E50"/>
                <w:sz w:val="20"/>
                <w:szCs w:val="20"/>
              </w:rPr>
              <w:t xml:space="preserve">v1 said: "The single most important action item is raw data persistence." — Done.
v2 said: "The single most important action item is the backfill pipeline and backtesting harness." — Done.
v3 said: "The single most important action item is the directional signal parameter sweep." — Done. cbBTC/USDC graduated.
v4 says: The single most important action item is the Phase 3 build sprint. Wire Sentinel integration, build the paper trading engine, and start accumulating real market exposure data. Every day of paper trading that doesn’t happen is a day closer to April 27 with less validation data.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5D6D7E"/>
        <w:sz w:val="16"/>
        <w:szCs w:val="16"/>
      </w:rPr>
      <w:t xml:space="preserve">Internal — Engineering &amp; Strategy  |  Page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2" w:space="4"/>
      </w:pBdr>
      <w:jc w:val="right"/>
    </w:pPr>
    <w:r>
      <w:rPr>
        <w:rFonts w:ascii="Arial" w:cs="Arial" w:eastAsia="Arial" w:hAnsi="Arial"/>
        <w:b/>
        <w:bCs/>
        <w:color w:val="1B4F72"/>
        <w:sz w:val="16"/>
        <w:szCs w:val="16"/>
      </w:rPr>
      <w:t xml:space="preserve">MARKET AGENT </w:t>
    </w:r>
    <w:r>
      <w:rPr>
        <w:rFonts w:ascii="Arial" w:cs="Arial" w:eastAsia="Arial" w:hAnsi="Arial"/>
        <w:color w:val="5D6D7E"/>
        <w:sz w:val="16"/>
        <w:szCs w:val="16"/>
      </w:rPr>
      <w:t xml:space="preserve">Aggressive Production Plan v4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5"/>
    <w:lvlOverride w:ilvl="0">
      <w:startOverride w:val="1"/>
    </w:lvlOverride>
  </w:num>
  <w:num w:numId="4">
    <w:abstractNumId w:val="6"/>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2026-04-01T17:34:27.115Z</dcterms:created>
  <dcterms:modified xsi:type="dcterms:W3CDTF">2026-04-01T17:34:27.115Z</dcterms:modified>
</cp:coreProperties>
</file>

<file path=docProps/custom.xml><?xml version="1.0" encoding="utf-8"?>
<Properties xmlns="http://schemas.openxmlformats.org/officeDocument/2006/custom-properties" xmlns:vt="http://schemas.openxmlformats.org/officeDocument/2006/docPropsVTypes"/>
</file>