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SENTINEL</w:t>
      </w:r>
    </w:p>
    <w:p>
      <w:pPr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NEXT-GENERATION LAYER RESEARCH BRIEF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Attestations, Reputation, Monitoring, and Compliance</w:t>
      </w:r>
    </w:p>
    <w:p>
      <w:pPr>
        <w:spacing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April 2, 2026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1: Executive Summary</w:t>
      </w:r>
    </w:p>
    <w:p>
      <w:pPr>
        <w:spacing w:after="200"/>
      </w:pPr>
      <w:r>
        <w:t xml:space="preserve">Sentinel currently provides five verification endpoints (protocol, token, position, counterparty, preflight). This brief evaluates six potential new layers that would expand Sentinel's value proposition from a point-in-time verification service to a comprehensive trust infrastructure for autonomous agents. The highest-priority additions are: (1) EAS-based verification attestations ("receipts"), (2) an agent reputation registry, and (3) post-transaction monitoring via webhooks.</w:t>
      </w:r>
    </w:p>
    <w:p>
      <w:pPr>
        <w:pStyle w:val="Heading1"/>
      </w:pPr>
      <w:r>
        <w:t xml:space="preserve">Section 2: Verification Receipts &amp; Attestations (Tier 1 Priority)</w:t>
      </w:r>
    </w:p>
    <w:p>
      <w:pPr>
        <w:pStyle w:val="ListParagraph"/>
        <w:numPr>
          <w:ilvl w:val="0"/>
          <w:numId w:val="2"/>
        </w:numPr>
      </w:pPr>
      <w:r>
        <w:t xml:space="preserve">After Sentinel verifies a transaction, issue a cryptographic on-chain attestation via EAS (Ethereum Attestation Service) on Base</w:t>
      </w:r>
    </w:p>
    <w:p>
      <w:pPr>
        <w:pStyle w:val="ListParagraph"/>
        <w:numPr>
          <w:ilvl w:val="0"/>
          <w:numId w:val="2"/>
        </w:numPr>
      </w:pPr>
      <w:r>
        <w:t xml:space="preserve">Schema links: agent_address, tx_hash, verdict, risk_score, timestamp</w:t>
      </w:r>
    </w:p>
    <w:p>
      <w:pPr>
        <w:pStyle w:val="ListParagraph"/>
        <w:numPr>
          <w:ilvl w:val="0"/>
          <w:numId w:val="2"/>
        </w:numPr>
      </w:pPr>
      <w:r>
        <w:t xml:space="preserve">EAS is plug-and-play on Base; low implementation complexity</w:t>
      </w:r>
    </w:p>
    <w:p>
      <w:pPr>
        <w:pStyle w:val="ListParagraph"/>
        <w:numPr>
          <w:ilvl w:val="0"/>
          <w:numId w:val="2"/>
        </w:numPr>
      </w:pPr>
      <w:r>
        <w:t xml:space="preserve">Creates immutable audit trail — foundation for reputation and compliance</w:t>
      </w:r>
    </w:p>
    <w:p>
      <w:pPr>
        <w:pStyle w:val="ListParagraph"/>
        <w:numPr>
          <w:ilvl w:val="0"/>
          <w:numId w:val="2"/>
        </w:numPr>
      </w:pPr>
      <w:r>
        <w:t xml:space="preserve">Dual-layer approach: on-chain attestations (EAS) for high-value verifications + off-chain Verifiable Credentials (W3C VC standard) for detailed reports</w:t>
      </w:r>
    </w:p>
    <w:p>
      <w:pPr>
        <w:pStyle w:val="ListParagraph"/>
        <w:numPr>
          <w:ilvl w:val="0"/>
          <w:numId w:val="2"/>
        </w:numPr>
      </w:pPr>
      <w:r>
        <w:t xml:space="preserve">Revenue: protocols/services license Sentinel's attestation oracle; $50-200K/mo potential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Competitive moat: ecosystem lock-in through attestation data</w:t>
      </w:r>
    </w:p>
    <w:p>
      <w:pPr>
        <w:pStyle w:val="Heading1"/>
      </w:pPr>
      <w:r>
        <w:t xml:space="preserve">Section 3: Agent Reputation Registry (Tier 1 Priority)</w:t>
      </w:r>
    </w:p>
    <w:p>
      <w:pPr>
        <w:pStyle w:val="ListParagraph"/>
        <w:numPr>
          <w:ilvl w:val="0"/>
          <w:numId w:val="2"/>
        </w:numPr>
      </w:pPr>
      <w:r>
        <w:t xml:space="preserve">Sentinel-native registry tracking agent performance on verified transactions</w:t>
      </w:r>
    </w:p>
    <w:p>
      <w:pPr>
        <w:pStyle w:val="ListParagraph"/>
        <w:numPr>
          <w:ilvl w:val="0"/>
          <w:numId w:val="2"/>
        </w:numPr>
      </w:pPr>
      <w:r>
        <w:t xml:space="preserve">Compliant with ERC-8004 (Agent Trust Protocol, finalized Aug 2025)</w:t>
      </w:r>
    </w:p>
    <w:p>
      <w:pPr>
        <w:pStyle w:val="ListParagraph"/>
        <w:numPr>
          <w:ilvl w:val="0"/>
          <w:numId w:val="2"/>
        </w:numPr>
      </w:pPr>
      <w:r>
        <w:t xml:space="preserve">Tracks: success rate, post-transaction behavior, protocol-specific scores</w:t>
      </w:r>
    </w:p>
    <w:p>
      <w:pPr>
        <w:pStyle w:val="ListParagraph"/>
        <w:numPr>
          <w:ilvl w:val="0"/>
          <w:numId w:val="2"/>
        </w:numPr>
      </w:pPr>
      <w:r>
        <w:t xml:space="preserve">Issues soulbound reputation attestations as EAS schemas</w:t>
      </w:r>
    </w:p>
    <w:p>
      <w:pPr>
        <w:pStyle w:val="ListParagraph"/>
        <w:numPr>
          <w:ilvl w:val="0"/>
          <w:numId w:val="2"/>
        </w:numPr>
      </w:pPr>
      <w:r>
        <w:t xml:space="preserve">Enables reputation-based collateral: agents with high scores get lower lending rates from Aave/Compound</w:t>
      </w:r>
    </w:p>
    <w:p>
      <w:pPr>
        <w:pStyle w:val="ListParagraph"/>
        <w:numPr>
          <w:ilvl w:val="0"/>
          <w:numId w:val="2"/>
        </w:numPr>
      </w:pPr>
      <w:r>
        <w:t xml:space="preserve">Revenue: $10-50/mo per agent subscription + 10-20% of reputation premium savings + oracle access fees from lending/insurance partners ($5K-50K/mo per partner)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Strongest competitive moat: agents building reputation on Sentinel are sticky — switching means losing accumulated track record</w:t>
      </w:r>
    </w:p>
    <w:p>
      <w:pPr>
        <w:pStyle w:val="Heading1"/>
      </w:pPr>
      <w:r>
        <w:t xml:space="preserve">Section 4: Post-Transaction Monitoring (Tier 1 Priority)</w:t>
      </w:r>
    </w:p>
    <w:p>
      <w:pPr>
        <w:pStyle w:val="ListParagraph"/>
        <w:numPr>
          <w:ilvl w:val="0"/>
          <w:numId w:val="2"/>
        </w:numPr>
      </w:pPr>
      <w:r>
        <w:t xml:space="preserve">Webhook alerts on position health changes after initial verification</w:t>
      </w:r>
    </w:p>
    <w:p>
      <w:pPr>
        <w:pStyle w:val="ListParagraph"/>
        <w:numPr>
          <w:ilvl w:val="0"/>
          <w:numId w:val="2"/>
        </w:numPr>
      </w:pPr>
      <w:r>
        <w:t xml:space="preserve">Three tiers: Lite ($100-500/mo for basic alerts), Pro ($500-2K/mo for simulation-based alerts), Enterprise ($5K+/mo for custom Forta/Tenderly bots)</w:t>
      </w:r>
    </w:p>
    <w:p>
      <w:pPr>
        <w:pStyle w:val="ListParagraph"/>
        <w:numPr>
          <w:ilvl w:val="0"/>
          <w:numId w:val="2"/>
        </w:numPr>
      </w:pPr>
      <w:r>
        <w:t xml:space="preserve">Monitors: collateral ratio drops, TVL exodus, counterparty downgrades, liquidation zone entry</w:t>
      </w:r>
    </w:p>
    <w:p>
      <w:pPr>
        <w:pStyle w:val="ListParagraph"/>
        <w:numPr>
          <w:ilvl w:val="0"/>
          <w:numId w:val="2"/>
        </w:numPr>
      </w:pPr>
      <w:r>
        <w:t xml:space="preserve">Revenue: $300K-2M/mo subscription potential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Competitive moat: medium (defensible but others can copy)</w:t>
      </w:r>
    </w:p>
    <w:p>
      <w:pPr>
        <w:pStyle w:val="Heading1"/>
      </w:pPr>
      <w:r>
        <w:t xml:space="preserve">Section 5: Compliance &amp; Audit Trail (Tier 2 Priority)</w:t>
      </w:r>
    </w:p>
    <w:p>
      <w:pPr>
        <w:pStyle w:val="ListParagraph"/>
        <w:numPr>
          <w:ilvl w:val="0"/>
          <w:numId w:val="2"/>
        </w:numPr>
      </w:pPr>
      <w:r>
        <w:t xml:space="preserve">MiCA (EU) full compliance deadline July 2026 — creates urgent institutional demand</w:t>
      </w:r>
    </w:p>
    <w:p>
      <w:pPr>
        <w:pStyle w:val="ListParagraph"/>
        <w:numPr>
          <w:ilvl w:val="0"/>
          <w:numId w:val="2"/>
        </w:numPr>
      </w:pPr>
      <w:r>
        <w:t xml:space="preserve">Cryptographically signed verification logs exportable in regulatory formats</w:t>
      </w:r>
    </w:p>
    <w:p>
      <w:pPr>
        <w:pStyle w:val="ListParagraph"/>
        <w:numPr>
          <w:ilvl w:val="0"/>
          <w:numId w:val="2"/>
        </w:numPr>
      </w:pPr>
      <w:r>
        <w:t xml:space="preserve">SOC2-style certifications for agent portfolios</w:t>
      </w:r>
    </w:p>
    <w:p>
      <w:pPr>
        <w:pStyle w:val="ListParagraph"/>
        <w:numPr>
          <w:ilvl w:val="0"/>
          <w:numId w:val="2"/>
        </w:numPr>
      </w:pPr>
      <w:r>
        <w:t xml:space="preserve">Revenue: $1K-5K/mo per institutional client; $500K-3M/mo potential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Regulatory moat: regulatory approval is a barrier competitors can't quickly replicate</w:t>
      </w:r>
    </w:p>
    <w:p>
      <w:pPr>
        <w:pStyle w:val="Heading1"/>
      </w:pPr>
      <w:r>
        <w:t xml:space="preserve">Section 6: Insurance Integration (Tier 2 Priority)</w:t>
      </w:r>
    </w:p>
    <w:p>
      <w:pPr>
        <w:pStyle w:val="ListParagraph"/>
        <w:numPr>
          <w:ilvl w:val="0"/>
          <w:numId w:val="2"/>
        </w:numPr>
      </w:pPr>
      <w:r>
        <w:t xml:space="preserve">Partner with Nexus Mutual ($5.5B cumulative coverage) / InsurAce for verification-based premium tiers</w:t>
      </w:r>
    </w:p>
    <w:p>
      <w:pPr>
        <w:pStyle w:val="ListParagraph"/>
        <w:numPr>
          <w:ilvl w:val="0"/>
          <w:numId w:val="2"/>
        </w:numPr>
      </w:pPr>
      <w:r>
        <w:t xml:space="preserve">Agents with 99%+ Sentinel success rate get 20-30% insurance discount</w:t>
      </w:r>
    </w:p>
    <w:p>
      <w:pPr>
        <w:pStyle w:val="ListParagraph"/>
        <w:numPr>
          <w:ilvl w:val="0"/>
          <w:numId w:val="2"/>
        </w:numPr>
      </w:pPr>
      <w:r>
        <w:t xml:space="preserve">Automated claims processing via Sentinel attestations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Revenue: 5-15% commission on premiums; $200K-500K/mo potential</w:t>
      </w:r>
    </w:p>
    <w:p>
      <w:pPr>
        <w:pStyle w:val="Heading1"/>
      </w:pPr>
      <w:r>
        <w:t xml:space="preserve">Section 7: Cross-Chain Verification (Tier 3 Priority)</w:t>
      </w:r>
    </w:p>
    <w:p>
      <w:pPr>
        <w:pStyle w:val="ListParagraph"/>
        <w:numPr>
          <w:ilvl w:val="0"/>
          <w:numId w:val="2"/>
        </w:numPr>
      </w:pPr>
      <w:r>
        <w:t xml:space="preserve">Bridge risk assessment (bridge hacks = 69% of total DeFi funds stolen)</w:t>
      </w:r>
    </w:p>
    <w:p>
      <w:pPr>
        <w:pStyle w:val="ListParagraph"/>
        <w:numPr>
          <w:ilvl w:val="0"/>
          <w:numId w:val="2"/>
        </w:numPr>
      </w:pPr>
      <w:r>
        <w:t xml:space="preserve">Token cross-chain risk and wrapped token validation</w:t>
      </w:r>
    </w:p>
    <w:p>
      <w:pPr>
        <w:pStyle w:val="ListParagraph"/>
        <w:numPr>
          <w:ilvl w:val="0"/>
          <w:numId w:val="2"/>
        </w:numPr>
      </w:pPr>
      <w:r>
        <w:t xml:space="preserve">Cross-chain composability risk assessment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Revenue: modest near-term but strategic positioning for 2027+ as multi-chain DeFi TVL 3x's</w:t>
      </w:r>
    </w:p>
    <w:p>
      <w:pPr>
        <w:pStyle w:val="Heading1"/>
      </w:pPr>
      <w:r>
        <w:t xml:space="preserve">Section 8: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1560"/>
        <w:gridCol w:w="1560"/>
      </w:tblGrid>
      <w:tr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Potential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Moat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 Attestation Layer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$50-200K/mo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months</w:t>
            </w:r>
          </w:p>
        </w:tc>
      </w:tr>
      <w:tr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Reputation Registry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$200K-1M/mo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 months</w:t>
            </w:r>
          </w:p>
        </w:tc>
      </w:tr>
      <w:tr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Webhook Monitoring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$300K-2M/mo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months</w:t>
            </w:r>
          </w:p>
        </w:tc>
      </w:tr>
      <w:tr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Module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$500K-3M/mo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5-6 months</w:t>
            </w:r>
          </w:p>
        </w:tc>
      </w:tr>
      <w:tr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Insurance Partnerships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$200-500K/mo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months</w:t>
            </w:r>
          </w:p>
        </w:tc>
      </w:tr>
      <w:tr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Cross-Chain Verification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$100-500K/mo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pct" w:w="100%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8-10 months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Section 9: Technical Specifications</w:t>
      </w:r>
    </w:p>
    <w:p>
      <w:pPr>
        <w:pStyle w:val="Heading2"/>
      </w:pPr>
      <w:r>
        <w:t xml:space="preserve">EAS Schema Example</w:t>
      </w:r>
    </w:p>
    <w:p>
      <w:pPr>
        <w:pStyle w:val="ListParagraph"/>
        <w:numPr>
          <w:ilvl w:val="0"/>
          <w:numId w:val="2"/>
        </w:numPr>
      </w:pPr>
      <w:r>
        <w:t xml:space="preserve">issuer: Sentinel.eth</w:t>
      </w:r>
    </w:p>
    <w:p>
      <w:pPr>
        <w:pStyle w:val="ListParagraph"/>
        <w:numPr>
          <w:ilvl w:val="0"/>
          <w:numId w:val="2"/>
        </w:numPr>
      </w:pPr>
      <w:r>
        <w:t xml:space="preserve">Schema fields: agent (address), transactionHash (bytes32), verdict (string), riskScore (uint8), verificationTimestamp (uint64)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Resolver: SentinelResolver.sol for on-chain validation logic</w:t>
      </w:r>
    </w:p>
    <w:p>
      <w:pPr>
        <w:pStyle w:val="Heading2"/>
      </w:pPr>
      <w:r>
        <w:t xml:space="preserve">SRR (Sentinel Reputation Registry) Design</w:t>
      </w:r>
    </w:p>
    <w:p>
      <w:pPr>
        <w:pStyle w:val="ListParagraph"/>
        <w:numPr>
          <w:ilvl w:val="0"/>
          <w:numId w:val="2"/>
        </w:numPr>
      </w:pPr>
      <w:r>
        <w:t xml:space="preserve">ERC-8004 compliant Identity/Reputation/Validation registries</w:t>
      </w:r>
    </w:p>
    <w:p>
      <w:pPr>
        <w:pStyle w:val="ListParagraph"/>
        <w:numPr>
          <w:ilvl w:val="0"/>
          <w:numId w:val="2"/>
        </w:numPr>
      </w:pPr>
      <w:r>
        <w:t xml:space="preserve">On-chain storage: agent → reputation struct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Off-chain oracle: Sentinel backend feeds reputation updates</w:t>
      </w:r>
    </w:p>
    <w:p>
      <w:pPr>
        <w:pStyle w:val="Heading1"/>
      </w:pPr>
      <w:r>
        <w:t xml:space="preserve">Section 10: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Ship EAS attestations first (quick win, 2-3 months)</w:t>
      </w:r>
    </w:p>
    <w:p>
      <w:pPr>
        <w:pStyle w:val="ListParagraph"/>
        <w:numPr>
          <w:ilvl w:val="0"/>
          <w:numId w:val="2"/>
        </w:numPr>
      </w:pPr>
      <w:r>
        <w:t xml:space="preserve">Build Agent Reputation Registry as canonical trust layer (4-5 months, $1M+ revenue)</w:t>
      </w:r>
    </w:p>
    <w:p>
      <w:pPr>
        <w:pStyle w:val="ListParagraph"/>
        <w:numPr>
          <w:ilvl w:val="0"/>
          <w:numId w:val="2"/>
        </w:numPr>
      </w:pPr>
      <w:r>
        <w:t xml:space="preserve">Partner with Nexus Mutual + InsurAce for insurance integration</w:t>
      </w:r>
    </w:p>
    <w:p>
      <w:pPr>
        <w:pStyle w:val="ListParagraph"/>
        <w:numPr>
          <w:ilvl w:val="0"/>
          <w:numId w:val="2"/>
        </w:numPr>
      </w:pPr>
      <w:r>
        <w:t xml:space="preserve">Invest in Compliance Module as regulatory moat (longer timeline, highest switching cost)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cross-chain space for eventual expansion (2027+)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2026-04-02T12:32:22.476Z</dcterms:created>
  <dcterms:modified xsi:type="dcterms:W3CDTF">2026-04-02T12:32:22.477Z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