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pPr>
      <w:r>
        <w:rPr>
          <w:rFonts w:ascii="Arial" w:cs="Arial" w:eastAsia="Arial" w:hAnsi="Arial"/>
          <w:b/>
          <w:bCs/>
          <w:color w:val="1B2A4A"/>
          <w:sz w:val="44"/>
          <w:szCs w:val="44"/>
        </w:rPr>
        <w:t xml:space="preserve">SENTINEL STRATEGY DECISION BRIEF</w:t>
      </w:r>
    </w:p>
    <w:p>
      <w:pPr>
        <w:pBdr>
          <w:bottom w:val="single" w:color="2E75B6" w:sz="8" w:space="1"/>
        </w:pBdr>
        <w:spacing w:after="200"/>
      </w:pPr>
      <w:r>
        <w:rPr>
          <w:rFonts w:ascii="Arial" w:cs="Arial" w:eastAsia="Arial" w:hAnsi="Arial"/>
          <w:color w:val="2E75B6"/>
          <w:sz w:val="28"/>
          <w:szCs w:val="28"/>
        </w:rPr>
        <w:t xml:space="preserve">Trustchain Accountability Layer: Partner or Build?</w:t>
      </w:r>
    </w:p>
    <w:p>
      <w:pPr>
        <w:spacing w:after="40"/>
      </w:pPr>
      <w:r>
        <w:rPr>
          <w:rFonts w:ascii="Arial" w:cs="Arial" w:eastAsia="Arial" w:hAnsi="Arial"/>
          <w:b/>
          <w:bCs/>
          <w:color w:val="666666"/>
          <w:sz w:val="20"/>
          <w:szCs w:val="20"/>
        </w:rPr>
        <w:t xml:space="preserve">Date: </w:t>
      </w:r>
      <w:r>
        <w:rPr>
          <w:rFonts w:ascii="Arial" w:cs="Arial" w:eastAsia="Arial" w:hAnsi="Arial"/>
          <w:color w:val="666666"/>
          <w:sz w:val="20"/>
          <w:szCs w:val="20"/>
        </w:rPr>
        <w:t xml:space="preserve">March 31, 2026</w:t>
      </w:r>
    </w:p>
    <w:p>
      <w:pPr>
        <w:spacing w:after="40"/>
      </w:pPr>
      <w:r>
        <w:rPr>
          <w:rFonts w:ascii="Arial" w:cs="Arial" w:eastAsia="Arial" w:hAnsi="Arial"/>
          <w:b/>
          <w:bCs/>
          <w:color w:val="666666"/>
          <w:sz w:val="20"/>
          <w:szCs w:val="20"/>
        </w:rPr>
        <w:t xml:space="preserve">Classification: </w:t>
      </w:r>
      <w:r>
        <w:rPr>
          <w:rFonts w:ascii="Arial" w:cs="Arial" w:eastAsia="Arial" w:hAnsi="Arial"/>
          <w:color w:val="666666"/>
          <w:sz w:val="20"/>
          <w:szCs w:val="20"/>
        </w:rPr>
        <w:t xml:space="preserve">Internal — Strategic Planning</w:t>
      </w:r>
    </w:p>
    <w:p>
      <w:pPr>
        <w:spacing w:after="300"/>
      </w:pPr>
      <w:r>
        <w:rPr>
          <w:rFonts w:ascii="Arial" w:cs="Arial" w:eastAsia="Arial" w:hAnsi="Arial"/>
          <w:b/>
          <w:bCs/>
          <w:color w:val="666666"/>
          <w:sz w:val="20"/>
          <w:szCs w:val="20"/>
        </w:rPr>
        <w:t xml:space="preserve">Author: </w:t>
      </w:r>
      <w:r>
        <w:rPr>
          <w:rFonts w:ascii="Arial" w:cs="Arial" w:eastAsia="Arial" w:hAnsi="Arial"/>
          <w:color w:val="666666"/>
          <w:sz w:val="20"/>
          <w:szCs w:val="20"/>
        </w:rPr>
        <w:t xml:space="preserve">Nate Sickler</w:t>
      </w:r>
    </w:p>
    <w:p>
      <w:pPr>
        <w:pStyle w:val="Heading1"/>
      </w:pPr>
      <w:r>
        <w:t xml:space="preserve">Decision Context</w:t>
      </w:r>
    </w:p>
    <w:p>
      <w:pPr>
        <w:spacing w:after="200"/>
      </w:pPr>
      <w:r>
        <w:rPr>
          <w:rFonts w:ascii="Arial" w:cs="Arial" w:eastAsia="Arial" w:hAnsi="Arial"/>
          <w:sz w:val="22"/>
          <w:szCs w:val="22"/>
        </w:rPr>
        <w:t xml:space="preserve">Sentinel is a trust verification API for autonomous AI agents on Base L2. Agents call Sentinel before committing capital to smart contracts, tokens, wallets, or DeFi positions. The service returns a risk assessment with verdict, letter grade, numeric score, and risk flags, paid per-query via x402 micropayments in USDC.</w:t>
      </w:r>
    </w:p>
    <w:p>
      <w:pPr>
        <w:spacing w:after="200"/>
      </w:pPr>
      <w:r>
        <w:rPr>
          <w:rFonts w:ascii="Arial" w:cs="Arial" w:eastAsia="Arial" w:hAnsi="Arial"/>
          <w:sz w:val="22"/>
          <w:szCs w:val="22"/>
        </w:rPr>
        <w:t xml:space="preserve">An active GitHub thread (x402 #1777) has surfaced three capability gaps from production builders. The third gap — post-transaction accountability via signed receipts — is the subject of this decision. Researcher viftode4 (TU Delft, working with Prof. Pouwelse) has published a trustchain protocol for mutual cosigned receipts and flagged that 87% of x402 endpoints lack any accountability mechanism.</w:t>
      </w:r>
    </w:p>
    <w:p>
      <w:pPr>
        <w:spacing w:after="200"/>
      </w:pPr>
      <w:r>
        <w:rPr>
          <w:rFonts w:ascii="Arial" w:cs="Arial" w:eastAsia="Arial" w:hAnsi="Arial"/>
          <w:sz w:val="22"/>
          <w:szCs w:val="22"/>
        </w:rPr>
        <w:t xml:space="preserve">This brief evaluates two paths for how Sentinel addresses the accountability layer: pursuing a partnership with viftode4/trustchain, or building the capability independently.</w:t>
      </w:r>
    </w:p>
    <w:p>
      <w:pPr>
        <w:pStyle w:val="Heading1"/>
      </w:pPr>
      <w:r>
        <w:t xml:space="preserve">The Decision</w:t>
      </w:r>
    </w:p>
    <w:p>
      <w:pPr>
        <w:spacing w:after="200"/>
      </w:pPr>
      <w:r>
        <w:rPr>
          <w:rFonts w:ascii="Arial" w:cs="Arial" w:eastAsia="Arial" w:hAnsi="Arial"/>
          <w:b/>
          <w:bCs/>
          <w:sz w:val="22"/>
          <w:szCs w:val="22"/>
        </w:rPr>
        <w:t xml:space="preserve">Should Sentinel pursue a partnership with viftode4/trustchain </w:t>
      </w:r>
      <w:r>
        <w:rPr>
          <w:rFonts w:ascii="Arial" w:cs="Arial" w:eastAsia="Arial" w:hAnsi="Arial"/>
          <w:sz w:val="22"/>
          <w:szCs w:val="22"/>
        </w:rPr>
        <w:t xml:space="preserve">to serve as the trust attestation and notary layer within their receipt format, </w:t>
      </w:r>
      <w:r>
        <w:rPr>
          <w:rFonts w:ascii="Arial" w:cs="Arial" w:eastAsia="Arial" w:hAnsi="Arial"/>
          <w:b/>
          <w:bCs/>
          <w:sz w:val="22"/>
          <w:szCs w:val="22"/>
        </w:rPr>
        <w:t xml:space="preserve">or build a proprietary signed receipt system independently?</w:t>
      </w:r>
    </w:p>
    <w:p>
      <w:r>
        <w:br w:type="page"/>
      </w:r>
    </w:p>
    <w:p>
      <w:pPr>
        <w:pStyle w:val="Heading1"/>
      </w:pPr>
      <w:r>
        <w:t xml:space="preserve">Option A: Pursue Partnership with Trustchain</w:t>
      </w:r>
    </w:p>
    <w:p>
      <w:pPr>
        <w:spacing w:after="200"/>
      </w:pPr>
      <w:r>
        <w:rPr>
          <w:rFonts w:ascii="Arial" w:cs="Arial" w:eastAsia="Arial" w:hAnsi="Arial"/>
          <w:sz w:val="22"/>
          <w:szCs w:val="22"/>
        </w:rPr>
        <w:t xml:space="preserve">Position Sentinel as the trusted third-party verifier and cosigner within the trustchain mutual receipt format. Sentinel provides the trust attestation; viftode4 owns the receipt specification and format.</w:t>
      </w:r>
    </w:p>
    <w:p>
      <w:pPr>
        <w:pStyle w:val="Heading2"/>
      </w:pPr>
      <w:r>
        <w:t xml:space="preserve">How It Works</w:t>
      </w:r>
    </w:p>
    <w:p>
      <w:pPr>
        <w:pStyle w:val="ListParagraph"/>
        <w:numPr>
          <w:ilvl w:val="0"/>
          <w:numId w:val="2"/>
        </w:numPr>
        <w:spacing w:after="100"/>
      </w:pPr>
      <w:r>
        <w:rPr>
          <w:rFonts w:ascii="Arial" w:cs="Arial" w:eastAsia="Arial" w:hAnsi="Arial"/>
          <w:sz w:val="22"/>
          <w:szCs w:val="22"/>
        </w:rPr>
        <w:t xml:space="preserve">viftode4/trustchain defines the receipt format and cosigning protocol.</w:t>
      </w:r>
    </w:p>
    <w:p>
      <w:pPr>
        <w:pStyle w:val="ListParagraph"/>
        <w:numPr>
          <w:ilvl w:val="0"/>
          <w:numId w:val="2"/>
        </w:numPr>
        <w:spacing w:after="100"/>
      </w:pPr>
      <w:r>
        <w:rPr>
          <w:rFonts w:ascii="Arial" w:cs="Arial" w:eastAsia="Arial" w:hAnsi="Arial"/>
          <w:sz w:val="22"/>
          <w:szCs w:val="22"/>
        </w:rPr>
        <w:t xml:space="preserve">Sentinel integrates as the trust score provider and notary — when an agent requests a pre-transaction assessment, Sentinel’s verdict is embedded in the cosigned receipt as a third-party attestation.</w:t>
      </w:r>
    </w:p>
    <w:p>
      <w:pPr>
        <w:pStyle w:val="ListParagraph"/>
        <w:numPr>
          <w:ilvl w:val="0"/>
          <w:numId w:val="2"/>
        </w:numPr>
        <w:spacing w:after="100"/>
      </w:pPr>
      <w:r>
        <w:rPr>
          <w:rFonts w:ascii="Arial" w:cs="Arial" w:eastAsia="Arial" w:hAnsi="Arial"/>
          <w:sz w:val="22"/>
          <w:szCs w:val="22"/>
        </w:rPr>
        <w:t xml:space="preserve">Sentinel does not build, maintain, or govern the receipt spec itself.</w:t>
      </w:r>
    </w:p>
    <w:p>
      <w:pPr>
        <w:pStyle w:val="ListParagraph"/>
        <w:numPr>
          <w:ilvl w:val="0"/>
          <w:numId w:val="2"/>
        </w:numPr>
        <w:spacing w:after="100"/>
      </w:pPr>
      <w:r>
        <w:rPr>
          <w:rFonts w:ascii="Arial" w:cs="Arial" w:eastAsia="Arial" w:hAnsi="Arial"/>
          <w:sz w:val="22"/>
          <w:szCs w:val="22"/>
        </w:rPr>
        <w:t xml:space="preserve">Collaborative design partnership: Sentinel shapes the attestation fields and verifier interface, viftode4 handles the core receipt schema and mutual signing flow.</w:t>
      </w:r>
    </w:p>
    <w:p>
      <w:pPr>
        <w:pStyle w:val="Heading2"/>
      </w:pPr>
      <w:r>
        <w:t xml:space="preserve">Strategic Rationale</w:t>
      </w:r>
    </w:p>
    <w:p>
      <w:pPr>
        <w:pStyle w:val="Heading3"/>
      </w:pPr>
      <w:r>
        <w:t xml:space="preserve">Revenue Alignment</w:t>
      </w:r>
    </w:p>
    <w:p>
      <w:pPr>
        <w:spacing w:after="200"/>
      </w:pPr>
      <w:r>
        <w:rPr>
          <w:rFonts w:ascii="Arial" w:cs="Arial" w:eastAsia="Arial" w:hAnsi="Arial"/>
          <w:sz w:val="22"/>
          <w:szCs w:val="22"/>
        </w:rPr>
        <w:t xml:space="preserve">Every receipt that includes a Sentinel attestation is a paid query. The partnership creates a new demand channel for Sentinel’s existing endpoints without requiring new infrastructure. As trustchain adoption grows, Sentinel’s query volume scales automatically.</w:t>
      </w:r>
    </w:p>
    <w:p>
      <w:pPr>
        <w:pStyle w:val="Heading3"/>
      </w:pPr>
      <w:r>
        <w:t xml:space="preserve">Capital Efficiency</w:t>
      </w:r>
    </w:p>
    <w:p>
      <w:pPr>
        <w:spacing w:after="200"/>
      </w:pPr>
      <w:r>
        <w:rPr>
          <w:rFonts w:ascii="Arial" w:cs="Arial" w:eastAsia="Arial" w:hAnsi="Arial"/>
          <w:sz w:val="22"/>
          <w:szCs w:val="22"/>
        </w:rPr>
        <w:t xml:space="preserve">Building a receipt format from scratch is standards work — slow, consensus-dependent, and zero-revenue until adopted. The partnership avoids this entire cost center. Sentinel’s engineering effort is limited to an attestation output format and a verifier integration endpoint, estimated at 1–2 weeks of work.</w:t>
      </w:r>
    </w:p>
    <w:p>
      <w:pPr>
        <w:pStyle w:val="Heading3"/>
      </w:pPr>
      <w:r>
        <w:t xml:space="preserve">Credibility Multiplier</w:t>
      </w:r>
    </w:p>
    <w:p>
      <w:pPr>
        <w:spacing w:after="200"/>
      </w:pPr>
      <w:r>
        <w:rPr>
          <w:rFonts w:ascii="Arial" w:cs="Arial" w:eastAsia="Arial" w:hAnsi="Arial"/>
          <w:sz w:val="22"/>
          <w:szCs w:val="22"/>
        </w:rPr>
        <w:t xml:space="preserve">viftode4 brings academic credibility (TU Delft, Prof. Pouwelse’s distributed systems group). This positions Sentinel in peer-reviewed accountability infrastructure rather than a solo commercial project. For the ERC-8004 positioning — where Sentinel aims to fill the Reputation and Validation registry gap — having an academic partner strengthens the case significantly.</w:t>
      </w:r>
    </w:p>
    <w:p>
      <w:pPr>
        <w:pStyle w:val="Heading3"/>
      </w:pPr>
      <w:r>
        <w:t xml:space="preserve">Protocol-Path Acceleration</w:t>
      </w:r>
    </w:p>
    <w:p>
      <w:pPr>
        <w:spacing w:after="200"/>
      </w:pPr>
      <w:r>
        <w:rPr>
          <w:rFonts w:ascii="Arial" w:cs="Arial" w:eastAsia="Arial" w:hAnsi="Arial"/>
          <w:sz w:val="22"/>
          <w:szCs w:val="22"/>
        </w:rPr>
        <w:t xml:space="preserve">Sentinel’s strategic arc is product → protocol. Trustchain is already thinking at the protocol layer. The partnership gives Sentinel exposure to protocol design patterns and governance conversations without prematurely committing to building its own. When Sentinel is ready for Phase 3 (governance, staking, decentralized validation), the trustchain relationship provides a natural on-ramp.</w:t>
      </w:r>
    </w:p>
    <w:p>
      <w:pPr>
        <w:pStyle w:val="Heading2"/>
      </w:pPr>
      <w:r>
        <w:t xml:space="preserve">Risks and Mitigations</w:t>
      </w:r>
    </w:p>
    <w:p>
      <w:pPr>
        <w:pStyle w:val="ListParagraph"/>
        <w:numPr>
          <w:ilvl w:val="0"/>
          <w:numId w:val="2"/>
        </w:numPr>
        <w:spacing w:after="100"/>
      </w:pPr>
      <w:r>
        <w:rPr>
          <w:rFonts w:ascii="Arial" w:cs="Arial" w:eastAsia="Arial" w:hAnsi="Arial"/>
          <w:b/>
          <w:bCs/>
          <w:sz w:val="22"/>
          <w:szCs w:val="22"/>
        </w:rPr>
        <w:t xml:space="preserve">Dependency risk: </w:t>
      </w:r>
      <w:r>
        <w:rPr>
          <w:rFonts w:ascii="Arial" w:cs="Arial" w:eastAsia="Arial" w:hAnsi="Arial"/>
          <w:sz w:val="22"/>
          <w:szCs w:val="22"/>
        </w:rPr>
        <w:t xml:space="preserve">If trustchain stalls or pivots, Sentinel has no receipt layer. Mitigation: The partnership is lightweight — Sentinel’s core product (trust verification) is unaffected. Receipt attestation is an additive feature, not a dependency.</w:t>
      </w:r>
    </w:p>
    <w:p>
      <w:pPr>
        <w:pStyle w:val="ListParagraph"/>
        <w:numPr>
          <w:ilvl w:val="0"/>
          <w:numId w:val="2"/>
        </w:numPr>
        <w:spacing w:after="100"/>
      </w:pPr>
      <w:r>
        <w:rPr>
          <w:rFonts w:ascii="Arial" w:cs="Arial" w:eastAsia="Arial" w:hAnsi="Arial"/>
          <w:b/>
          <w:bCs/>
          <w:sz w:val="22"/>
          <w:szCs w:val="22"/>
        </w:rPr>
        <w:t xml:space="preserve">Standards fragmentation: </w:t>
      </w:r>
      <w:r>
        <w:rPr>
          <w:rFonts w:ascii="Arial" w:cs="Arial" w:eastAsia="Arial" w:hAnsi="Arial"/>
          <w:sz w:val="22"/>
          <w:szCs w:val="22"/>
        </w:rPr>
        <w:t xml:space="preserve">Multiple receipt formats may emerge. Mitigation: Sentinel’s attestation can be format-agnostic. Design the verifier interface as a generic signed payload that can plug into any receipt system.</w:t>
      </w:r>
    </w:p>
    <w:p>
      <w:pPr>
        <w:pStyle w:val="ListParagraph"/>
        <w:numPr>
          <w:ilvl w:val="0"/>
          <w:numId w:val="2"/>
        </w:numPr>
        <w:spacing w:after="100"/>
      </w:pPr>
      <w:r>
        <w:rPr>
          <w:rFonts w:ascii="Arial" w:cs="Arial" w:eastAsia="Arial" w:hAnsi="Arial"/>
          <w:b/>
          <w:bCs/>
          <w:sz w:val="22"/>
          <w:szCs w:val="22"/>
        </w:rPr>
        <w:t xml:space="preserve">Misaligned incentives: </w:t>
      </w:r>
      <w:r>
        <w:rPr>
          <w:rFonts w:ascii="Arial" w:cs="Arial" w:eastAsia="Arial" w:hAnsi="Arial"/>
          <w:sz w:val="22"/>
          <w:szCs w:val="22"/>
        </w:rPr>
        <w:t xml:space="preserve">viftode4 is a researcher, not a company. Academic timelines may not match Sentinel’s urgency. Mitigation: Structure the partnership with clear deliverables and a fallback timeline. If trustchain hasn’t shipped a usable spec in 90 days, reassess.</w:t>
      </w:r>
    </w:p>
    <w:p>
      <w:pPr>
        <w:pStyle w:val="Heading2"/>
      </w:pPr>
      <w:r>
        <w:t xml:space="preserve">Implementation Sequence</w:t>
      </w:r>
    </w:p>
    <w:p>
      <w:pPr>
        <w:pStyle w:val="ListParagraph"/>
        <w:numPr>
          <w:ilvl w:val="0"/>
          <w:numId w:val="3"/>
        </w:numPr>
        <w:spacing w:after="100"/>
      </w:pPr>
      <w:r>
        <w:rPr>
          <w:rFonts w:ascii="Arial" w:cs="Arial" w:eastAsia="Arial" w:hAnsi="Arial"/>
          <w:b/>
          <w:bCs/>
          <w:sz w:val="22"/>
          <w:szCs w:val="22"/>
        </w:rPr>
        <w:t xml:space="preserve">Week 1: </w:t>
      </w:r>
      <w:r>
        <w:rPr>
          <w:rFonts w:ascii="Arial" w:cs="Arial" w:eastAsia="Arial" w:hAnsi="Arial"/>
          <w:sz w:val="22"/>
          <w:szCs w:val="22"/>
        </w:rPr>
        <w:t xml:space="preserve">Reach out to viftode4 via GitHub issue or DM. Express interest in integrating Sentinel as the trust attestation layer. Propose a 30-minute design call.</w:t>
      </w:r>
    </w:p>
    <w:p>
      <w:pPr>
        <w:pStyle w:val="ListParagraph"/>
        <w:numPr>
          <w:ilvl w:val="0"/>
          <w:numId w:val="3"/>
        </w:numPr>
        <w:spacing w:after="100"/>
      </w:pPr>
      <w:r>
        <w:rPr>
          <w:rFonts w:ascii="Arial" w:cs="Arial" w:eastAsia="Arial" w:hAnsi="Arial"/>
          <w:b/>
          <w:bCs/>
          <w:sz w:val="22"/>
          <w:szCs w:val="22"/>
        </w:rPr>
        <w:t xml:space="preserve">Weeks 2–3: </w:t>
      </w:r>
      <w:r>
        <w:rPr>
          <w:rFonts w:ascii="Arial" w:cs="Arial" w:eastAsia="Arial" w:hAnsi="Arial"/>
          <w:sz w:val="22"/>
          <w:szCs w:val="22"/>
        </w:rPr>
        <w:t xml:space="preserve">Co-design the attestation schema. Define what Sentinel’s signed payload looks like inside a trustchain receipt. Agree on interface contract.</w:t>
      </w:r>
    </w:p>
    <w:p>
      <w:pPr>
        <w:pStyle w:val="ListParagraph"/>
        <w:numPr>
          <w:ilvl w:val="0"/>
          <w:numId w:val="3"/>
        </w:numPr>
        <w:spacing w:after="100"/>
      </w:pPr>
      <w:r>
        <w:rPr>
          <w:rFonts w:ascii="Arial" w:cs="Arial" w:eastAsia="Arial" w:hAnsi="Arial"/>
          <w:b/>
          <w:bCs/>
          <w:sz w:val="22"/>
          <w:szCs w:val="22"/>
        </w:rPr>
        <w:t xml:space="preserve">Weeks 3–4: </w:t>
      </w:r>
      <w:r>
        <w:rPr>
          <w:rFonts w:ascii="Arial" w:cs="Arial" w:eastAsia="Arial" w:hAnsi="Arial"/>
          <w:sz w:val="22"/>
          <w:szCs w:val="22"/>
        </w:rPr>
        <w:t xml:space="preserve">Build the attestation output endpoint. This is an extension of existing Sentinel responses, not a new service.</w:t>
      </w:r>
    </w:p>
    <w:p>
      <w:pPr>
        <w:pStyle w:val="ListParagraph"/>
        <w:numPr>
          <w:ilvl w:val="0"/>
          <w:numId w:val="3"/>
        </w:numPr>
        <w:spacing w:after="100"/>
      </w:pPr>
      <w:r>
        <w:rPr>
          <w:rFonts w:ascii="Arial" w:cs="Arial" w:eastAsia="Arial" w:hAnsi="Arial"/>
          <w:b/>
          <w:bCs/>
          <w:sz w:val="22"/>
          <w:szCs w:val="22"/>
        </w:rPr>
        <w:t xml:space="preserve">Week 5+: </w:t>
      </w:r>
      <w:r>
        <w:rPr>
          <w:rFonts w:ascii="Arial" w:cs="Arial" w:eastAsia="Arial" w:hAnsi="Arial"/>
          <w:sz w:val="22"/>
          <w:szCs w:val="22"/>
        </w:rPr>
        <w:t xml:space="preserve">Joint announcement. Demo integration. Begin co-marketing to x402 builder community.</w:t>
      </w:r>
    </w:p>
    <w:p>
      <w:pPr>
        <w:pStyle w:val="Heading2"/>
      </w:pPr>
      <w:r>
        <w:t xml:space="preserve">Cost Estimate</w:t>
      </w:r>
    </w:p>
    <w:p>
      <w:pPr>
        <w:spacing w:after="200"/>
      </w:pPr>
      <w:r>
        <w:rPr>
          <w:rFonts w:ascii="Arial" w:cs="Arial" w:eastAsia="Arial" w:hAnsi="Arial"/>
          <w:sz w:val="22"/>
          <w:szCs w:val="22"/>
        </w:rPr>
        <w:t xml:space="preserve">Engineering: 1–2 weeks (attestation endpoint + verifier interface). Ongoing: Near-zero maintenance — Sentinel’s existing infrastructure handles the queries. No new infrastructure spend.</w:t>
      </w:r>
    </w:p>
    <w:p>
      <w:r>
        <w:br w:type="page"/>
      </w:r>
    </w:p>
    <w:p>
      <w:pPr>
        <w:pStyle w:val="Heading1"/>
      </w:pPr>
      <w:r>
        <w:t xml:space="preserve">Option B: Build Proprietary Signed Receipt System</w:t>
      </w:r>
    </w:p>
    <w:p>
      <w:pPr>
        <w:spacing w:after="200"/>
      </w:pPr>
      <w:r>
        <w:rPr>
          <w:rFonts w:ascii="Arial" w:cs="Arial" w:eastAsia="Arial" w:hAnsi="Arial"/>
          <w:sz w:val="22"/>
          <w:szCs w:val="22"/>
        </w:rPr>
        <w:t xml:space="preserve">Sentinel designs, builds, and maintains its own signed receipt format for post-transaction accountability. Full control over the specification, signing protocol, and verification flow.</w:t>
      </w:r>
    </w:p>
    <w:p>
      <w:pPr>
        <w:pStyle w:val="Heading2"/>
      </w:pPr>
      <w:r>
        <w:t xml:space="preserve">How It Works</w:t>
      </w:r>
    </w:p>
    <w:p>
      <w:pPr>
        <w:pStyle w:val="ListParagraph"/>
        <w:numPr>
          <w:ilvl w:val="0"/>
          <w:numId w:val="2"/>
        </w:numPr>
        <w:spacing w:after="100"/>
      </w:pPr>
      <w:r>
        <w:rPr>
          <w:rFonts w:ascii="Arial" w:cs="Arial" w:eastAsia="Arial" w:hAnsi="Arial"/>
          <w:sz w:val="22"/>
          <w:szCs w:val="22"/>
        </w:rPr>
        <w:t xml:space="preserve">Sentinel defines a proprietary receipt format that bundles pre-transaction risk assessment, the transaction itself, and post-transaction outcome into a signed, verifiable record.</w:t>
      </w:r>
    </w:p>
    <w:p>
      <w:pPr>
        <w:pStyle w:val="ListParagraph"/>
        <w:numPr>
          <w:ilvl w:val="0"/>
          <w:numId w:val="2"/>
        </w:numPr>
        <w:spacing w:after="100"/>
      </w:pPr>
      <w:r>
        <w:rPr>
          <w:rFonts w:ascii="Arial" w:cs="Arial" w:eastAsia="Arial" w:hAnsi="Arial"/>
          <w:sz w:val="22"/>
          <w:szCs w:val="22"/>
        </w:rPr>
        <w:t xml:space="preserve">Agents receive a Sentinel-signed receipt after every verified transaction, creating an auditable trail of trust decisions.</w:t>
      </w:r>
    </w:p>
    <w:p>
      <w:pPr>
        <w:pStyle w:val="ListParagraph"/>
        <w:numPr>
          <w:ilvl w:val="0"/>
          <w:numId w:val="2"/>
        </w:numPr>
        <w:spacing w:after="100"/>
      </w:pPr>
      <w:r>
        <w:rPr>
          <w:rFonts w:ascii="Arial" w:cs="Arial" w:eastAsia="Arial" w:hAnsi="Arial"/>
          <w:sz w:val="22"/>
          <w:szCs w:val="22"/>
        </w:rPr>
        <w:t xml:space="preserve">Sentinel operates as both the trust verifier and the receipt authority — a vertically integrated accountability stack.</w:t>
      </w:r>
    </w:p>
    <w:p>
      <w:pPr>
        <w:pStyle w:val="ListParagraph"/>
        <w:numPr>
          <w:ilvl w:val="0"/>
          <w:numId w:val="2"/>
        </w:numPr>
        <w:spacing w:after="100"/>
      </w:pPr>
      <w:r>
        <w:rPr>
          <w:rFonts w:ascii="Arial" w:cs="Arial" w:eastAsia="Arial" w:hAnsi="Arial"/>
          <w:sz w:val="22"/>
          <w:szCs w:val="22"/>
        </w:rPr>
        <w:t xml:space="preserve">The receipt format is published as an open spec, positioning Sentinel as the de facto standard.</w:t>
      </w:r>
    </w:p>
    <w:p>
      <w:pPr>
        <w:pStyle w:val="Heading2"/>
      </w:pPr>
      <w:r>
        <w:t xml:space="preserve">Strategic Rationale</w:t>
      </w:r>
    </w:p>
    <w:p>
      <w:pPr>
        <w:pStyle w:val="Heading3"/>
      </w:pPr>
      <w:r>
        <w:t xml:space="preserve">Full Control</w:t>
      </w:r>
    </w:p>
    <w:p>
      <w:pPr>
        <w:spacing w:after="200"/>
      </w:pPr>
      <w:r>
        <w:rPr>
          <w:rFonts w:ascii="Arial" w:cs="Arial" w:eastAsia="Arial" w:hAnsi="Arial"/>
          <w:sz w:val="22"/>
          <w:szCs w:val="22"/>
        </w:rPr>
        <w:t xml:space="preserve">Sentinel owns the entire trust-to-accountability pipeline. No dependency on external projects, academic timelines, or third-party governance decisions. Every design choice optimizes for Sentinel’s agent-first use case.</w:t>
      </w:r>
    </w:p>
    <w:p>
      <w:pPr>
        <w:pStyle w:val="Heading3"/>
      </w:pPr>
      <w:r>
        <w:t xml:space="preserve">Proprietary Moat</w:t>
      </w:r>
    </w:p>
    <w:p>
      <w:pPr>
        <w:spacing w:after="200"/>
      </w:pPr>
      <w:r>
        <w:rPr>
          <w:rFonts w:ascii="Arial" w:cs="Arial" w:eastAsia="Arial" w:hAnsi="Arial"/>
          <w:sz w:val="22"/>
          <w:szCs w:val="22"/>
        </w:rPr>
        <w:t xml:space="preserve">A Sentinel-native receipt format creates lock-in. Agents that integrate Sentinel receipts are deeply embedded in the Sentinel ecosystem. This strengthens the protocol-phase transition by establishing Sentinel as the incumbent standard rather than a plug-in to someone else’s standard.</w:t>
      </w:r>
    </w:p>
    <w:p>
      <w:pPr>
        <w:pStyle w:val="Heading3"/>
      </w:pPr>
      <w:r>
        <w:t xml:space="preserve">Revenue Capture</w:t>
      </w:r>
    </w:p>
    <w:p>
      <w:pPr>
        <w:spacing w:after="200"/>
      </w:pPr>
      <w:r>
        <w:rPr>
          <w:rFonts w:ascii="Arial" w:cs="Arial" w:eastAsia="Arial" w:hAnsi="Arial"/>
          <w:sz w:val="22"/>
          <w:szCs w:val="22"/>
        </w:rPr>
        <w:t xml:space="preserve">Every receipt is a paid query, and Sentinel captures the full value chain rather than splitting the narrative with a partner. Premium receipt endpoints (with richer attestation, historical context, or reputation scoring) can command higher price points ($0.05–$0.10 per receipt vs. the current $0.025 ceiling).</w:t>
      </w:r>
    </w:p>
    <w:p>
      <w:pPr>
        <w:pStyle w:val="Heading3"/>
      </w:pPr>
      <w:r>
        <w:t xml:space="preserve">ERC-8004 Positioning</w:t>
      </w:r>
    </w:p>
    <w:p>
      <w:pPr>
        <w:spacing w:after="200"/>
      </w:pPr>
      <w:r>
        <w:rPr>
          <w:rFonts w:ascii="Arial" w:cs="Arial" w:eastAsia="Arial" w:hAnsi="Arial"/>
          <w:sz w:val="22"/>
          <w:szCs w:val="22"/>
        </w:rPr>
        <w:t xml:space="preserve">Submitting a Sentinel-native receipt format as a companion to ERC-8004 gives Sentinel maximum visibility as the Reputation and Validation layer. This is a stronger position than being a component inside someone else’s receipt format.</w:t>
      </w:r>
    </w:p>
    <w:p>
      <w:pPr>
        <w:pStyle w:val="Heading2"/>
      </w:pPr>
      <w:r>
        <w:t xml:space="preserve">Risks and Mitigations</w:t>
      </w:r>
    </w:p>
    <w:p>
      <w:pPr>
        <w:pStyle w:val="ListParagraph"/>
        <w:numPr>
          <w:ilvl w:val="0"/>
          <w:numId w:val="2"/>
        </w:numPr>
        <w:spacing w:after="100"/>
      </w:pPr>
      <w:r>
        <w:rPr>
          <w:rFonts w:ascii="Arial" w:cs="Arial" w:eastAsia="Arial" w:hAnsi="Arial"/>
          <w:b/>
          <w:bCs/>
          <w:sz w:val="22"/>
          <w:szCs w:val="22"/>
        </w:rPr>
        <w:t xml:space="preserve">Engineering cost: </w:t>
      </w:r>
      <w:r>
        <w:rPr>
          <w:rFonts w:ascii="Arial" w:cs="Arial" w:eastAsia="Arial" w:hAnsi="Arial"/>
          <w:sz w:val="22"/>
          <w:szCs w:val="22"/>
        </w:rPr>
        <w:t xml:space="preserve">Building a receipt spec is a multi-month effort involving cryptographic signing, schema design, verification tooling, and documentation. This directly competes with revenue-critical work (session tracking, spending ceilings, market agent integration). Mitigation: Phase the build. Ship a minimal signed payload in Month 1, iterate toward a full spec.</w:t>
      </w:r>
    </w:p>
    <w:p>
      <w:pPr>
        <w:pStyle w:val="ListParagraph"/>
        <w:numPr>
          <w:ilvl w:val="0"/>
          <w:numId w:val="2"/>
        </w:numPr>
        <w:spacing w:after="100"/>
      </w:pPr>
      <w:r>
        <w:rPr>
          <w:rFonts w:ascii="Arial" w:cs="Arial" w:eastAsia="Arial" w:hAnsi="Arial"/>
          <w:b/>
          <w:bCs/>
          <w:sz w:val="22"/>
          <w:szCs w:val="22"/>
        </w:rPr>
        <w:t xml:space="preserve">Adoption friction: </w:t>
      </w:r>
      <w:r>
        <w:rPr>
          <w:rFonts w:ascii="Arial" w:cs="Arial" w:eastAsia="Arial" w:hAnsi="Arial"/>
          <w:sz w:val="22"/>
          <w:szCs w:val="22"/>
        </w:rPr>
        <w:t xml:space="preserve">A Sentinel-only receipt format requires agents to integrate a Sentinel-specific SDK. If trustchain or another receipt format gains traction independently, Sentinel’s proprietary format risks irrelevance. Mitigation: Publish the spec as open and format-agnostic from day one.</w:t>
      </w:r>
    </w:p>
    <w:p>
      <w:pPr>
        <w:pStyle w:val="ListParagraph"/>
        <w:numPr>
          <w:ilvl w:val="0"/>
          <w:numId w:val="2"/>
        </w:numPr>
        <w:spacing w:after="100"/>
      </w:pPr>
      <w:r>
        <w:rPr>
          <w:rFonts w:ascii="Arial" w:cs="Arial" w:eastAsia="Arial" w:hAnsi="Arial"/>
          <w:b/>
          <w:bCs/>
          <w:sz w:val="22"/>
          <w:szCs w:val="22"/>
        </w:rPr>
        <w:t xml:space="preserve">Standards legitimacy: </w:t>
      </w:r>
      <w:r>
        <w:rPr>
          <w:rFonts w:ascii="Arial" w:cs="Arial" w:eastAsia="Arial" w:hAnsi="Arial"/>
          <w:sz w:val="22"/>
          <w:szCs w:val="22"/>
        </w:rPr>
        <w:t xml:space="preserve">Without academic or community co-authorship, Sentinel’s receipt format may be perceived as a commercial play rather than a neutral standard. Mitigation: Invite community contributors early. Publish to ERC process for peer review.</w:t>
      </w:r>
    </w:p>
    <w:p>
      <w:pPr>
        <w:pStyle w:val="ListParagraph"/>
        <w:numPr>
          <w:ilvl w:val="0"/>
          <w:numId w:val="2"/>
        </w:numPr>
        <w:spacing w:after="100"/>
      </w:pPr>
      <w:r>
        <w:rPr>
          <w:rFonts w:ascii="Arial" w:cs="Arial" w:eastAsia="Arial" w:hAnsi="Arial"/>
          <w:b/>
          <w:bCs/>
          <w:sz w:val="22"/>
          <w:szCs w:val="22"/>
        </w:rPr>
        <w:t xml:space="preserve">Capital strain: </w:t>
      </w:r>
      <w:r>
        <w:rPr>
          <w:rFonts w:ascii="Arial" w:cs="Arial" w:eastAsia="Arial" w:hAnsi="Arial"/>
          <w:sz w:val="22"/>
          <w:szCs w:val="22"/>
        </w:rPr>
        <w:t xml:space="preserve">Engineering bandwidth spent on receipts is bandwidth not spent on the features that generate paying queries today. At Sentinel’s current capital constraint, this trade-off is acute. Mitigation: Only begin after session tracking and spending ceiling are shipped and generating revenue.</w:t>
      </w:r>
    </w:p>
    <w:p>
      <w:pPr>
        <w:pStyle w:val="Heading2"/>
      </w:pPr>
      <w:r>
        <w:t xml:space="preserve">Implementation Sequence</w:t>
      </w:r>
    </w:p>
    <w:p>
      <w:pPr>
        <w:pStyle w:val="ListParagraph"/>
        <w:numPr>
          <w:ilvl w:val="0"/>
          <w:numId w:val="4"/>
        </w:numPr>
        <w:spacing w:after="100"/>
      </w:pPr>
      <w:r>
        <w:rPr>
          <w:rFonts w:ascii="Arial" w:cs="Arial" w:eastAsia="Arial" w:hAnsi="Arial"/>
          <w:b/>
          <w:bCs/>
          <w:sz w:val="22"/>
          <w:szCs w:val="22"/>
        </w:rPr>
        <w:t xml:space="preserve">Month 1: </w:t>
      </w:r>
      <w:r>
        <w:rPr>
          <w:rFonts w:ascii="Arial" w:cs="Arial" w:eastAsia="Arial" w:hAnsi="Arial"/>
          <w:sz w:val="22"/>
          <w:szCs w:val="22"/>
        </w:rPr>
        <w:t xml:space="preserve">Design receipt schema. Define minimum viable fields (pre-tx assessment, tx hash, post-tx outcome, Sentinel signature). Ship as a beta endpoint.</w:t>
      </w:r>
    </w:p>
    <w:p>
      <w:pPr>
        <w:pStyle w:val="ListParagraph"/>
        <w:numPr>
          <w:ilvl w:val="0"/>
          <w:numId w:val="4"/>
        </w:numPr>
        <w:spacing w:after="100"/>
      </w:pPr>
      <w:r>
        <w:rPr>
          <w:rFonts w:ascii="Arial" w:cs="Arial" w:eastAsia="Arial" w:hAnsi="Arial"/>
          <w:b/>
          <w:bCs/>
          <w:sz w:val="22"/>
          <w:szCs w:val="22"/>
        </w:rPr>
        <w:t xml:space="preserve">Month 2: </w:t>
      </w:r>
      <w:r>
        <w:rPr>
          <w:rFonts w:ascii="Arial" w:cs="Arial" w:eastAsia="Arial" w:hAnsi="Arial"/>
          <w:sz w:val="22"/>
          <w:szCs w:val="22"/>
        </w:rPr>
        <w:t xml:space="preserve">Build verification tooling. Agents and third parties can independently verify receipt authenticity. Publish open spec draft.</w:t>
      </w:r>
    </w:p>
    <w:p>
      <w:pPr>
        <w:pStyle w:val="ListParagraph"/>
        <w:numPr>
          <w:ilvl w:val="0"/>
          <w:numId w:val="4"/>
        </w:numPr>
        <w:spacing w:after="100"/>
      </w:pPr>
      <w:r>
        <w:rPr>
          <w:rFonts w:ascii="Arial" w:cs="Arial" w:eastAsia="Arial" w:hAnsi="Arial"/>
          <w:b/>
          <w:bCs/>
          <w:sz w:val="22"/>
          <w:szCs w:val="22"/>
        </w:rPr>
        <w:t xml:space="preserve">Month 3: </w:t>
      </w:r>
      <w:r>
        <w:rPr>
          <w:rFonts w:ascii="Arial" w:cs="Arial" w:eastAsia="Arial" w:hAnsi="Arial"/>
          <w:sz w:val="22"/>
          <w:szCs w:val="22"/>
        </w:rPr>
        <w:t xml:space="preserve">SDK and documentation. Submit to ERC process as companion to ERC-8004. Begin community adoption push.</w:t>
      </w:r>
    </w:p>
    <w:p>
      <w:pPr>
        <w:pStyle w:val="ListParagraph"/>
        <w:numPr>
          <w:ilvl w:val="0"/>
          <w:numId w:val="4"/>
        </w:numPr>
        <w:spacing w:after="100"/>
      </w:pPr>
      <w:r>
        <w:rPr>
          <w:rFonts w:ascii="Arial" w:cs="Arial" w:eastAsia="Arial" w:hAnsi="Arial"/>
          <w:b/>
          <w:bCs/>
          <w:sz w:val="22"/>
          <w:szCs w:val="22"/>
        </w:rPr>
        <w:t xml:space="preserve">Month 4+: </w:t>
      </w:r>
      <w:r>
        <w:rPr>
          <w:rFonts w:ascii="Arial" w:cs="Arial" w:eastAsia="Arial" w:hAnsi="Arial"/>
          <w:sz w:val="22"/>
          <w:szCs w:val="22"/>
        </w:rPr>
        <w:t xml:space="preserve">Iterate based on production feedback. Expand receipt fields (reputation history, cross-chain attestation). Premium tier pricing.</w:t>
      </w:r>
    </w:p>
    <w:p>
      <w:pPr>
        <w:pStyle w:val="Heading2"/>
      </w:pPr>
      <w:r>
        <w:t xml:space="preserve">Cost Estimate</w:t>
      </w:r>
    </w:p>
    <w:p>
      <w:pPr>
        <w:spacing w:after="200"/>
      </w:pPr>
      <w:r>
        <w:rPr>
          <w:rFonts w:ascii="Arial" w:cs="Arial" w:eastAsia="Arial" w:hAnsi="Arial"/>
          <w:sz w:val="22"/>
          <w:szCs w:val="22"/>
        </w:rPr>
        <w:t xml:space="preserve">Engineering: 3–4 months of primary focus. Ongoing: Schema governance, verification tooling maintenance, SDK updates. Potential new infrastructure (dedicated signing service, receipt storage). Estimated $50–$200/month incremental infrastructure cost once live.</w:t>
      </w:r>
    </w:p>
    <w:p>
      <w:r>
        <w:br w:type="page"/>
      </w:r>
    </w:p>
    <w:p>
      <w:pPr>
        <w:pStyle w:val="Heading1"/>
      </w:pPr>
      <w:r>
        <w:t xml:space="preserve">Side-by-Side Comparison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 Partner with Trustchain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 Build Proprietary</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rFonts w:ascii="Arial" w:cs="Arial" w:eastAsia="Arial" w:hAnsi="Arial"/>
                <w:b/>
                <w:bCs/>
                <w:color w:val="1B2A4A"/>
                <w:sz w:val="20"/>
                <w:szCs w:val="20"/>
              </w:rPr>
              <w:t xml:space="preserve">Time to Ship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 weeks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 months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rFonts w:ascii="Arial" w:cs="Arial" w:eastAsia="Arial" w:hAnsi="Arial"/>
                <w:b/>
                <w:bCs/>
                <w:color w:val="1B2A4A"/>
                <w:sz w:val="20"/>
                <w:szCs w:val="20"/>
              </w:rPr>
              <w:t xml:space="preserve">Engineering Cost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weeks effort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 months primary focus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rFonts w:ascii="Arial" w:cs="Arial" w:eastAsia="Arial" w:hAnsi="Arial"/>
                <w:b/>
                <w:bCs/>
                <w:color w:val="1B2A4A"/>
                <w:sz w:val="20"/>
                <w:szCs w:val="20"/>
              </w:rPr>
              <w:t xml:space="preserve">Revenue Impact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Additive query channel, no delay to existing roadmap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Delays session tracking / spending ceiling work</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rFonts w:ascii="Arial" w:cs="Arial" w:eastAsia="Arial" w:hAnsi="Arial"/>
                <w:b/>
                <w:bCs/>
                <w:color w:val="1B2A4A"/>
                <w:sz w:val="20"/>
                <w:szCs w:val="20"/>
              </w:rPr>
              <w:t xml:space="preserve">Capital Risk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Near-zero incremental spend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$50–$200/mo new infrastructure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rFonts w:ascii="Arial" w:cs="Arial" w:eastAsia="Arial" w:hAnsi="Arial"/>
                <w:b/>
                <w:bCs/>
                <w:color w:val="1B2A4A"/>
                <w:sz w:val="20"/>
                <w:szCs w:val="20"/>
              </w:rPr>
              <w:t xml:space="preserve">Control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 — Sentinel shapes attestation, viftode4 owns format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 Sentinel owns entire stack</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rFonts w:ascii="Arial" w:cs="Arial" w:eastAsia="Arial" w:hAnsi="Arial"/>
                <w:b/>
                <w:bCs/>
                <w:color w:val="1B2A4A"/>
                <w:sz w:val="20"/>
                <w:szCs w:val="20"/>
              </w:rPr>
              <w:t xml:space="preserve">Adoption Path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Rides trustchain adoption + x402 community momentum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Must drive adoption independently</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rFonts w:ascii="Arial" w:cs="Arial" w:eastAsia="Arial" w:hAnsi="Arial"/>
                <w:b/>
                <w:bCs/>
                <w:color w:val="1B2A4A"/>
                <w:sz w:val="20"/>
                <w:szCs w:val="20"/>
              </w:rPr>
              <w:t xml:space="preserve">Academic Credibility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 Delft partnership strengthens ERC-8004 case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academic backing unless recruited</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rFonts w:ascii="Arial" w:cs="Arial" w:eastAsia="Arial" w:hAnsi="Arial"/>
                <w:b/>
                <w:bCs/>
                <w:color w:val="1B2A4A"/>
                <w:sz w:val="20"/>
                <w:szCs w:val="20"/>
              </w:rPr>
              <w:t xml:space="preserve">Lock-in / Moat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Lower — Sentinel is a component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Higher — agents embed in Sentinel ecosystem</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rFonts w:ascii="Arial" w:cs="Arial" w:eastAsia="Arial" w:hAnsi="Arial"/>
                <w:b/>
                <w:bCs/>
                <w:color w:val="1B2A4A"/>
                <w:sz w:val="20"/>
                <w:szCs w:val="20"/>
              </w:rPr>
              <w:t xml:space="preserve">Protocol-Path Alignment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Exposure to protocol design without commitment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Forced to govern a standard prematurely</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rFonts w:ascii="Arial" w:cs="Arial" w:eastAsia="Arial" w:hAnsi="Arial"/>
                <w:b/>
                <w:bCs/>
                <w:color w:val="1B2A4A"/>
                <w:sz w:val="20"/>
                <w:szCs w:val="20"/>
              </w:rPr>
              <w:t xml:space="preserve">Downside if Wrong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Lost a few weeks; core product unaffected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Lost months of engineering; delayed revenue features</w:t>
            </w:r>
          </w:p>
        </w:tc>
      </w:tr>
    </w:tbl>
    <w:p>
      <w:r>
        <w:br w:type="page"/>
      </w:r>
    </w:p>
    <w:p>
      <w:pPr>
        <w:pStyle w:val="Heading1"/>
      </w:pPr>
      <w:r>
        <w:t xml:space="preserve">Recommendation</w:t>
      </w:r>
    </w:p>
    <w:p>
      <w:pPr>
        <w:spacing w:after="200"/>
      </w:pPr>
      <w:r>
        <w:rPr>
          <w:rFonts w:ascii="Arial" w:cs="Arial" w:eastAsia="Arial" w:hAnsi="Arial"/>
          <w:b/>
          <w:bCs/>
          <w:sz w:val="22"/>
          <w:szCs w:val="22"/>
        </w:rPr>
        <w:t xml:space="preserve">Option A (partnership) </w:t>
      </w:r>
      <w:r>
        <w:rPr>
          <w:rFonts w:ascii="Arial" w:cs="Arial" w:eastAsia="Arial" w:hAnsi="Arial"/>
          <w:sz w:val="22"/>
          <w:szCs w:val="22"/>
        </w:rPr>
        <w:t xml:space="preserve">is the recommended path, with a structured fallback to Option B if the partnership does not produce a usable integration within 90 days.</w:t>
      </w:r>
    </w:p>
    <w:p>
      <w:pPr>
        <w:pStyle w:val="Heading2"/>
      </w:pPr>
      <w:r>
        <w:t xml:space="preserve">Why A Over B</w:t>
      </w:r>
    </w:p>
    <w:p>
      <w:pPr>
        <w:spacing w:after="200"/>
      </w:pPr>
      <w:r>
        <w:rPr>
          <w:rFonts w:ascii="Arial" w:cs="Arial" w:eastAsia="Arial" w:hAnsi="Arial"/>
          <w:sz w:val="22"/>
          <w:szCs w:val="22"/>
        </w:rPr>
        <w:t xml:space="preserve">The binding constraint is capital. Every week of engineering spent on receipt infrastructure is a week not spent on session tracking, spending ceilings, and agent integrations — the features that generate paying queries. Option A addresses the accountability gap at a fraction of the cost and time, while preserving Sentinel’s ability to build independently later if needed.</w:t>
      </w:r>
    </w:p>
    <w:p>
      <w:pPr>
        <w:spacing w:after="200"/>
      </w:pPr>
      <w:r>
        <w:rPr>
          <w:rFonts w:ascii="Arial" w:cs="Arial" w:eastAsia="Arial" w:hAnsi="Arial"/>
          <w:sz w:val="22"/>
          <w:szCs w:val="22"/>
        </w:rPr>
        <w:t xml:space="preserve">The asymmetry matters: if the partnership works, Sentinel gains an accountability layer in weeks, with academic credibility and a new query channel. If it doesn’t work, Sentinel has lost very little and can fall back to Option B with better information about what the market actually needs from a receipt format.</w:t>
      </w:r>
    </w:p>
    <w:p>
      <w:pPr>
        <w:pStyle w:val="Heading2"/>
      </w:pPr>
      <w:r>
        <w:t xml:space="preserve">Decision Criteria for Fallback</w:t>
      </w:r>
    </w:p>
    <w:p>
      <w:pPr>
        <w:spacing w:after="200"/>
      </w:pPr>
      <w:r>
        <w:rPr>
          <w:rFonts w:ascii="Arial" w:cs="Arial" w:eastAsia="Arial" w:hAnsi="Arial"/>
          <w:sz w:val="22"/>
          <w:szCs w:val="22"/>
        </w:rPr>
        <w:t xml:space="preserve">Trigger the fallback to Option B if any of the following occur within 90 days:</w:t>
      </w:r>
    </w:p>
    <w:p>
      <w:pPr>
        <w:pStyle w:val="ListParagraph"/>
        <w:numPr>
          <w:ilvl w:val="0"/>
          <w:numId w:val="5"/>
        </w:numPr>
        <w:spacing w:after="100"/>
      </w:pPr>
      <w:r>
        <w:rPr>
          <w:rFonts w:ascii="Arial" w:cs="Arial" w:eastAsia="Arial" w:hAnsi="Arial"/>
          <w:sz w:val="22"/>
          <w:szCs w:val="22"/>
        </w:rPr>
        <w:t xml:space="preserve">viftode4 is unresponsive or declines collaboration after two outreach attempts.</w:t>
      </w:r>
    </w:p>
    <w:p>
      <w:pPr>
        <w:pStyle w:val="ListParagraph"/>
        <w:numPr>
          <w:ilvl w:val="0"/>
          <w:numId w:val="5"/>
        </w:numPr>
        <w:spacing w:after="100"/>
      </w:pPr>
      <w:r>
        <w:rPr>
          <w:rFonts w:ascii="Arial" w:cs="Arial" w:eastAsia="Arial" w:hAnsi="Arial"/>
          <w:sz w:val="22"/>
          <w:szCs w:val="22"/>
        </w:rPr>
        <w:t xml:space="preserve">Trustchain spec is too early-stage to integrate against (no stable schema, no working reference implementation).</w:t>
      </w:r>
    </w:p>
    <w:p>
      <w:pPr>
        <w:pStyle w:val="ListParagraph"/>
        <w:numPr>
          <w:ilvl w:val="0"/>
          <w:numId w:val="5"/>
        </w:numPr>
        <w:spacing w:after="100"/>
      </w:pPr>
      <w:r>
        <w:rPr>
          <w:rFonts w:ascii="Arial" w:cs="Arial" w:eastAsia="Arial" w:hAnsi="Arial"/>
          <w:sz w:val="22"/>
          <w:szCs w:val="22"/>
        </w:rPr>
        <w:t xml:space="preserve">Design disagreements make Sentinel’s attestation role untenable (e.g., trustchain requires Sentinel to cede scoring methodology control).</w:t>
      </w:r>
    </w:p>
    <w:p>
      <w:pPr>
        <w:pStyle w:val="ListParagraph"/>
        <w:numPr>
          <w:ilvl w:val="0"/>
          <w:numId w:val="5"/>
        </w:numPr>
        <w:spacing w:after="100"/>
      </w:pPr>
      <w:r>
        <w:rPr>
          <w:rFonts w:ascii="Arial" w:cs="Arial" w:eastAsia="Arial" w:hAnsi="Arial"/>
          <w:sz w:val="22"/>
          <w:szCs w:val="22"/>
        </w:rPr>
        <w:t xml:space="preserve">A competing receipt format gains dominant adoption before trustchain ships, making the partnership strategically irrelevant.</w:t>
      </w:r>
    </w:p>
    <w:p>
      <w:pPr>
        <w:pStyle w:val="Heading2"/>
      </w:pPr>
      <w:r>
        <w:t xml:space="preserve">Immediate Next Actions</w:t>
      </w:r>
    </w:p>
    <w:p>
      <w:pPr>
        <w:pStyle w:val="ListParagraph"/>
        <w:numPr>
          <w:ilvl w:val="0"/>
          <w:numId w:val="2"/>
        </w:numPr>
        <w:spacing w:after="100"/>
      </w:pPr>
      <w:r>
        <w:rPr>
          <w:rFonts w:ascii="Arial" w:cs="Arial" w:eastAsia="Arial" w:hAnsi="Arial"/>
          <w:b/>
          <w:bCs/>
          <w:sz w:val="22"/>
          <w:szCs w:val="22"/>
        </w:rPr>
        <w:t xml:space="preserve">This week: </w:t>
      </w:r>
      <w:r>
        <w:rPr>
          <w:rFonts w:ascii="Arial" w:cs="Arial" w:eastAsia="Arial" w:hAnsi="Arial"/>
          <w:sz w:val="22"/>
          <w:szCs w:val="22"/>
        </w:rPr>
        <w:t xml:space="preserve">Complete market agent integration (revenue-critical, not blocked by this decision).</w:t>
      </w:r>
    </w:p>
    <w:p>
      <w:pPr>
        <w:pStyle w:val="ListParagraph"/>
        <w:numPr>
          <w:ilvl w:val="0"/>
          <w:numId w:val="2"/>
        </w:numPr>
        <w:spacing w:after="100"/>
      </w:pPr>
      <w:r>
        <w:rPr>
          <w:rFonts w:ascii="Arial" w:cs="Arial" w:eastAsia="Arial" w:hAnsi="Arial"/>
          <w:b/>
          <w:bCs/>
          <w:sz w:val="22"/>
          <w:szCs w:val="22"/>
        </w:rPr>
        <w:t xml:space="preserve">This week: </w:t>
      </w:r>
      <w:r>
        <w:rPr>
          <w:rFonts w:ascii="Arial" w:cs="Arial" w:eastAsia="Arial" w:hAnsi="Arial"/>
          <w:sz w:val="22"/>
          <w:szCs w:val="22"/>
        </w:rPr>
        <w:t xml:space="preserve">Ship session tracking (community gap #2, highest revenue impact).</w:t>
      </w:r>
    </w:p>
    <w:p>
      <w:pPr>
        <w:pStyle w:val="ListParagraph"/>
        <w:numPr>
          <w:ilvl w:val="0"/>
          <w:numId w:val="2"/>
        </w:numPr>
        <w:spacing w:after="100"/>
      </w:pPr>
      <w:r>
        <w:rPr>
          <w:rFonts w:ascii="Arial" w:cs="Arial" w:eastAsia="Arial" w:hAnsi="Arial"/>
          <w:b/>
          <w:bCs/>
          <w:sz w:val="22"/>
          <w:szCs w:val="22"/>
        </w:rPr>
        <w:t xml:space="preserve">Next week: </w:t>
      </w:r>
      <w:r>
        <w:rPr>
          <w:rFonts w:ascii="Arial" w:cs="Arial" w:eastAsia="Arial" w:hAnsi="Arial"/>
          <w:sz w:val="22"/>
          <w:szCs w:val="22"/>
        </w:rPr>
        <w:t xml:space="preserve">Reach out to viftode4 on GitHub with a specific integration proposal, not just general interest.</w:t>
      </w:r>
    </w:p>
    <w:p>
      <w:pPr>
        <w:pStyle w:val="ListParagraph"/>
        <w:numPr>
          <w:ilvl w:val="0"/>
          <w:numId w:val="2"/>
        </w:numPr>
        <w:spacing w:after="100"/>
      </w:pPr>
      <w:r>
        <w:rPr>
          <w:rFonts w:ascii="Arial" w:cs="Arial" w:eastAsia="Arial" w:hAnsi="Arial"/>
          <w:b/>
          <w:bCs/>
          <w:sz w:val="22"/>
          <w:szCs w:val="22"/>
        </w:rPr>
        <w:t xml:space="preserve">Week 3: </w:t>
      </w:r>
      <w:r>
        <w:rPr>
          <w:rFonts w:ascii="Arial" w:cs="Arial" w:eastAsia="Arial" w:hAnsi="Arial"/>
          <w:sz w:val="22"/>
          <w:szCs w:val="22"/>
        </w:rPr>
        <w:t xml:space="preserve">Ship spending ceiling output (community gap #1).</w:t>
      </w:r>
    </w:p>
    <w:p>
      <w:pPr>
        <w:pStyle w:val="ListParagraph"/>
        <w:numPr>
          <w:ilvl w:val="0"/>
          <w:numId w:val="2"/>
        </w:numPr>
        <w:spacing w:after="100"/>
      </w:pPr>
      <w:r>
        <w:rPr>
          <w:rFonts w:ascii="Arial" w:cs="Arial" w:eastAsia="Arial" w:hAnsi="Arial"/>
          <w:b/>
          <w:bCs/>
          <w:sz w:val="22"/>
          <w:szCs w:val="22"/>
        </w:rPr>
        <w:t xml:space="preserve">Week 4: </w:t>
      </w:r>
      <w:r>
        <w:rPr>
          <w:rFonts w:ascii="Arial" w:cs="Arial" w:eastAsia="Arial" w:hAnsi="Arial"/>
          <w:sz w:val="22"/>
          <w:szCs w:val="22"/>
        </w:rPr>
        <w:t xml:space="preserve">Assess partnership progress. If design call completed and schema alignment confirmed, proceed with attestation endpoint build.</w:t>
      </w:r>
    </w:p>
    <w:p>
      <w:pPr>
        <w:pStyle w:val="ListParagraph"/>
        <w:numPr>
          <w:ilvl w:val="0"/>
          <w:numId w:val="2"/>
        </w:numPr>
        <w:spacing w:after="100"/>
      </w:pPr>
      <w:r>
        <w:rPr>
          <w:rFonts w:ascii="Arial" w:cs="Arial" w:eastAsia="Arial" w:hAnsi="Arial"/>
          <w:b/>
          <w:bCs/>
          <w:sz w:val="22"/>
          <w:szCs w:val="22"/>
        </w:rPr>
        <w:t xml:space="preserve">Day 90: </w:t>
      </w:r>
      <w:r>
        <w:rPr>
          <w:rFonts w:ascii="Arial" w:cs="Arial" w:eastAsia="Arial" w:hAnsi="Arial"/>
          <w:sz w:val="22"/>
          <w:szCs w:val="22"/>
        </w:rPr>
        <w:t xml:space="preserve">Partnership checkpoint. Go/no-go on continued collaboration vs. fallback to Option 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8"/>
        <w:szCs w:val="18"/>
      </w:rPr>
      <w:t xml:space="preserve">SENTINEL</w:t>
    </w:r>
    <w:r>
      <w:rPr>
        <w:rFonts w:ascii="Arial" w:cs="Arial" w:eastAsia="Arial" w:hAnsi="Arial"/>
        <w:color w:val="666666"/>
        <w:sz w:val="18"/>
        <w:szCs w:val="18"/>
      </w:rPr>
      <w:t xml:space="preserve">	Trustchain Partnership Decision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2026-04-01T02:32:12.632Z</dcterms:created>
  <dcterms:modified xsi:type="dcterms:W3CDTF">2026-04-01T02:32:12.636Z</dcterms:modified>
</cp:coreProperties>
</file>

<file path=docProps/custom.xml><?xml version="1.0" encoding="utf-8"?>
<Properties xmlns="http://schemas.openxmlformats.org/officeDocument/2006/custom-properties" xmlns:vt="http://schemas.openxmlformats.org/officeDocument/2006/docPropsVTypes"/>
</file>