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0B3D2E"/>
          <w:sz w:val="64"/>
          <w:szCs w:val="64"/>
        </w:rPr>
        <w:t xml:space="preserve">SENTINEL</w:t>
      </w:r>
    </w:p>
    <w:p>
      <w:pPr>
        <w:spacing w:after="80"/>
        <w:jc w:val="center"/>
      </w:pPr>
      <w:r>
        <w:rPr>
          <w:rFonts w:ascii="Arial" w:cs="Arial" w:eastAsia="Arial" w:hAnsi="Arial"/>
          <w:color w:val="555555"/>
          <w:sz w:val="30"/>
          <w:szCs w:val="30"/>
        </w:rPr>
        <w:t xml:space="preserve">The Trust Layer for Autonomous Agents</w:t>
      </w:r>
    </w:p>
    <w:p>
      <w:pPr>
        <w:pBdr>
          <w:bottom w:val="single" w:color="82E0AA" w:sz="6" w:space="1"/>
        </w:pBdr>
        <w:spacing w:after="600"/>
        <w:jc w:val="center"/>
      </w:pPr>
      <w:r>
        <w:rPr>
          <w:rFonts w:ascii="Arial" w:cs="Arial" w:eastAsia="Arial" w:hAnsi="Arial"/>
          <w:i/>
          <w:iCs/>
          <w:color w:val="777777"/>
          <w:sz w:val="24"/>
          <w:szCs w:val="24"/>
        </w:rPr>
        <w:t xml:space="preserve">Verify before you execute.</w:t>
      </w:r>
    </w:p>
    <w:p>
      <w:pPr>
        <w:spacing w:before="800"/>
      </w:pPr>
    </w:p>
    <w:p>
      <w:pPr>
        <w:spacing w:after="40"/>
        <w:jc w:val="center"/>
      </w:pPr>
      <w:r>
        <w:rPr>
          <w:rFonts w:ascii="Arial" w:cs="Arial" w:eastAsia="Arial" w:hAnsi="Arial"/>
          <w:color w:val="555555"/>
          <w:sz w:val="22"/>
          <w:szCs w:val="22"/>
        </w:rPr>
        <w:t xml:space="preserve">x402-Gated Verification Service</w:t>
      </w:r>
    </w:p>
    <w:p>
      <w:pPr>
        <w:spacing w:after="40"/>
        <w:jc w:val="center"/>
      </w:pPr>
      <w:r>
        <w:rPr>
          <w:rFonts w:ascii="Arial" w:cs="Arial" w:eastAsia="Arial" w:hAnsi="Arial"/>
          <w:color w:val="555555"/>
          <w:sz w:val="22"/>
          <w:szCs w:val="22"/>
        </w:rPr>
        <w:t xml:space="preserve">Build Blueprint, Pricing Model &amp; Technical Architecture</w:t>
      </w:r>
    </w:p>
    <w:p>
      <w:pPr>
        <w:spacing w:after="200"/>
        <w:jc w:val="center"/>
      </w:pPr>
      <w:r>
        <w:rPr>
          <w:rFonts w:ascii="Arial" w:cs="Arial" w:eastAsia="Arial" w:hAnsi="Arial"/>
          <w:color w:val="999999"/>
          <w:sz w:val="20"/>
          <w:szCs w:val="20"/>
        </w:rPr>
        <w:t xml:space="preserve">March 2026 — Confidential</w:t>
      </w:r>
    </w:p>
    <w:p>
      <w:pPr>
        <w:sectPr>
          <w:pgSz w:w="12240" w:h="15840" w:orient="portrait"/>
          <w:pgMar w:top="1440" w:right="1440" w:bottom="1440" w:left="1440" w:header="708" w:footer="708" w:gutter="0"/>
          <w:pgNumType/>
          <w:docGrid w:linePitch="360"/>
        </w:sectPr>
      </w:pPr>
    </w:p>
    <w:p>
      <w:pPr>
        <w:pStyle w:val="Heading1"/>
      </w:pPr>
      <w:r>
        <w:t xml:space="preserve">The Problem</w:t>
      </w:r>
    </w:p>
    <w:p>
      <w:pPr>
        <w:spacing w:after="160"/>
      </w:pPr>
      <w:r>
        <w:rPr>
          <w:rFonts w:ascii="Arial" w:cs="Arial" w:eastAsia="Arial" w:hAnsi="Arial"/>
          <w:sz w:val="22"/>
          <w:szCs w:val="22"/>
        </w:rPr>
        <w:t xml:space="preserve">Every autonomous AI agent faces a fundamental question before every onchain interaction: </w:t>
      </w:r>
      <w:r>
        <w:rPr>
          <w:rFonts w:ascii="Arial" w:cs="Arial" w:eastAsia="Arial" w:hAnsi="Arial"/>
          <w:b/>
          <w:bCs/>
          <w:sz w:val="22"/>
          <w:szCs w:val="22"/>
        </w:rPr>
        <w:t xml:space="preserve">can I trust this?</w:t>
      </w:r>
    </w:p>
    <w:p>
      <w:pPr>
        <w:spacing w:after="160"/>
      </w:pPr>
      <w:r>
        <w:rPr>
          <w:rFonts w:ascii="Arial" w:cs="Arial" w:eastAsia="Arial" w:hAnsi="Arial"/>
          <w:sz w:val="22"/>
          <w:szCs w:val="22"/>
        </w:rPr>
        <w:t xml:space="preserve">Can I trust this protocol? Is this contract safe? Is this yield real? Is this counterparty address clean? Has this token been exploited before? Will this transaction put my principal at risk?</w:t>
      </w:r>
    </w:p>
    <w:p>
      <w:pPr>
        <w:spacing w:after="160"/>
      </w:pPr>
      <w:r>
        <w:rPr>
          <w:rFonts w:ascii="Arial" w:cs="Arial" w:eastAsia="Arial" w:hAnsi="Arial"/>
          <w:sz w:val="22"/>
          <w:szCs w:val="22"/>
        </w:rPr>
        <w:t xml:space="preserve">Today, agents answer these questions in one of three ways — all inadequate:</w:t>
      </w:r>
    </w:p>
    <w:p>
      <w:pPr>
        <w:pStyle w:val="ListParagraph"/>
        <w:numPr>
          <w:ilvl w:val="0"/>
          <w:numId w:val="2"/>
        </w:numPr>
        <w:spacing w:after="80"/>
      </w:pPr>
      <w:r>
        <w:rPr>
          <w:rFonts w:ascii="Arial" w:cs="Arial" w:eastAsia="Arial" w:hAnsi="Arial"/>
          <w:b/>
          <w:bCs/>
          <w:sz w:val="22"/>
          <w:szCs w:val="22"/>
        </w:rPr>
        <w:t xml:space="preserve">They skip the check entirely. </w:t>
      </w:r>
      <w:r>
        <w:rPr>
          <w:rFonts w:ascii="Arial" w:cs="Arial" w:eastAsia="Arial" w:hAnsi="Arial"/>
          <w:sz w:val="22"/>
          <w:szCs w:val="22"/>
        </w:rPr>
        <w:t xml:space="preserve">Most DeFi agents execute trades, provide liquidity, and move capital with zero pre-flight verification. They trust that the protocols they interact with are safe because a developer hardcoded them into a whitelist. When something goes wrong — an exploit, a rug pull, a liquidation cascade — the agent has no mechanism to detect it in advance.</w:t>
      </w:r>
    </w:p>
    <w:p>
      <w:pPr>
        <w:pStyle w:val="ListParagraph"/>
        <w:numPr>
          <w:ilvl w:val="0"/>
          <w:numId w:val="2"/>
        </w:numPr>
        <w:spacing w:after="80"/>
      </w:pPr>
      <w:r>
        <w:rPr>
          <w:rFonts w:ascii="Arial" w:cs="Arial" w:eastAsia="Arial" w:hAnsi="Arial"/>
          <w:b/>
          <w:bCs/>
          <w:sz w:val="22"/>
          <w:szCs w:val="22"/>
        </w:rPr>
        <w:t xml:space="preserve">They rely on the developer’s static judgment. </w:t>
      </w:r>
      <w:r>
        <w:rPr>
          <w:rFonts w:ascii="Arial" w:cs="Arial" w:eastAsia="Arial" w:hAnsi="Arial"/>
          <w:sz w:val="22"/>
          <w:szCs w:val="22"/>
        </w:rPr>
        <w:t xml:space="preserve">Agent builders hardcode lists of “safe” protocols and “appoved” contracts. These lists go stale immediately. New exploits, governance attacks, and liquidity crises emerge daily. A static list from last week is already a liability.</w:t>
      </w:r>
    </w:p>
    <w:p>
      <w:pPr>
        <w:pStyle w:val="ListParagraph"/>
        <w:numPr>
          <w:ilvl w:val="0"/>
          <w:numId w:val="2"/>
        </w:numPr>
        <w:spacing w:after="80"/>
      </w:pPr>
      <w:r>
        <w:rPr>
          <w:rFonts w:ascii="Arial" w:cs="Arial" w:eastAsia="Arial" w:hAnsi="Arial"/>
          <w:b/>
          <w:bCs/>
          <w:sz w:val="22"/>
          <w:szCs w:val="22"/>
        </w:rPr>
        <w:t xml:space="preserve">They build custom verification from scratch. </w:t>
      </w:r>
      <w:r>
        <w:rPr>
          <w:rFonts w:ascii="Arial" w:cs="Arial" w:eastAsia="Arial" w:hAnsi="Arial"/>
          <w:sz w:val="22"/>
          <w:szCs w:val="22"/>
        </w:rPr>
        <w:t xml:space="preserve">Sophisticated teams build their own risk checks, but this is duplicated effort across thousands of agent projects. Every team solves the same problems independently, poorly, and incompletely.</w:t>
      </w:r>
    </w:p>
    <w:p>
      <w:pPr>
        <w:spacing w:after="160"/>
      </w:pPr>
      <w:r>
        <w:rPr>
          <w:rFonts w:ascii="Arial" w:cs="Arial" w:eastAsia="Arial" w:hAnsi="Arial"/>
          <w:sz w:val="22"/>
          <w:szCs w:val="22"/>
        </w:rPr>
        <w:t xml:space="preserve">The result: the agentic economy is growing rapidly, but the trust infrastructure is nearly nonexistent. Agents are managing real money with no shared verification layer. This is the gap Sentinel fills.</w:t>
      </w:r>
    </w:p>
    <w:p>
      <w:pPr>
        <w:pStyle w:val="Heading1"/>
      </w:pPr>
      <w:r>
        <w:t xml:space="preserve">The Vision</w:t>
      </w:r>
    </w:p>
    <w:p>
      <w:pPr>
        <w:spacing w:after="160"/>
      </w:pPr>
      <w:r>
        <w:rPr>
          <w:rFonts w:ascii="Arial" w:cs="Arial" w:eastAsia="Arial" w:hAnsi="Arial"/>
          <w:b/>
          <w:bCs/>
          <w:sz w:val="22"/>
          <w:szCs w:val="22"/>
        </w:rPr>
        <w:t xml:space="preserve">Sentinel is a real-time, x402-gated verification service that answers one question for any autonomous agent: is this interaction safe?</w:t>
      </w:r>
    </w:p>
    <w:p>
      <w:pPr>
        <w:spacing w:after="160"/>
      </w:pPr>
      <w:r>
        <w:rPr>
          <w:rFonts w:ascii="Arial" w:cs="Arial" w:eastAsia="Arial" w:hAnsi="Arial"/>
          <w:sz w:val="22"/>
          <w:szCs w:val="22"/>
        </w:rPr>
        <w:t xml:space="preserve">It operates as a pre-flight check layer — the agent calls Sentinel before executing any onchain action and receives a structured trust assessment. The agent pays per request in USDC via the x402 protocol. No accounts, no subscriptions, no API keys.</w:t>
      </w:r>
    </w:p>
    <w:p>
      <w:pPr>
        <w:spacing w:after="160"/>
      </w:pPr>
      <w:r>
        <w:rPr>
          <w:rFonts w:ascii="Arial" w:cs="Arial" w:eastAsia="Arial" w:hAnsi="Arial"/>
          <w:sz w:val="22"/>
          <w:szCs w:val="22"/>
        </w:rPr>
        <w:t xml:space="preserve">Sentinel serves three verification domains, expanding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58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c>
          <w:tcPr>
            <w:tcW w:type="dxa" w:w="358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Who Needs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Verification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this smart contract safe to interact with? Audit status, exploit history, contract age, TVL stability, governance 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DeFi agent before every protocol interaction</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Position Risk</w:t>
            </w:r>
          </w:p>
        </w:tc>
        <w:tc>
          <w:tcPr>
            <w:tcW w:type="dxa" w:w="35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Is this position healthy? Liquidation proximity, concentration exposure, yield sustainability, volatility risk.</w:t>
            </w:r>
          </w:p>
        </w:tc>
        <w:tc>
          <w:tcPr>
            <w:tcW w:type="dxa" w:w="35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Portfolio management agents, yield farming agents, lending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Counterparty Intelligence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this wallet address safe to transact with? Sanctions screening, exploit association, behavior patterns, reputation score.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agent sending or receiving funds, agent-to-agent commerce, compliance-sensitive operations</w:t>
            </w:r>
          </w:p>
        </w:tc>
      </w:tr>
    </w:tbl>
    <w:p>
      <w:pPr>
        <w:spacing w:after="200"/>
      </w:pPr>
    </w:p>
    <w:p>
      <w:pPr>
        <w:spacing w:after="160"/>
      </w:pPr>
      <w:r>
        <w:rPr>
          <w:rFonts w:ascii="Arial" w:cs="Arial" w:eastAsia="Arial" w:hAnsi="Arial"/>
          <w:sz w:val="22"/>
          <w:szCs w:val="22"/>
        </w:rPr>
        <w:t xml:space="preserve">The long-term vision is a single </w:t>
      </w:r>
      <w:r>
        <w:rPr>
          <w:rFonts w:ascii="Arial" w:cs="Arial" w:eastAsia="Arial" w:hAnsi="Arial"/>
          <w:b/>
          <w:bCs/>
          <w:sz w:val="22"/>
          <w:szCs w:val="22"/>
        </w:rPr>
        <w:t xml:space="preserve">/preflight</w:t>
      </w:r>
      <w:r>
        <w:rPr>
          <w:rFonts w:ascii="Arial" w:cs="Arial" w:eastAsia="Arial" w:hAnsi="Arial"/>
          <w:sz w:val="22"/>
          <w:szCs w:val="22"/>
        </w:rPr>
        <w:t xml:space="preserve"> endpoint that combines all three domains into one call — the universal pre-transaction safety check for the agentic economy.</w:t>
      </w:r>
    </w:p>
    <w:p>
      <w:pPr>
        <w:pStyle w:val="Heading1"/>
      </w:pPr>
      <w:r>
        <w:t xml:space="preserve">Why This, Why Now</w:t>
      </w:r>
    </w:p>
    <w:p>
      <w:pPr>
        <w:spacing w:after="160"/>
      </w:pPr>
      <w:r>
        <w:rPr>
          <w:rFonts w:ascii="Arial" w:cs="Arial" w:eastAsia="Arial" w:hAnsi="Arial"/>
          <w:sz w:val="22"/>
          <w:szCs w:val="22"/>
        </w:rPr>
        <w:t xml:space="preserve">Four forces are converging to make this the right product at the right time:</w:t>
      </w:r>
    </w:p>
    <w:p>
      <w:pPr>
        <w:pStyle w:val="ListParagraph"/>
        <w:numPr>
          <w:ilvl w:val="0"/>
          <w:numId w:val="2"/>
        </w:numPr>
        <w:spacing w:after="80"/>
      </w:pPr>
      <w:r>
        <w:rPr>
          <w:rFonts w:ascii="Arial" w:cs="Arial" w:eastAsia="Arial" w:hAnsi="Arial"/>
          <w:b/>
          <w:bCs/>
          <w:sz w:val="22"/>
          <w:szCs w:val="22"/>
        </w:rPr>
        <w:t xml:space="preserve">Agent volume is exploding. </w:t>
      </w:r>
      <w:r>
        <w:rPr>
          <w:rFonts w:ascii="Arial" w:cs="Arial" w:eastAsia="Arial" w:hAnsi="Arial"/>
          <w:sz w:val="22"/>
          <w:szCs w:val="22"/>
        </w:rPr>
        <w:t xml:space="preserve">Tens of thousands of agents have been deployed with Coinbase AgentKit alone. ElizaOS has become the “WordPress for Agents,” enabling developers to spin up autonomous bots in minutes. The number of agents managing real capital is growing faster than the safety infrastructure to support them.</w:t>
      </w:r>
    </w:p>
    <w:p>
      <w:pPr>
        <w:pStyle w:val="ListParagraph"/>
        <w:numPr>
          <w:ilvl w:val="0"/>
          <w:numId w:val="2"/>
        </w:numPr>
        <w:spacing w:after="80"/>
      </w:pPr>
      <w:r>
        <w:rPr>
          <w:rFonts w:ascii="Arial" w:cs="Arial" w:eastAsia="Arial" w:hAnsi="Arial"/>
          <w:b/>
          <w:bCs/>
          <w:sz w:val="22"/>
          <w:szCs w:val="22"/>
        </w:rPr>
        <w:t xml:space="preserve">The payment rails exist. </w:t>
      </w:r>
      <w:r>
        <w:rPr>
          <w:rFonts w:ascii="Arial" w:cs="Arial" w:eastAsia="Arial" w:hAnsi="Arial"/>
          <w:sz w:val="22"/>
          <w:szCs w:val="22"/>
        </w:rPr>
        <w:t xml:space="preserve">x402 has processed hundreds of millions of transactions. The Bazaar discovery layer lets agents find and pay for services autonomously. Stripe, Google, AWS, and Cloudflare have all integrated x402. The plumbing is ready for services to plug into.</w:t>
      </w:r>
    </w:p>
    <w:p>
      <w:pPr>
        <w:pStyle w:val="ListParagraph"/>
        <w:numPr>
          <w:ilvl w:val="0"/>
          <w:numId w:val="2"/>
        </w:numPr>
        <w:spacing w:after="80"/>
      </w:pPr>
      <w:r>
        <w:rPr>
          <w:rFonts w:ascii="Arial" w:cs="Arial" w:eastAsia="Arial" w:hAnsi="Arial"/>
          <w:b/>
          <w:bCs/>
          <w:sz w:val="22"/>
          <w:szCs w:val="22"/>
        </w:rPr>
        <w:t xml:space="preserve">Institutional capital is arriving. </w:t>
      </w:r>
      <w:r>
        <w:rPr>
          <w:rFonts w:ascii="Arial" w:cs="Arial" w:eastAsia="Arial" w:hAnsi="Arial"/>
          <w:sz w:val="22"/>
          <w:szCs w:val="22"/>
        </w:rPr>
        <w:t xml:space="preserve">A16z, OKX Ventures, and others predict that 2026 is the year institutional money enters DeFi at scale. Institutions require compliance middleware and risk verification as table stakes. An agent managing institutional funds that can’t verify counterparty addresses is a non-starter.</w:t>
      </w:r>
    </w:p>
    <w:p>
      <w:pPr>
        <w:pStyle w:val="ListParagraph"/>
        <w:numPr>
          <w:ilvl w:val="0"/>
          <w:numId w:val="2"/>
        </w:numPr>
        <w:spacing w:after="80"/>
      </w:pPr>
      <w:r>
        <w:rPr>
          <w:rFonts w:ascii="Arial" w:cs="Arial" w:eastAsia="Arial" w:hAnsi="Arial"/>
          <w:b/>
          <w:bCs/>
          <w:sz w:val="22"/>
          <w:szCs w:val="22"/>
        </w:rPr>
        <w:t xml:space="preserve">The trust gap is widening. </w:t>
      </w:r>
      <w:r>
        <w:rPr>
          <w:rFonts w:ascii="Arial" w:cs="Arial" w:eastAsia="Arial" w:hAnsi="Arial"/>
          <w:sz w:val="22"/>
          <w:szCs w:val="22"/>
        </w:rPr>
        <w:t xml:space="preserve">DeFi exploits continue. Agent-specific attacks (prompt injection, transaction loops, malicious tool responses) are emerging as a new threat category. The more agents there are, the more valuable a shared trust layer becomes. This is a network-effect business — every verification call makes the system smarter.</w:t>
      </w:r>
    </w:p>
    <w:p>
      <w:r>
        <w:br w:type="page"/>
      </w:r>
    </w:p>
    <w:p>
      <w:pPr>
        <w:pStyle w:val="Heading1"/>
      </w:pPr>
      <w:r>
        <w:t xml:space="preserve">API Design</w:t>
      </w:r>
    </w:p>
    <w:p>
      <w:pPr>
        <w:pStyle w:val="Heading2"/>
      </w:pPr>
      <w:r>
        <w:t xml:space="preserve">Endpoint Architecture</w:t>
      </w:r>
    </w:p>
    <w:p>
      <w:pPr>
        <w:spacing w:after="160"/>
      </w:pPr>
      <w:r>
        <w:rPr>
          <w:rFonts w:ascii="Arial" w:cs="Arial" w:eastAsia="Arial" w:hAnsi="Arial"/>
          <w:sz w:val="22"/>
          <w:szCs w:val="22"/>
        </w:rPr>
        <w:t xml:space="preserve">All endpoints follow a consistent pattern: agent submits an identifier, Sentinel returns a trust verdict with 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400"/>
        <w:gridCol w:w="3460"/>
      </w:tblGrid>
      <w:tr>
        <w:tc>
          <w:tcPr>
            <w:tcW w:type="dxa" w:w="26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4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46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/verify/protocol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address + chain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grade (A–F), audit status, exploit history, TVL trend, contract age, risk flags</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/verify/position</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$0.005</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Wallet address</w:t>
            </w:r>
          </w:p>
        </w:tc>
        <w:tc>
          <w:tcPr>
            <w:tcW w:type="dxa" w:w="3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Risk grade, liquidation proximity, concentration score, yield sustainability, top risks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/verify/counterparty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address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score, sanctions status, exploit association, transaction pattern analysis, risk flags</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/verify/token</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$0.005</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Token contract address</w:t>
            </w:r>
          </w:p>
        </w:tc>
        <w:tc>
          <w:tcPr>
            <w:tcW w:type="dxa" w:w="3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Legitimacy score, honeypot detection, liquidity depth, holder concentration, rug risk indicators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/preflight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intent (from, to, protocol, amount)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safety verdict combining protocol + counterparty + position checks. Single call, comprehensive assessment.</w:t>
            </w:r>
          </w:p>
        </w:tc>
      </w:tr>
    </w:tbl>
    <w:p>
      <w:pPr>
        <w:spacing w:after="200"/>
      </w:pPr>
    </w:p>
    <w:p>
      <w:pPr>
        <w:pStyle w:val="Heading2"/>
      </w:pPr>
      <w:r>
        <w:t xml:space="preserve">Response Format</w:t>
      </w:r>
    </w:p>
    <w:p>
      <w:pPr>
        <w:spacing w:after="160"/>
      </w:pPr>
      <w:r>
        <w:rPr>
          <w:rFonts w:ascii="Arial" w:cs="Arial" w:eastAsia="Arial" w:hAnsi="Arial"/>
          <w:sz w:val="22"/>
          <w:szCs w:val="22"/>
        </w:rPr>
        <w:t xml:space="preserve">Every endpoint returns a consistent JSON structure. Here is /verify/protocol:</w:t>
      </w:r>
    </w:p>
    <w:p>
      <w:pPr>
        <w:spacing w:after="160"/>
      </w:pPr>
      <w:r>
        <w:rPr>
          <w:rFonts w:ascii="Courier New" w:cs="Courier New" w:eastAsia="Courier New" w:hAnsi="Courier New"/>
          <w:sz w:val="17"/>
          <w:szCs w:val="17"/>
        </w:rPr>
        <w:t xml:space="preserve">{
  "address": "0xabc...123",
  "chain": "base",
  "verdict": "SAFE",
  "trust_grade": "B",
  "trust_score": 76,
  "confidence": 0.91,
  "evidence": {
    "audit": {
      "audited": true,
      "auditors": ["OpenZeppelin", "Trail of Bits"],
      "last_audit": "2025-11-14",
      "months_since_audit": 4
    },
    "exploit_history": {
      "exploited": false,
      "related_exploits": []
    },
    "contract": {
      "age_days": 412,
      "verified_source": true,
      "proxy_pattern": "UUPS",
      "owner_is_multisig": true
    },
    "tvl": {
      "current_usd": 847000000,
      "trend_30d": "+3.2%",
      "stable": true
    },
    "governance": {
      "active_proposals": 2,
      "recent_admin_changes": false
    }
  },
  "risk_flags": [
    "Proxy contract — admin upgrade possible"
  ],
  "meta": {
    "response_time_ms": 145,
    "data_freshness": "2026-03-25T14:30:00Z",
    "sentinel_version": "0.2.0"
  }
}</w:t>
      </w:r>
    </w:p>
    <w:p>
      <w:pPr>
        <w:spacing w:after="160"/>
      </w:pPr>
      <w:r>
        <w:rPr>
          <w:rFonts w:ascii="Arial" w:cs="Arial" w:eastAsia="Arial" w:hAnsi="Arial"/>
          <w:sz w:val="22"/>
          <w:szCs w:val="22"/>
        </w:rPr>
        <w:t xml:space="preserve">And /preflight — the combined pre-transaction check:</w:t>
      </w:r>
    </w:p>
    <w:p>
      <w:pPr>
        <w:spacing w:after="160"/>
      </w:pPr>
      <w:r>
        <w:rPr>
          <w:rFonts w:ascii="Courier New" w:cs="Courier New" w:eastAsia="Courier New" w:hAnsi="Courier New"/>
          <w:sz w:val="17"/>
          <w:szCs w:val="17"/>
        </w:rPr>
        <w:t xml:space="preserve">{
  "transaction_intent": {
    "from": "0xAgent...",
    "to": "0xProtocol...",
    "action": "deposit",
    "amount": "5000 USDC"
  },
  "verdict": "PROCEED_WITH_CAUTION",
  "overall_trust_score": 68,
  "checks": {
    "protocol": { "grade": "B", "score": 76, "flags": 1 },
    "counterparty": { "grade": "A", "score": 92, "flags": 0 },
    "position_impact": { "grade": "C", "score": 58,
      "detail": "This deposit increases protocol concentration to 71%"
    }
  },
  "recommendation": "Protocol is sound but position concentration would be elevated. Consider splitting across protocols.",
  "risk_flags": [
    "Deposit increases single-protocol exposure above 70%",
    "Proxy contract — admin upgrade possible"
  ]
}</w:t>
      </w:r>
    </w:p>
    <w:p>
      <w:r>
        <w:br w:type="page"/>
      </w:r>
    </w:p>
    <w:p>
      <w:pPr>
        <w:pStyle w:val="Heading1"/>
      </w:pPr>
      <w:r>
        <w:t xml:space="preserve">Pricing Model</w:t>
      </w:r>
    </w:p>
    <w:p>
      <w:pPr>
        <w:pStyle w:val="Heading2"/>
      </w:pPr>
      <w:r>
        <w:t xml:space="preserve">Pricing Philosophy</w:t>
      </w:r>
    </w:p>
    <w:p>
      <w:pPr>
        <w:spacing w:after="160"/>
      </w:pPr>
      <w:r>
        <w:rPr>
          <w:rFonts w:ascii="Arial" w:cs="Arial" w:eastAsia="Arial" w:hAnsi="Arial"/>
          <w:sz w:val="22"/>
          <w:szCs w:val="22"/>
        </w:rPr>
        <w:t xml:space="preserve">The pricing is designed around a single principle: </w:t>
      </w:r>
      <w:r>
        <w:rPr>
          <w:rFonts w:ascii="Arial" w:cs="Arial" w:eastAsia="Arial" w:hAnsi="Arial"/>
          <w:b/>
          <w:bCs/>
          <w:sz w:val="22"/>
          <w:szCs w:val="22"/>
        </w:rPr>
        <w:t xml:space="preserve">verification should be so cheap that agents call it on every interaction without hesitation. </w:t>
      </w:r>
      <w:r>
        <w:rPr>
          <w:rFonts w:ascii="Arial" w:cs="Arial" w:eastAsia="Arial" w:hAnsi="Arial"/>
          <w:sz w:val="22"/>
          <w:szCs w:val="22"/>
        </w:rPr>
        <w:t xml:space="preserve">A $0.008 protocol check that prevents interaction with an exploited contract is infinitely valuable. The price must never be the reason an agent skips the safety check.</w:t>
      </w:r>
    </w:p>
    <w:p>
      <w:pPr>
        <w:spacing w:after="160"/>
      </w:pPr>
      <w:r>
        <w:rPr>
          <w:rFonts w:ascii="Arial" w:cs="Arial" w:eastAsia="Arial" w:hAnsi="Arial"/>
          <w:sz w:val="22"/>
          <w:szCs w:val="22"/>
        </w:rPr>
        <w:t xml:space="preserve">Three pricing anchors guide the model:</w:t>
      </w:r>
    </w:p>
    <w:p>
      <w:pPr>
        <w:pStyle w:val="ListParagraph"/>
        <w:numPr>
          <w:ilvl w:val="0"/>
          <w:numId w:val="2"/>
        </w:numPr>
        <w:spacing w:after="80"/>
      </w:pPr>
      <w:r>
        <w:rPr>
          <w:rFonts w:ascii="Arial" w:cs="Arial" w:eastAsia="Arial" w:hAnsi="Arial"/>
          <w:b/>
          <w:bCs/>
          <w:sz w:val="22"/>
          <w:szCs w:val="22"/>
        </w:rPr>
        <w:t xml:space="preserve">Below the cost of getting it wrong. </w:t>
      </w:r>
      <w:r>
        <w:rPr>
          <w:rFonts w:ascii="Arial" w:cs="Arial" w:eastAsia="Arial" w:hAnsi="Arial"/>
          <w:sz w:val="22"/>
          <w:szCs w:val="22"/>
        </w:rPr>
        <w:t xml:space="preserve">A single bad interaction can cost an agent hundreds or thousands of dollars. Verification at $0.005–$0.025 is negligible insurance.</w:t>
      </w:r>
    </w:p>
    <w:p>
      <w:pPr>
        <w:pStyle w:val="ListParagraph"/>
        <w:numPr>
          <w:ilvl w:val="0"/>
          <w:numId w:val="2"/>
        </w:numPr>
        <w:spacing w:after="80"/>
      </w:pPr>
      <w:r>
        <w:rPr>
          <w:rFonts w:ascii="Arial" w:cs="Arial" w:eastAsia="Arial" w:hAnsi="Arial"/>
          <w:b/>
          <w:bCs/>
          <w:sz w:val="22"/>
          <w:szCs w:val="22"/>
        </w:rPr>
        <w:t xml:space="preserve">Above commodity data feeds. </w:t>
      </w:r>
      <w:r>
        <w:rPr>
          <w:rFonts w:ascii="Arial" w:cs="Arial" w:eastAsia="Arial" w:hAnsi="Arial"/>
          <w:sz w:val="22"/>
          <w:szCs w:val="22"/>
        </w:rPr>
        <w:t xml:space="preserve">Raw blockchain data costs $0.001–$0.002 per call. Sentinel provides interpreted intelligence — trust verdicts, not raw data. That’s worth 4–10x a data query.</w:t>
      </w:r>
    </w:p>
    <w:p>
      <w:pPr>
        <w:pStyle w:val="ListParagraph"/>
        <w:numPr>
          <w:ilvl w:val="0"/>
          <w:numId w:val="2"/>
        </w:numPr>
        <w:spacing w:after="80"/>
      </w:pPr>
      <w:r>
        <w:rPr>
          <w:rFonts w:ascii="Arial" w:cs="Arial" w:eastAsia="Arial" w:hAnsi="Arial"/>
          <w:b/>
          <w:bCs/>
          <w:sz w:val="22"/>
          <w:szCs w:val="22"/>
        </w:rPr>
        <w:t xml:space="preserve">Competitive with emerging x402 ecosystem norms. </w:t>
      </w:r>
      <w:r>
        <w:rPr>
          <w:rFonts w:ascii="Arial" w:cs="Arial" w:eastAsia="Arial" w:hAnsi="Arial"/>
          <w:sz w:val="22"/>
          <w:szCs w:val="22"/>
        </w:rPr>
        <w:t xml:space="preserve">Most x402 services price at $0.005–$0.05 per call. Sentinel sits squarely in this range, with premium pricing only for the comprehensive /preflight endpoint.</w:t>
      </w:r>
    </w:p>
    <w:p>
      <w:pPr>
        <w:pStyle w:val="Heading2"/>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c>
          <w:tcPr>
            <w:tcW w:type="dxa" w:w="18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Per-Query Cost</w:t>
            </w:r>
          </w:p>
        </w:tc>
        <w:tc>
          <w:tcPr>
            <w:tcW w:type="dxa" w:w="18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Agent-Native?</w:t>
            </w:r>
          </w:p>
        </w:tc>
        <w:tc>
          <w:tcPr>
            <w:tcW w:type="dxa" w:w="176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Real-Time?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Nansen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$150–$2,500/mo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~$0.05–$0.50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(dashboards)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 lag</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Dune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Free–$399/mo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$0.01–$0.10</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Partial (API)</w:t>
            </w:r>
          </w:p>
        </w:tc>
        <w:tc>
          <w:tcPr>
            <w:tcW w:type="dxa" w:w="1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Minutes lag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GoPlus / De.Fi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CipherOwl</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Enterprise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Unknown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 (API)</w:t>
            </w:r>
          </w:p>
        </w:tc>
        <w:tc>
          <w:tcPr>
            <w:tcW w:type="dxa" w:w="1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Sentinel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x402 per-call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$0.005–$0.025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Yes (native)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Sub-200ms</w:t>
            </w:r>
          </w:p>
        </w:tc>
      </w:tr>
    </w:tbl>
    <w:p>
      <w:pPr>
        <w:spacing w:after="120"/>
      </w:pPr>
    </w:p>
    <w:p>
      <w:pPr>
        <w:spacing w:after="160"/>
      </w:pPr>
      <w:r>
        <w:rPr>
          <w:rFonts w:ascii="Arial" w:cs="Arial" w:eastAsia="Arial" w:hAnsi="Arial"/>
          <w:i/>
          <w:iCs/>
          <w:sz w:val="22"/>
          <w:szCs w:val="22"/>
        </w:rPr>
        <w:t xml:space="preserve">Sentinel’s differentiation: purpose-built for autonomous agents, x402-native (zero friction), sub-200ms response times, and multiple verification domains in a single service. No existing competitor offers all four.</w:t>
      </w:r>
    </w:p>
    <w:p>
      <w:pPr>
        <w:pStyle w:val="Heading2"/>
      </w:pPr>
      <w:r>
        <w:t xml:space="preserve">Revenue Projections</w:t>
      </w:r>
    </w:p>
    <w:p>
      <w:pPr>
        <w:spacing w:after="160"/>
      </w:pPr>
      <w:r>
        <w:rPr>
          <w:rFonts w:ascii="Arial" w:cs="Arial" w:eastAsia="Arial" w:hAnsi="Arial"/>
          <w:sz w:val="22"/>
          <w:szCs w:val="22"/>
        </w:rPr>
        <w:t xml:space="preserve">Revenue modeled across three scenarios based on agent ecosystem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234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Aggressive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Daily Calls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160"/>
            </w:pPr>
            <w:r>
              <w:rPr>
                <w:rFonts w:ascii="Arial" w:cs="Arial" w:eastAsia="Arial" w:hAnsi="Arial"/>
                <w:b/>
                <w:bCs/>
                <w:sz w:val="22"/>
                <w:szCs w:val="22"/>
              </w:rPr>
              <w:t xml:space="preserve">Avg Price/Call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$0.008</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$0.010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$0.012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Daily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160"/>
            </w:pPr>
            <w:r>
              <w:rPr>
                <w:rFonts w:ascii="Arial" w:cs="Arial" w:eastAsia="Arial" w:hAnsi="Arial"/>
                <w:b/>
                <w:bCs/>
                <w:sz w:val="22"/>
                <w:szCs w:val="22"/>
              </w:rPr>
              <w:t xml:space="preserve">Monthly Revenue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~$1,200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~$15,000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~$180,000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Annual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~$2.16M</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160"/>
            </w:pPr>
            <w:r>
              <w:rPr>
                <w:rFonts w:ascii="Arial" w:cs="Arial" w:eastAsia="Arial" w:hAnsi="Arial"/>
                <w:b/>
                <w:bCs/>
                <w:sz w:val="22"/>
                <w:szCs w:val="22"/>
              </w:rPr>
              <w:t xml:space="preserve">Infra Cost/Mo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b/>
                <w:bCs/>
                <w:sz w:val="22"/>
                <w:szCs w:val="22"/>
              </w:rPr>
              <w:t xml:space="preserve">Gross Margin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w:t>
            </w:r>
          </w:p>
        </w:tc>
      </w:tr>
    </w:tbl>
    <w:p>
      <w:pPr>
        <w:spacing w:after="120"/>
      </w:pPr>
    </w:p>
    <w:p>
      <w:pPr>
        <w:spacing w:after="160"/>
      </w:pPr>
      <w:r>
        <w:rPr>
          <w:rFonts w:ascii="Arial" w:cs="Arial" w:eastAsia="Arial" w:hAnsi="Arial"/>
          <w:i/>
          <w:iCs/>
          <w:sz w:val="22"/>
          <w:szCs w:val="22"/>
        </w:rPr>
        <w:t xml:space="preserve">Note: Average price/call increases at scale because higher-volume agents are more likely to use the premium /preflight endpoint. All scenarios assume 95% revenue share (5% x402 facilitator fee). Infrastructure costs scale sub-linearly due to aggressive caching.</w:t>
      </w:r>
    </w:p>
    <w:p>
      <w:pPr>
        <w:pStyle w:val="Heading2"/>
      </w:pPr>
      <w:r>
        <w:t xml:space="preserve">Pricing Mechanics</w:t>
      </w:r>
    </w:p>
    <w:p>
      <w:pPr>
        <w:pStyle w:val="ListParagraph"/>
        <w:numPr>
          <w:ilvl w:val="0"/>
          <w:numId w:val="2"/>
        </w:numPr>
        <w:spacing w:after="80"/>
      </w:pPr>
      <w:r>
        <w:rPr>
          <w:rFonts w:ascii="Arial" w:cs="Arial" w:eastAsia="Arial" w:hAnsi="Arial"/>
          <w:b/>
          <w:bCs/>
          <w:sz w:val="22"/>
          <w:szCs w:val="22"/>
        </w:rPr>
        <w:t xml:space="preserve">Session tokens (x402 V2): </w:t>
      </w:r>
      <w:r>
        <w:rPr>
          <w:rFonts w:ascii="Arial" w:cs="Arial" w:eastAsia="Arial" w:hAnsi="Arial"/>
          <w:sz w:val="22"/>
          <w:szCs w:val="22"/>
        </w:rPr>
        <w:t xml:space="preserve">High-frequency agents pre-authorize $5–$50 sessions for hundreds of calls at a slight discount. Reduces per-transaction blockchain overhead and encourages bulk adoption.</w:t>
      </w:r>
    </w:p>
    <w:p>
      <w:pPr>
        <w:pStyle w:val="ListParagraph"/>
        <w:numPr>
          <w:ilvl w:val="0"/>
          <w:numId w:val="2"/>
        </w:numPr>
        <w:spacing w:after="80"/>
      </w:pPr>
      <w:r>
        <w:rPr>
          <w:rFonts w:ascii="Arial" w:cs="Arial" w:eastAsia="Arial" w:hAnsi="Arial"/>
          <w:b/>
          <w:bCs/>
          <w:sz w:val="22"/>
          <w:szCs w:val="22"/>
        </w:rPr>
        <w:t xml:space="preserve">Dynamic pricing: </w:t>
      </w:r>
      <w:r>
        <w:rPr>
          <w:rFonts w:ascii="Arial" w:cs="Arial" w:eastAsia="Arial" w:hAnsi="Arial"/>
          <w:sz w:val="22"/>
          <w:szCs w:val="22"/>
        </w:rPr>
        <w:t xml:space="preserve">During high-volatility periods (market crashes, major exploits), verification is more valuable. Sentinel can dynamically increase /preflight pricing by 2–3x during detected stress events. Agents will pay because the risk of not checking is dramatically higher.</w:t>
      </w:r>
    </w:p>
    <w:p>
      <w:pPr>
        <w:pStyle w:val="ListParagraph"/>
        <w:numPr>
          <w:ilvl w:val="0"/>
          <w:numId w:val="2"/>
        </w:numPr>
        <w:spacing w:after="80"/>
      </w:pPr>
      <w:r>
        <w:rPr>
          <w:rFonts w:ascii="Arial" w:cs="Arial" w:eastAsia="Arial" w:hAnsi="Arial"/>
          <w:b/>
          <w:bCs/>
          <w:sz w:val="22"/>
          <w:szCs w:val="22"/>
        </w:rPr>
        <w:t xml:space="preserve">Free discovery tier: </w:t>
      </w:r>
      <w:r>
        <w:rPr>
          <w:rFonts w:ascii="Arial" w:cs="Arial" w:eastAsia="Arial" w:hAnsi="Arial"/>
          <w:sz w:val="22"/>
          <w:szCs w:val="22"/>
        </w:rPr>
        <w:t xml:space="preserve">First 25 calls per wallet per day are free. Eliminates friction for agent discovery in the Bazaar. Converts to paid on call 26+. This is critical for adoption — agents must be able to test the service before committing spend authorization.</w:t>
      </w:r>
    </w:p>
    <w:p>
      <w:r>
        <w:br w:type="page"/>
      </w:r>
    </w:p>
    <w:p>
      <w:pPr>
        <w:pStyle w:val="Heading1"/>
      </w:pPr>
      <w:r>
        <w:t xml:space="preserve">Verification Models</w:t>
      </w:r>
    </w:p>
    <w:p>
      <w:pPr>
        <w:pStyle w:val="Heading2"/>
      </w:pPr>
      <w:r>
        <w:t xml:space="preserve">Protocol Trust Model</w:t>
      </w:r>
    </w:p>
    <w:p>
      <w:pPr>
        <w:spacing w:after="160"/>
      </w:pPr>
      <w:r>
        <w:rPr>
          <w:rFonts w:ascii="Arial" w:cs="Arial" w:eastAsia="Arial" w:hAnsi="Arial"/>
          <w:sz w:val="22"/>
          <w:szCs w:val="22"/>
        </w:rPr>
        <w:t xml:space="preserve">Scores a smart contract or protocol across six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330"/>
        <w:gridCol w:w="3330"/>
      </w:tblGrid>
      <w:tr>
        <w:tc>
          <w:tcPr>
            <w:tcW w:type="dxa" w:w="18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33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Measures</w:t>
            </w:r>
          </w:p>
        </w:tc>
        <w:tc>
          <w:tcPr>
            <w:tcW w:type="dxa" w:w="333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the contract been audited? By whom? How recently? Were critical issues found and resolved?</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aggregators (Solodit, DeFiSafety), protocol documentation, GitHub commit history</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Exploit History</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25%</w:t>
            </w:r>
          </w:p>
        </w:tc>
        <w:tc>
          <w:tcPr>
            <w:tcW w:type="dxa" w:w="33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Has this contract or related contracts been exploited? What type of exploit? Was it patched?</w:t>
            </w:r>
          </w:p>
        </w:tc>
        <w:tc>
          <w:tcPr>
            <w:tcW w:type="dxa" w:w="33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Rekt.news database, DeFiLlama hack tracker, contract event logs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Maturity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old is the contract? Is source verified? Proxy pattern? Owner permissions?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explorer APIs, contract bytecode analysis, deployment timestamps</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TVL Stability</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w:t>
            </w:r>
          </w:p>
        </w:tc>
        <w:tc>
          <w:tcPr>
            <w:tcW w:type="dxa" w:w="33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Is TVL stable, growing, or in decline? Sudden drops indicate flight risk.</w:t>
            </w:r>
          </w:p>
        </w:tc>
        <w:tc>
          <w:tcPr>
            <w:tcW w:type="dxa" w:w="33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DeFiLlama TVL API, historical trend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Risk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admin key changes? Pending governance proposals that affect security? Multisig configuration?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 governance events, Tally/Snapshot data, admin key monitoring</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Community Signal</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w:t>
            </w:r>
          </w:p>
        </w:tc>
        <w:tc>
          <w:tcPr>
            <w:tcW w:type="dxa" w:w="33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Developer activity, community size, ecosystem integration breadth.</w:t>
            </w:r>
          </w:p>
        </w:tc>
        <w:tc>
          <w:tcPr>
            <w:tcW w:type="dxa" w:w="33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GitHub activity metrics, protocol integration count, social signals</w:t>
            </w:r>
          </w:p>
        </w:tc>
      </w:tr>
    </w:tbl>
    <w:p>
      <w:pPr>
        <w:spacing w:after="200"/>
      </w:pPr>
    </w:p>
    <w:p>
      <w:pPr>
        <w:pStyle w:val="Heading2"/>
      </w:pPr>
      <w:r>
        <w:t xml:space="preserve">Position Risk Model</w:t>
      </w:r>
    </w:p>
    <w:p>
      <w:pPr>
        <w:spacing w:after="160"/>
      </w:pPr>
      <w:r>
        <w:rPr>
          <w:rFonts w:ascii="Arial" w:cs="Arial" w:eastAsia="Arial" w:hAnsi="Arial"/>
          <w:sz w:val="22"/>
          <w:szCs w:val="22"/>
        </w:rPr>
        <w:t xml:space="preserve">Scores an agent’s onchain positions across five dimensions (carried forward from RiskGuard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26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Measures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 Risk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factor analysis, collateral ratios, margin proximity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Concentration Risk</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w:t>
            </w:r>
          </w:p>
        </w:tc>
        <w:tc>
          <w:tcPr>
            <w:tcW w:type="dxa" w:w="62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Single-protocol exposure, single-token exposure, correlated asset clusters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Safety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Cross-references /verify/protocol scores for all protocols in the portfolio</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Yield Sustainability</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w:t>
            </w:r>
          </w:p>
        </w:tc>
        <w:tc>
          <w:tcPr>
            <w:tcW w:type="dxa" w:w="62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Organic vs emission-driven yield, emission runway, fee/revenue ratios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Volatility Exposure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directional exposure, impermanent loss risk, BTC/ETH correlation</w:t>
            </w:r>
          </w:p>
        </w:tc>
      </w:tr>
    </w:tbl>
    <w:p>
      <w:pPr>
        <w:spacing w:after="200"/>
      </w:pPr>
    </w:p>
    <w:p>
      <w:pPr>
        <w:pStyle w:val="Heading2"/>
      </w:pPr>
      <w:r>
        <w:t xml:space="preserve">Counterparty Trust Model</w:t>
      </w:r>
    </w:p>
    <w:p>
      <w:pPr>
        <w:spacing w:after="160"/>
      </w:pPr>
      <w:r>
        <w:rPr>
          <w:rFonts w:ascii="Arial" w:cs="Arial" w:eastAsia="Arial" w:hAnsi="Arial"/>
          <w:sz w:val="22"/>
          <w:szCs w:val="22"/>
        </w:rPr>
        <w:t xml:space="preserve">Scores a wallet address for interaction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26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Measures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Sanctions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OFAC, EU, and other sanctions list screening. Binary flag with zero tolerance.</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Exploit Association</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25%</w:t>
            </w:r>
          </w:p>
        </w:tc>
        <w:tc>
          <w:tcPr>
            <w:tcW w:type="dxa" w:w="62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Funds received from known exploit addresses, mixer usage, tainted transaction chains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History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age, transaction volume, interaction diversity, behavioral consistency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Agent Identity</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w:t>
            </w:r>
          </w:p>
        </w:tc>
        <w:tc>
          <w:tcPr>
            <w:tcW w:type="dxa" w:w="62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ERC-8004 identity if available, World ID verification, known agent framework signatures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Reputation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Connections to verified entities, protocol governance participation, onchain reputation signals</w:t>
            </w:r>
          </w:p>
        </w:tc>
      </w:tr>
    </w:tbl>
    <w:p>
      <w:pPr>
        <w:spacing w:after="200"/>
      </w:pPr>
    </w:p>
    <w:p>
      <w:pPr>
        <w:pStyle w:val="Heading2"/>
      </w:pPr>
      <w:r>
        <w:t xml:space="preserve">Trust Verdict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560"/>
      </w:tblGrid>
      <w:tr>
        <w:tc>
          <w:tcPr>
            <w:tcW w:type="dxa" w:w="12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12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4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56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Agent Guidance</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SAFE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85–100</w:t>
            </w:r>
          </w:p>
        </w:tc>
        <w:tc>
          <w:tcPr>
            <w:tcW w:type="dxa" w:w="5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Proceed with standard parameters. No elevated risk detected.</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LOW RISK</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B</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70–84</w:t>
            </w:r>
          </w:p>
        </w:tc>
        <w:tc>
          <w:tcPr>
            <w:tcW w:type="dxa" w:w="5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Proceed. Minor flags noted but within acceptable thresholds.</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CAUTION</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55–69</w:t>
            </w:r>
          </w:p>
        </w:tc>
        <w:tc>
          <w:tcPr>
            <w:tcW w:type="dxa" w:w="5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Proceed with reduced exposure. Notable risks present. Consider position limits.</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HIGH RISK</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D</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40–54</w:t>
            </w:r>
          </w:p>
        </w:tc>
        <w:tc>
          <w:tcPr>
            <w:tcW w:type="dxa" w:w="5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Caution advised. Significant risk factors. Recommend human review before proceeding.</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DANGER</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F</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0–39</w:t>
            </w:r>
          </w:p>
        </w:tc>
        <w:tc>
          <w:tcPr>
            <w:tcW w:type="dxa" w:w="5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Do not proceed. Critical risk detected. Sanctions match, known exploit, or imminent liquidation.</w:t>
            </w:r>
          </w:p>
        </w:tc>
      </w:tr>
    </w:tbl>
    <w:p>
      <w:pPr>
        <w:spacing w:after="200"/>
      </w:pPr>
    </w:p>
    <w:p>
      <w:r>
        <w:br w:type="page"/>
      </w:r>
    </w:p>
    <w:p>
      <w:pPr>
        <w:pStyle w:val="Heading1"/>
      </w:pPr>
      <w:r>
        <w:t xml:space="preserve">Build Sequence</w:t>
      </w:r>
    </w:p>
    <w:p>
      <w:pPr>
        <w:pStyle w:val="Heading2"/>
      </w:pPr>
      <w:r>
        <w:t xml:space="preserve">Phase 1: Protocol Verification MVP (Weeks 1–3)</w:t>
      </w:r>
    </w:p>
    <w:p>
      <w:pPr>
        <w:spacing w:after="160"/>
      </w:pPr>
      <w:r>
        <w:rPr>
          <w:rFonts w:ascii="Arial" w:cs="Arial" w:eastAsia="Arial" w:hAnsi="Arial"/>
          <w:b/>
          <w:bCs/>
          <w:sz w:val="22"/>
          <w:szCs w:val="22"/>
        </w:rPr>
        <w:t xml:space="preserve">Ship first. </w:t>
      </w:r>
      <w:r>
        <w:rPr>
          <w:rFonts w:ascii="Arial" w:cs="Arial" w:eastAsia="Arial" w:hAnsi="Arial"/>
          <w:sz w:val="22"/>
          <w:szCs w:val="22"/>
        </w:rPr>
        <w:t xml:space="preserve">The /verify/protocol endpoint is the highest-value starting point because every DeFi agent needs it before every interaction. Larger addressable market than position risk.</w:t>
      </w:r>
    </w:p>
    <w:p>
      <w:pPr>
        <w:pStyle w:val="ListParagraph"/>
        <w:numPr>
          <w:ilvl w:val="0"/>
          <w:numId w:val="3"/>
        </w:numPr>
        <w:spacing w:after="80"/>
      </w:pPr>
      <w:r>
        <w:rPr>
          <w:rFonts w:ascii="Arial" w:cs="Arial" w:eastAsia="Arial" w:hAnsi="Arial"/>
          <w:b/>
          <w:bCs/>
          <w:sz w:val="22"/>
          <w:szCs w:val="22"/>
        </w:rPr>
        <w:t xml:space="preserve">Set up infrastructure: </w:t>
      </w:r>
      <w:r>
        <w:rPr>
          <w:rFonts w:ascii="Arial" w:cs="Arial" w:eastAsia="Arial" w:hAnsi="Arial"/>
          <w:sz w:val="22"/>
          <w:szCs w:val="22"/>
        </w:rPr>
        <w:t xml:space="preserve">CDP account, API keys, x402 Express server on Base Sepolia</w:t>
      </w:r>
    </w:p>
    <w:p>
      <w:pPr>
        <w:pStyle w:val="ListParagraph"/>
        <w:numPr>
          <w:ilvl w:val="0"/>
          <w:numId w:val="3"/>
        </w:numPr>
        <w:spacing w:after="80"/>
      </w:pPr>
      <w:r>
        <w:rPr>
          <w:rFonts w:ascii="Arial" w:cs="Arial" w:eastAsia="Arial" w:hAnsi="Arial"/>
          <w:b/>
          <w:bCs/>
          <w:sz w:val="22"/>
          <w:szCs w:val="22"/>
        </w:rPr>
        <w:t xml:space="preserve">Build protocol scoring engine: </w:t>
      </w:r>
      <w:r>
        <w:rPr>
          <w:rFonts w:ascii="Arial" w:cs="Arial" w:eastAsia="Arial" w:hAnsi="Arial"/>
          <w:sz w:val="22"/>
          <w:szCs w:val="22"/>
        </w:rPr>
        <w:t xml:space="preserve">Audit status lookup, exploit history check, contract age/verification, TVL trend from DeFiLlama</w:t>
      </w:r>
    </w:p>
    <w:p>
      <w:pPr>
        <w:pStyle w:val="ListParagraph"/>
        <w:numPr>
          <w:ilvl w:val="0"/>
          <w:numId w:val="3"/>
        </w:numPr>
        <w:spacing w:after="80"/>
      </w:pPr>
      <w:r>
        <w:rPr>
          <w:rFonts w:ascii="Arial" w:cs="Arial" w:eastAsia="Arial" w:hAnsi="Arial"/>
          <w:b/>
          <w:bCs/>
          <w:sz w:val="22"/>
          <w:szCs w:val="22"/>
        </w:rPr>
        <w:t xml:space="preserve">Implement x402 payment gate </w:t>
      </w:r>
      <w:r>
        <w:rPr>
          <w:rFonts w:ascii="Arial" w:cs="Arial" w:eastAsia="Arial" w:hAnsi="Arial"/>
          <w:sz w:val="22"/>
          <w:szCs w:val="22"/>
        </w:rPr>
        <w:t xml:space="preserve">with Bazaar discovery metadata</w:t>
      </w:r>
    </w:p>
    <w:p>
      <w:pPr>
        <w:pStyle w:val="ListParagraph"/>
        <w:numPr>
          <w:ilvl w:val="0"/>
          <w:numId w:val="3"/>
        </w:numPr>
        <w:spacing w:after="80"/>
      </w:pPr>
      <w:r>
        <w:rPr>
          <w:rFonts w:ascii="Arial" w:cs="Arial" w:eastAsia="Arial" w:hAnsi="Arial"/>
          <w:b/>
          <w:bCs/>
          <w:sz w:val="22"/>
          <w:szCs w:val="22"/>
        </w:rPr>
        <w:t xml:space="preserve">Test end-to-end: </w:t>
      </w:r>
      <w:r>
        <w:rPr>
          <w:rFonts w:ascii="Arial" w:cs="Arial" w:eastAsia="Arial" w:hAnsi="Arial"/>
          <w:sz w:val="22"/>
          <w:szCs w:val="22"/>
        </w:rPr>
        <w:t xml:space="preserve">Agent discovers Sentinel in Bazaar → calls /verify/protocol → pays $0.008 → receives trust verdict</w:t>
      </w:r>
    </w:p>
    <w:p>
      <w:pPr>
        <w:pStyle w:val="ListParagraph"/>
        <w:numPr>
          <w:ilvl w:val="0"/>
          <w:numId w:val="3"/>
        </w:numPr>
        <w:spacing w:after="80"/>
      </w:pPr>
      <w:r>
        <w:rPr>
          <w:rFonts w:ascii="Arial" w:cs="Arial" w:eastAsia="Arial" w:hAnsi="Arial"/>
          <w:b/>
          <w:bCs/>
          <w:sz w:val="22"/>
          <w:szCs w:val="22"/>
        </w:rPr>
        <w:t xml:space="preserve">Deploy persistent testnet service </w:t>
      </w:r>
      <w:r>
        <w:rPr>
          <w:rFonts w:ascii="Arial" w:cs="Arial" w:eastAsia="Arial" w:hAnsi="Arial"/>
          <w:sz w:val="22"/>
          <w:szCs w:val="22"/>
        </w:rPr>
        <w:t xml:space="preserve">on Cloudflare Workers or Railway</w:t>
      </w:r>
    </w:p>
    <w:p>
      <w:pPr>
        <w:spacing w:after="160"/>
      </w:pPr>
      <w:r>
        <w:rPr>
          <w:rFonts w:ascii="Arial" w:cs="Arial" w:eastAsia="Arial" w:hAnsi="Arial"/>
          <w:b/>
          <w:bCs/>
          <w:sz w:val="22"/>
          <w:szCs w:val="22"/>
        </w:rPr>
        <w:t xml:space="preserve">Deliverable: </w:t>
      </w:r>
      <w:r>
        <w:rPr>
          <w:rFonts w:ascii="Arial" w:cs="Arial" w:eastAsia="Arial" w:hAnsi="Arial"/>
          <w:sz w:val="22"/>
          <w:szCs w:val="22"/>
        </w:rPr>
        <w:t xml:space="preserve">Working protocol verification API that agents can discover and pay for. Time to first testnet MVP: one focused weekend + evenings.</w:t>
      </w:r>
    </w:p>
    <w:p>
      <w:pPr>
        <w:pStyle w:val="Heading2"/>
      </w:pPr>
      <w:r>
        <w:t xml:space="preserve">Phase 2: Position Risk + Token Verification (Weeks 4–6)</w:t>
      </w:r>
    </w:p>
    <w:p>
      <w:pPr>
        <w:pStyle w:val="ListParagraph"/>
        <w:numPr>
          <w:ilvl w:val="0"/>
          <w:numId w:val="3"/>
        </w:numPr>
        <w:spacing w:after="80"/>
      </w:pPr>
      <w:r>
        <w:rPr>
          <w:rFonts w:ascii="Arial" w:cs="Arial" w:eastAsia="Arial" w:hAnsi="Arial"/>
          <w:sz w:val="22"/>
          <w:szCs w:val="22"/>
        </w:rPr>
        <w:t xml:space="preserve">Add /verify/position endpoint (leveraging existing RiskGuard scoring model)</w:t>
      </w:r>
    </w:p>
    <w:p>
      <w:pPr>
        <w:pStyle w:val="ListParagraph"/>
        <w:numPr>
          <w:ilvl w:val="0"/>
          <w:numId w:val="3"/>
        </w:numPr>
        <w:spacing w:after="80"/>
      </w:pPr>
      <w:r>
        <w:rPr>
          <w:rFonts w:ascii="Arial" w:cs="Arial" w:eastAsia="Arial" w:hAnsi="Arial"/>
          <w:sz w:val="22"/>
          <w:szCs w:val="22"/>
        </w:rPr>
        <w:t xml:space="preserve">Add /verify/token endpoint (honeypot detection, liquidity analysis, holder concentration)</w:t>
      </w:r>
    </w:p>
    <w:p>
      <w:pPr>
        <w:pStyle w:val="ListParagraph"/>
        <w:numPr>
          <w:ilvl w:val="0"/>
          <w:numId w:val="3"/>
        </w:numPr>
        <w:spacing w:after="80"/>
      </w:pPr>
      <w:r>
        <w:rPr>
          <w:rFonts w:ascii="Arial" w:cs="Arial" w:eastAsia="Arial" w:hAnsi="Arial"/>
          <w:sz w:val="22"/>
          <w:szCs w:val="22"/>
        </w:rPr>
        <w:t xml:space="preserve">Build data caching layer (Redis) to keep response times under 200ms</w:t>
      </w:r>
    </w:p>
    <w:p>
      <w:pPr>
        <w:pStyle w:val="ListParagraph"/>
        <w:numPr>
          <w:ilvl w:val="0"/>
          <w:numId w:val="3"/>
        </w:numPr>
        <w:spacing w:after="80"/>
      </w:pPr>
      <w:r>
        <w:rPr>
          <w:rFonts w:ascii="Arial" w:cs="Arial" w:eastAsia="Arial" w:hAnsi="Arial"/>
          <w:sz w:val="22"/>
          <w:szCs w:val="22"/>
        </w:rPr>
        <w:t xml:space="preserve">Deploy to Base mainnet with real USDC pricing</w:t>
      </w:r>
    </w:p>
    <w:p>
      <w:pPr>
        <w:pStyle w:val="ListParagraph"/>
        <w:numPr>
          <w:ilvl w:val="0"/>
          <w:numId w:val="3"/>
        </w:numPr>
        <w:spacing w:after="80"/>
      </w:pPr>
      <w:r>
        <w:rPr>
          <w:rFonts w:ascii="Arial" w:cs="Arial" w:eastAsia="Arial" w:hAnsi="Arial"/>
          <w:sz w:val="22"/>
          <w:szCs w:val="22"/>
        </w:rPr>
        <w:t xml:space="preserve">Publish as MCP server for Claude Desktop and Cursor integration</w:t>
      </w:r>
    </w:p>
    <w:p>
      <w:pPr>
        <w:spacing w:after="160"/>
      </w:pPr>
      <w:r>
        <w:rPr>
          <w:rFonts w:ascii="Arial" w:cs="Arial" w:eastAsia="Arial" w:hAnsi="Arial"/>
          <w:b/>
          <w:bCs/>
          <w:sz w:val="22"/>
          <w:szCs w:val="22"/>
        </w:rPr>
        <w:t xml:space="preserve">Deliverable: </w:t>
      </w:r>
      <w:r>
        <w:rPr>
          <w:rFonts w:ascii="Arial" w:cs="Arial" w:eastAsia="Arial" w:hAnsi="Arial"/>
          <w:sz w:val="22"/>
          <w:szCs w:val="22"/>
        </w:rPr>
        <w:t xml:space="preserve">Three live verification endpoints generating revenue on mainnet.</w:t>
      </w:r>
    </w:p>
    <w:p>
      <w:pPr>
        <w:pStyle w:val="Heading2"/>
      </w:pPr>
      <w:r>
        <w:t xml:space="preserve">Phase 3: Counterparty Intelligence (Months 2–3)</w:t>
      </w:r>
    </w:p>
    <w:p>
      <w:pPr>
        <w:pStyle w:val="ListParagraph"/>
        <w:numPr>
          <w:ilvl w:val="0"/>
          <w:numId w:val="3"/>
        </w:numPr>
        <w:spacing w:after="80"/>
      </w:pPr>
      <w:r>
        <w:rPr>
          <w:rFonts w:ascii="Arial" w:cs="Arial" w:eastAsia="Arial" w:hAnsi="Arial"/>
          <w:sz w:val="22"/>
          <w:szCs w:val="22"/>
        </w:rPr>
        <w:t xml:space="preserve">Add /verify/counterparty endpoint with sanctions screening and exploit association</w:t>
      </w:r>
    </w:p>
    <w:p>
      <w:pPr>
        <w:pStyle w:val="ListParagraph"/>
        <w:numPr>
          <w:ilvl w:val="0"/>
          <w:numId w:val="3"/>
        </w:numPr>
        <w:spacing w:after="80"/>
      </w:pPr>
      <w:r>
        <w:rPr>
          <w:rFonts w:ascii="Arial" w:cs="Arial" w:eastAsia="Arial" w:hAnsi="Arial"/>
          <w:sz w:val="22"/>
          <w:szCs w:val="22"/>
        </w:rPr>
        <w:t xml:space="preserve">Integrate public sanctions lists (OFAC SDN) and known exploit address databases</w:t>
      </w:r>
    </w:p>
    <w:p>
      <w:pPr>
        <w:pStyle w:val="ListParagraph"/>
        <w:numPr>
          <w:ilvl w:val="0"/>
          <w:numId w:val="3"/>
        </w:numPr>
        <w:spacing w:after="80"/>
      </w:pPr>
      <w:r>
        <w:rPr>
          <w:rFonts w:ascii="Arial" w:cs="Arial" w:eastAsia="Arial" w:hAnsi="Arial"/>
          <w:sz w:val="22"/>
          <w:szCs w:val="22"/>
        </w:rPr>
        <w:t xml:space="preserve">Build transaction pattern analysis for behavioral scoring</w:t>
      </w:r>
    </w:p>
    <w:p>
      <w:pPr>
        <w:pStyle w:val="ListParagraph"/>
        <w:numPr>
          <w:ilvl w:val="0"/>
          <w:numId w:val="3"/>
        </w:numPr>
        <w:spacing w:after="80"/>
      </w:pPr>
      <w:r>
        <w:rPr>
          <w:rFonts w:ascii="Arial" w:cs="Arial" w:eastAsia="Arial" w:hAnsi="Arial"/>
          <w:sz w:val="22"/>
          <w:szCs w:val="22"/>
        </w:rPr>
        <w:t xml:space="preserve">Add ERC-8004 identity checking as the standard matures</w:t>
      </w:r>
    </w:p>
    <w:p>
      <w:pPr>
        <w:spacing w:after="160"/>
      </w:pPr>
      <w:r>
        <w:rPr>
          <w:rFonts w:ascii="Arial" w:cs="Arial" w:eastAsia="Arial" w:hAnsi="Arial"/>
          <w:b/>
          <w:bCs/>
          <w:sz w:val="22"/>
          <w:szCs w:val="22"/>
        </w:rPr>
        <w:t xml:space="preserve">Deliverable: </w:t>
      </w:r>
      <w:r>
        <w:rPr>
          <w:rFonts w:ascii="Arial" w:cs="Arial" w:eastAsia="Arial" w:hAnsi="Arial"/>
          <w:sz w:val="22"/>
          <w:szCs w:val="22"/>
        </w:rPr>
        <w:t xml:space="preserve">Full trust verification suite. Sentinel can assess protocols, positions, tokens, and counterparties.</w:t>
      </w:r>
    </w:p>
    <w:p>
      <w:pPr>
        <w:pStyle w:val="Heading2"/>
      </w:pPr>
      <w:r>
        <w:t xml:space="preserve">Phase 4: The Preflight Endpoint (Month 3+)</w:t>
      </w:r>
    </w:p>
    <w:p>
      <w:pPr>
        <w:pStyle w:val="ListParagraph"/>
        <w:numPr>
          <w:ilvl w:val="0"/>
          <w:numId w:val="3"/>
        </w:numPr>
        <w:spacing w:after="80"/>
      </w:pPr>
      <w:r>
        <w:rPr>
          <w:rFonts w:ascii="Arial" w:cs="Arial" w:eastAsia="Arial" w:hAnsi="Arial"/>
          <w:sz w:val="22"/>
          <w:szCs w:val="22"/>
        </w:rPr>
        <w:t xml:space="preserve">Launch /preflight — the unified pre-transaction safety check</w:t>
      </w:r>
    </w:p>
    <w:p>
      <w:pPr>
        <w:pStyle w:val="ListParagraph"/>
        <w:numPr>
          <w:ilvl w:val="0"/>
          <w:numId w:val="3"/>
        </w:numPr>
        <w:spacing w:after="80"/>
      </w:pPr>
      <w:r>
        <w:rPr>
          <w:rFonts w:ascii="Arial" w:cs="Arial" w:eastAsia="Arial" w:hAnsi="Arial"/>
          <w:sz w:val="22"/>
          <w:szCs w:val="22"/>
        </w:rPr>
        <w:t xml:space="preserve">Implement dynamic pricing based on market volatility</w:t>
      </w:r>
    </w:p>
    <w:p>
      <w:pPr>
        <w:pStyle w:val="ListParagraph"/>
        <w:numPr>
          <w:ilvl w:val="0"/>
          <w:numId w:val="3"/>
        </w:numPr>
        <w:spacing w:after="80"/>
      </w:pPr>
      <w:r>
        <w:rPr>
          <w:rFonts w:ascii="Arial" w:cs="Arial" w:eastAsia="Arial" w:hAnsi="Arial"/>
          <w:sz w:val="22"/>
          <w:szCs w:val="22"/>
        </w:rPr>
        <w:t xml:space="preserve">Add session token support for high-frequency agents</w:t>
      </w:r>
    </w:p>
    <w:p>
      <w:pPr>
        <w:pStyle w:val="ListParagraph"/>
        <w:numPr>
          <w:ilvl w:val="0"/>
          <w:numId w:val="3"/>
        </w:numPr>
        <w:spacing w:after="80"/>
      </w:pPr>
      <w:r>
        <w:rPr>
          <w:rFonts w:ascii="Arial" w:cs="Arial" w:eastAsia="Arial" w:hAnsi="Arial"/>
          <w:sz w:val="22"/>
          <w:szCs w:val="22"/>
        </w:rPr>
        <w:t xml:space="preserve">Expand chain support: Arbitrum, Optimism, Solana</w:t>
      </w:r>
    </w:p>
    <w:p>
      <w:pPr>
        <w:pStyle w:val="ListParagraph"/>
        <w:numPr>
          <w:ilvl w:val="0"/>
          <w:numId w:val="3"/>
        </w:numPr>
        <w:spacing w:after="80"/>
      </w:pPr>
      <w:r>
        <w:rPr>
          <w:rFonts w:ascii="Arial" w:cs="Arial" w:eastAsia="Arial" w:hAnsi="Arial"/>
          <w:sz w:val="22"/>
          <w:szCs w:val="22"/>
        </w:rPr>
        <w:t xml:space="preserve">Build historical verification data into a proprietary risk intelligence layer</w:t>
      </w:r>
    </w:p>
    <w:p>
      <w:pPr>
        <w:pStyle w:val="ListParagraph"/>
        <w:numPr>
          <w:ilvl w:val="0"/>
          <w:numId w:val="3"/>
        </w:numPr>
        <w:spacing w:after="80"/>
      </w:pPr>
      <w:r>
        <w:rPr>
          <w:rFonts w:ascii="Arial" w:cs="Arial" w:eastAsia="Arial" w:hAnsi="Arial"/>
          <w:sz w:val="22"/>
          <w:szCs w:val="22"/>
        </w:rPr>
        <w:t xml:space="preserve">Explore B2B: white-label Sentinel for agent platforms and institutional DeFi operations</w:t>
      </w:r>
    </w:p>
    <w:p>
      <w:pPr>
        <w:spacing w:after="160"/>
      </w:pPr>
      <w:r>
        <w:rPr>
          <w:rFonts w:ascii="Arial" w:cs="Arial" w:eastAsia="Arial" w:hAnsi="Arial"/>
          <w:b/>
          <w:bCs/>
          <w:sz w:val="22"/>
          <w:szCs w:val="22"/>
        </w:rPr>
        <w:t xml:space="preserve">Deliverable: </w:t>
      </w:r>
      <w:r>
        <w:rPr>
          <w:rFonts w:ascii="Arial" w:cs="Arial" w:eastAsia="Arial" w:hAnsi="Arial"/>
          <w:sz w:val="22"/>
          <w:szCs w:val="22"/>
        </w:rPr>
        <w:t xml:space="preserve">The definitive trust oracle for autonomous agents. Single-call, comprehensive pre-flight safety verification.</w:t>
      </w:r>
    </w:p>
    <w:p>
      <w:pPr>
        <w:pStyle w:val="Heading1"/>
      </w:pPr>
      <w:r>
        <w:t xml:space="preserve">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Startup (Phase 1)</w:t>
            </w:r>
          </w:p>
        </w:tc>
        <w:tc>
          <w:tcPr>
            <w:tcW w:type="dxa" w:w="312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At Scale (50K calls/day)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$25–75/mo</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RPC/Data (Alchemy, DeFiLlama)</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$0/mo (free tiers)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$49–199/mo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(Upstash Redis)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$10–30/mo</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Domain + SSL</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$12/yr</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$12/yr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x402 facilitator fee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of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of revenue</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160"/>
            </w:pPr>
            <w:r>
              <w:rPr>
                <w:rFonts w:ascii="Arial" w:cs="Arial" w:eastAsia="Arial" w:hAnsi="Arial"/>
                <w:b/>
                <w:bCs/>
                <w:sz w:val="22"/>
                <w:szCs w:val="22"/>
              </w:rPr>
              <w:t xml:space="preserve">Total Monthly</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160"/>
            </w:pPr>
            <w:r>
              <w:rPr>
                <w:rFonts w:ascii="Arial" w:cs="Arial" w:eastAsia="Arial" w:hAnsi="Arial"/>
                <w:b/>
                <w:bCs/>
                <w:sz w:val="22"/>
                <w:szCs w:val="22"/>
              </w:rPr>
              <w:t xml:space="preserve">~$1–5/mo</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160"/>
            </w:pPr>
            <w:r>
              <w:rPr>
                <w:rFonts w:ascii="Arial" w:cs="Arial" w:eastAsia="Arial" w:hAnsi="Arial"/>
                <w:b/>
                <w:bCs/>
                <w:sz w:val="22"/>
                <w:szCs w:val="22"/>
              </w:rPr>
              <w:t xml:space="preserve">~$85–305/mo</w:t>
            </w:r>
          </w:p>
        </w:tc>
      </w:tr>
    </w:tbl>
    <w:p>
      <w:pPr>
        <w:spacing w:after="120"/>
      </w:pPr>
    </w:p>
    <w:p>
      <w:pPr>
        <w:spacing w:after="160"/>
      </w:pPr>
      <w:r>
        <w:rPr>
          <w:rFonts w:ascii="Arial" w:cs="Arial" w:eastAsia="Arial" w:hAnsi="Arial"/>
          <w:i/>
          <w:iCs/>
          <w:sz w:val="22"/>
          <w:szCs w:val="22"/>
        </w:rPr>
        <w:t xml:space="preserve">At the moderate revenue scenario ($15,000/mo), infrastructure costs represent approximately 1–2% of revenue. Capital required to launch: $0.</w:t>
      </w:r>
    </w:p>
    <w:p>
      <w:pPr>
        <w:pStyle w:val="Heading1"/>
      </w:pPr>
      <w:r>
        <w:t xml:space="preserve">The Compounding Moat</w:t>
      </w:r>
    </w:p>
    <w:p>
      <w:pPr>
        <w:spacing w:after="160"/>
      </w:pPr>
      <w:r>
        <w:rPr>
          <w:rFonts w:ascii="Arial" w:cs="Arial" w:eastAsia="Arial" w:hAnsi="Arial"/>
          <w:sz w:val="22"/>
          <w:szCs w:val="22"/>
        </w:rPr>
        <w:t xml:space="preserve">Sentinel’s defensibility deepens with every verification call through four mechanisms:</w:t>
      </w:r>
    </w:p>
    <w:p>
      <w:pPr>
        <w:pStyle w:val="ListParagraph"/>
        <w:numPr>
          <w:ilvl w:val="0"/>
          <w:numId w:val="2"/>
        </w:numPr>
        <w:spacing w:after="80"/>
      </w:pPr>
      <w:r>
        <w:rPr>
          <w:rFonts w:ascii="Arial" w:cs="Arial" w:eastAsia="Arial" w:hAnsi="Arial"/>
          <w:b/>
          <w:bCs/>
          <w:sz w:val="22"/>
          <w:szCs w:val="22"/>
        </w:rPr>
        <w:t xml:space="preserve">Data accumulation: </w:t>
      </w:r>
      <w:r>
        <w:rPr>
          <w:rFonts w:ascii="Arial" w:cs="Arial" w:eastAsia="Arial" w:hAnsi="Arial"/>
          <w:sz w:val="22"/>
          <w:szCs w:val="22"/>
        </w:rPr>
        <w:t xml:space="preserve">Every call enriches the model. Which protocols get flagged most often? Which wallet patterns precede exploits? What yield profiles correlate with rug pulls? A competitor launching on day one faces a cold-start problem that Sentinel has already solved.</w:t>
      </w:r>
    </w:p>
    <w:p>
      <w:pPr>
        <w:pStyle w:val="ListParagraph"/>
        <w:numPr>
          <w:ilvl w:val="0"/>
          <w:numId w:val="2"/>
        </w:numPr>
        <w:spacing w:after="80"/>
      </w:pPr>
      <w:r>
        <w:rPr>
          <w:rFonts w:ascii="Arial" w:cs="Arial" w:eastAsia="Arial" w:hAnsi="Arial"/>
          <w:b/>
          <w:bCs/>
          <w:sz w:val="22"/>
          <w:szCs w:val="22"/>
        </w:rPr>
        <w:t xml:space="preserve">Bazaar reputation: </w:t>
      </w:r>
      <w:r>
        <w:rPr>
          <w:rFonts w:ascii="Arial" w:cs="Arial" w:eastAsia="Arial" w:hAnsi="Arial"/>
          <w:sz w:val="22"/>
          <w:szCs w:val="22"/>
        </w:rPr>
        <w:t xml:space="preserve">Agent discovery in the x402 Bazaar is influenced by usage history and reliability metrics. Early positioning with consistent quality builds selection priority that newcomers cannot shortcut.</w:t>
      </w:r>
    </w:p>
    <w:p>
      <w:pPr>
        <w:pStyle w:val="ListParagraph"/>
        <w:numPr>
          <w:ilvl w:val="0"/>
          <w:numId w:val="2"/>
        </w:numPr>
        <w:spacing w:after="80"/>
      </w:pPr>
      <w:r>
        <w:rPr>
          <w:rFonts w:ascii="Arial" w:cs="Arial" w:eastAsia="Arial" w:hAnsi="Arial"/>
          <w:b/>
          <w:bCs/>
          <w:sz w:val="22"/>
          <w:szCs w:val="22"/>
        </w:rPr>
        <w:t xml:space="preserve">Network effects: </w:t>
      </w:r>
      <w:r>
        <w:rPr>
          <w:rFonts w:ascii="Arial" w:cs="Arial" w:eastAsia="Arial" w:hAnsi="Arial"/>
          <w:sz w:val="22"/>
          <w:szCs w:val="22"/>
        </w:rPr>
        <w:t xml:space="preserve">The more agents use Sentinel, the more valuable the counterparty intelligence becomes. If Sentinel has verified 100,000 unique addresses, that’s a proprietary reputation graph that didn’t exist before.</w:t>
      </w:r>
    </w:p>
    <w:p>
      <w:pPr>
        <w:pStyle w:val="ListParagraph"/>
        <w:numPr>
          <w:ilvl w:val="0"/>
          <w:numId w:val="2"/>
        </w:numPr>
        <w:spacing w:after="80"/>
      </w:pPr>
      <w:r>
        <w:rPr>
          <w:rFonts w:ascii="Arial" w:cs="Arial" w:eastAsia="Arial" w:hAnsi="Arial"/>
          <w:b/>
          <w:bCs/>
          <w:sz w:val="22"/>
          <w:szCs w:val="22"/>
        </w:rPr>
        <w:t xml:space="preserve">Integration depth: </w:t>
      </w:r>
      <w:r>
        <w:rPr>
          <w:rFonts w:ascii="Arial" w:cs="Arial" w:eastAsia="Arial" w:hAnsi="Arial"/>
          <w:sz w:val="22"/>
          <w:szCs w:val="22"/>
        </w:rPr>
        <w:t xml:space="preserve">Once agent builders integrate Sentinel’s /preflight call into their agent’s decision loop, switching costs increase. The structured verdicts become part of the agent’s logic. Ripping that out requires code changes.</w:t>
      </w:r>
    </w:p>
    <w:p>
      <w:pPr>
        <w:pStyle w:val="Heading1"/>
      </w:pPr>
      <w:r>
        <w:t xml:space="preserve">DSC Content Integration</w:t>
      </w:r>
    </w:p>
    <w:p>
      <w:pPr>
        <w:spacing w:after="160"/>
      </w:pPr>
      <w:r>
        <w:rPr>
          <w:rFonts w:ascii="Arial" w:cs="Arial" w:eastAsia="Arial" w:hAnsi="Arial"/>
          <w:sz w:val="22"/>
          <w:szCs w:val="22"/>
        </w:rPr>
        <w:t xml:space="preserve">Sentinel maps directly to the Do Something Collective methodology and creates a powerful real-world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DSC Stage</w:t>
            </w:r>
          </w:p>
        </w:tc>
        <w:tc>
          <w:tcPr>
            <w:tcW w:type="dxa" w:w="756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Arial" w:cs="Arial" w:eastAsia="Arial" w:hAnsi="Arial"/>
                <w:b/>
                <w:bCs/>
                <w:color w:val="FFFFFF"/>
                <w:sz w:val="20"/>
                <w:szCs w:val="20"/>
              </w:rPr>
              <w:t xml:space="preserve">Sentinel Application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 the critical trust gap in the agentic economy by thinking customer-first, not skill-first</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Define</w:t>
            </w:r>
          </w:p>
        </w:tc>
        <w:tc>
          <w:tcPr>
            <w:tcW w:type="dxa" w:w="7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Scoped the product around the agent’s core question: “Can I trust this?” — not around what we already knew how to build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Leveraged trading expertise (risk modeling) + emerging infrastructure (x402, Bazaar, AgentKit)</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Launch</w:t>
            </w:r>
          </w:p>
        </w:tc>
        <w:tc>
          <w:tcPr>
            <w:tcW w:type="dxa" w:w="7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Protocol verification MVP in 3 weeks, full trust suite in 3 months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Bazaar discovery, MCP integration, multi-chain, institutional B2B</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Optimize</w:t>
            </w:r>
          </w:p>
        </w:tc>
        <w:tc>
          <w:tcPr>
            <w:tcW w:type="dxa" w:w="7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Data-driven model refinement, dynamic pricing, session tokens, proprietary risk intelligence</w:t>
            </w:r>
          </w:p>
        </w:tc>
      </w:tr>
    </w:tbl>
    <w:p>
      <w:pPr>
        <w:spacing w:after="160"/>
      </w:pPr>
    </w:p>
    <w:p>
      <w:pPr>
        <w:spacing w:after="160"/>
      </w:pPr>
      <w:r>
        <w:rPr>
          <w:rFonts w:ascii="Arial" w:cs="Arial" w:eastAsia="Arial" w:hAnsi="Arial"/>
          <w:sz w:val="22"/>
          <w:szCs w:val="22"/>
        </w:rPr>
        <w:t xml:space="preserve">The narrative arc for YouTube: </w:t>
      </w:r>
      <w:r>
        <w:rPr>
          <w:rFonts w:ascii="Arial" w:cs="Arial" w:eastAsia="Arial" w:hAnsi="Arial"/>
          <w:i/>
          <w:iCs/>
          <w:sz w:val="22"/>
          <w:szCs w:val="22"/>
        </w:rPr>
        <w:t xml:space="preserve">“I started by asking what I could build. Then I asked what agents actually need. That question changed everything.”</w:t>
      </w:r>
      <w:r>
        <w:rPr>
          <w:rFonts w:ascii="Arial" w:cs="Arial" w:eastAsia="Arial" w:hAnsi="Arial"/>
          <w:sz w:val="22"/>
          <w:szCs w:val="22"/>
        </w:rPr>
        <w:t xml:space="preserve"> That’s a genuinely compelling story — and it’s the kind of honest, execution-focused content that DSC is built around.</w:t>
      </w:r>
    </w:p>
    <w:p>
      <w:pPr>
        <w:pStyle w:val="Heading1"/>
      </w:pPr>
      <w:r>
        <w:t xml:space="preserve">Immediate Next Steps</w:t>
      </w:r>
    </w:p>
    <w:p>
      <w:pPr>
        <w:pStyle w:val="ListParagraph"/>
        <w:numPr>
          <w:ilvl w:val="0"/>
          <w:numId w:val="3"/>
        </w:numPr>
        <w:spacing w:after="80"/>
      </w:pPr>
      <w:r>
        <w:rPr>
          <w:rFonts w:ascii="Arial" w:cs="Arial" w:eastAsia="Arial" w:hAnsi="Arial"/>
          <w:b/>
          <w:bCs/>
          <w:sz w:val="22"/>
          <w:szCs w:val="22"/>
        </w:rPr>
        <w:t xml:space="preserve">Create Coinbase Developer Platform account </w:t>
      </w:r>
      <w:r>
        <w:rPr>
          <w:rFonts w:ascii="Arial" w:cs="Arial" w:eastAsia="Arial" w:hAnsi="Arial"/>
          <w:sz w:val="22"/>
          <w:szCs w:val="22"/>
        </w:rPr>
        <w:t xml:space="preserve">and generate API keys (30 minutes)</w:t>
      </w:r>
    </w:p>
    <w:p>
      <w:pPr>
        <w:pStyle w:val="ListParagraph"/>
        <w:numPr>
          <w:ilvl w:val="0"/>
          <w:numId w:val="3"/>
        </w:numPr>
        <w:spacing w:after="80"/>
      </w:pPr>
      <w:r>
        <w:rPr>
          <w:rFonts w:ascii="Arial" w:cs="Arial" w:eastAsia="Arial" w:hAnsi="Arial"/>
          <w:b/>
          <w:bCs/>
          <w:sz w:val="22"/>
          <w:szCs w:val="22"/>
        </w:rPr>
        <w:t xml:space="preserve">Set up a DeFiLlama API integration </w:t>
      </w:r>
      <w:r>
        <w:rPr>
          <w:rFonts w:ascii="Arial" w:cs="Arial" w:eastAsia="Arial" w:hAnsi="Arial"/>
          <w:sz w:val="22"/>
          <w:szCs w:val="22"/>
        </w:rPr>
        <w:t xml:space="preserve">for protocol TVL and hack history data (1 hour)</w:t>
      </w:r>
    </w:p>
    <w:p>
      <w:pPr>
        <w:pStyle w:val="ListParagraph"/>
        <w:numPr>
          <w:ilvl w:val="0"/>
          <w:numId w:val="3"/>
        </w:numPr>
        <w:spacing w:after="80"/>
      </w:pPr>
      <w:r>
        <w:rPr>
          <w:rFonts w:ascii="Arial" w:cs="Arial" w:eastAsia="Arial" w:hAnsi="Arial"/>
          <w:b/>
          <w:bCs/>
          <w:sz w:val="22"/>
          <w:szCs w:val="22"/>
        </w:rPr>
        <w:t xml:space="preserve">Clone the x402 repo </w:t>
      </w:r>
      <w:r>
        <w:rPr>
          <w:rFonts w:ascii="Arial" w:cs="Arial" w:eastAsia="Arial" w:hAnsi="Arial"/>
          <w:sz w:val="22"/>
          <w:szCs w:val="22"/>
        </w:rPr>
        <w:t xml:space="preserve">and run the Express server scaffold on Base Sepolia (1 hour)</w:t>
      </w:r>
    </w:p>
    <w:p>
      <w:pPr>
        <w:pStyle w:val="ListParagraph"/>
        <w:numPr>
          <w:ilvl w:val="0"/>
          <w:numId w:val="3"/>
        </w:numPr>
        <w:spacing w:after="80"/>
      </w:pPr>
      <w:r>
        <w:rPr>
          <w:rFonts w:ascii="Arial" w:cs="Arial" w:eastAsia="Arial" w:hAnsi="Arial"/>
          <w:b/>
          <w:bCs/>
          <w:sz w:val="22"/>
          <w:szCs w:val="22"/>
        </w:rPr>
        <w:t xml:space="preserve">Build the /verify/protocol endpoint </w:t>
      </w:r>
      <w:r>
        <w:rPr>
          <w:rFonts w:ascii="Arial" w:cs="Arial" w:eastAsia="Arial" w:hAnsi="Arial"/>
          <w:sz w:val="22"/>
          <w:szCs w:val="22"/>
        </w:rPr>
        <w:t xml:space="preserve">with audit + exploit + contract maturity scoring (3–4 hours)</w:t>
      </w:r>
    </w:p>
    <w:p>
      <w:pPr>
        <w:pStyle w:val="ListParagraph"/>
        <w:numPr>
          <w:ilvl w:val="0"/>
          <w:numId w:val="3"/>
        </w:numPr>
        <w:spacing w:after="80"/>
      </w:pPr>
      <w:r>
        <w:rPr>
          <w:rFonts w:ascii="Arial" w:cs="Arial" w:eastAsia="Arial" w:hAnsi="Arial"/>
          <w:b/>
          <w:bCs/>
          <w:sz w:val="22"/>
          <w:szCs w:val="22"/>
        </w:rPr>
        <w:t xml:space="preserve">Test the full payment flow </w:t>
      </w:r>
      <w:r>
        <w:rPr>
          <w:rFonts w:ascii="Arial" w:cs="Arial" w:eastAsia="Arial" w:hAnsi="Arial"/>
          <w:sz w:val="22"/>
          <w:szCs w:val="22"/>
        </w:rPr>
        <w:t xml:space="preserve">end-to-end with testnet USDC (1 hour)</w:t>
      </w:r>
    </w:p>
    <w:p>
      <w:pPr>
        <w:pStyle w:val="ListParagraph"/>
        <w:numPr>
          <w:ilvl w:val="0"/>
          <w:numId w:val="3"/>
        </w:numPr>
        <w:spacing w:after="80"/>
      </w:pPr>
      <w:r>
        <w:rPr>
          <w:rFonts w:ascii="Arial" w:cs="Arial" w:eastAsia="Arial" w:hAnsi="Arial"/>
          <w:b/>
          <w:bCs/>
          <w:sz w:val="22"/>
          <w:szCs w:val="22"/>
        </w:rPr>
        <w:t xml:space="preserve">Discuss business structure with your spouse </w:t>
      </w:r>
      <w:r>
        <w:rPr>
          <w:rFonts w:ascii="Arial" w:cs="Arial" w:eastAsia="Arial" w:hAnsi="Arial"/>
          <w:sz w:val="22"/>
          <w:szCs w:val="22"/>
        </w:rPr>
        <w:t xml:space="preserve">— USDC revenue flows, compliance considerations, S-Corp integration</w:t>
      </w:r>
    </w:p>
    <w:p>
      <w:pPr>
        <w:spacing w:after="200"/>
      </w:pPr>
    </w:p>
    <w:p>
      <w:pPr>
        <w:spacing w:after="160"/>
      </w:pPr>
      <w:r>
        <w:rPr>
          <w:rFonts w:ascii="Arial" w:cs="Arial" w:eastAsia="Arial" w:hAnsi="Arial"/>
          <w:sz w:val="22"/>
          <w:szCs w:val="22"/>
        </w:rPr>
        <w:t xml:space="preserve">Total time to working testnet MVP: </w:t>
      </w:r>
      <w:r>
        <w:rPr>
          <w:rFonts w:ascii="Arial" w:cs="Arial" w:eastAsia="Arial" w:hAnsi="Arial"/>
          <w:b/>
          <w:bCs/>
          <w:sz w:val="22"/>
          <w:szCs w:val="22"/>
        </w:rPr>
        <w:t xml:space="preserve">one focused weekend.</w:t>
      </w:r>
      <w:r>
        <w:rPr>
          <w:rFonts w:ascii="Arial" w:cs="Arial" w:eastAsia="Arial" w:hAnsi="Arial"/>
          <w:sz w:val="22"/>
          <w:szCs w:val="22"/>
        </w:rPr>
        <w:t xml:space="preserve"> Total capital required: </w:t>
      </w:r>
      <w:r>
        <w:rPr>
          <w:rFonts w:ascii="Arial" w:cs="Arial" w:eastAsia="Arial" w:hAnsi="Arial"/>
          <w:b/>
          <w:bCs/>
          <w:sz w:val="22"/>
          <w:szCs w:val="22"/>
        </w:rPr>
        <w:t xml:space="preserve">$0.</w:t>
      </w:r>
      <w:r>
        <w:rPr>
          <w:rFonts w:ascii="Arial" w:cs="Arial" w:eastAsia="Arial" w:hAnsi="Arial"/>
          <w:sz w:val="22"/>
          <w:szCs w:val="22"/>
        </w:rPr>
        <w:t xml:space="preserve"> Potential to become the default trust layer for the entire autonomous agent economy.</w:t>
      </w:r>
    </w:p>
    <w:p>
      <w:pPr>
        <w:spacing w:after="200"/>
      </w:pPr>
    </w:p>
    <w:p>
      <w:pPr>
        <w:spacing w:after="160"/>
      </w:pPr>
      <w:r>
        <w:rPr>
          <w:rFonts w:ascii="Arial" w:cs="Arial" w:eastAsia="Arial" w:hAnsi="Arial"/>
          <w:i/>
          <w:iCs/>
          <w:sz w:val="22"/>
          <w:szCs w:val="22"/>
        </w:rPr>
        <w:t xml:space="preserve">Verify before you execute.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2E0AA" w:sz="4" w:space="1"/>
      </w:pBdr>
    </w:pPr>
    <w:r>
      <w:rPr>
        <w:rFonts w:ascii="Arial" w:cs="Arial" w:eastAsia="Arial" w:hAnsi="Arial"/>
        <w:color w:val="999999"/>
        <w:sz w:val="18"/>
        <w:szCs w:val="18"/>
      </w:rPr>
      <w:t xml:space="preserve">Sentinel — Trust Layer for Autonomous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3D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B3D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2026-03-25T17:41:45.782Z</dcterms:created>
  <dcterms:modified xsi:type="dcterms:W3CDTF">2026-03-25T17:41:45.783Z</dcterms:modified>
</cp:coreProperties>
</file>

<file path=docProps/custom.xml><?xml version="1.0" encoding="utf-8"?>
<Properties xmlns="http://schemas.openxmlformats.org/officeDocument/2006/custom-properties" xmlns:vt="http://schemas.openxmlformats.org/officeDocument/2006/docPropsVTypes"/>
</file>