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SENTINEL</w:t>
      </w:r>
    </w:p>
    <w:p>
      <w:pPr>
        <w:spacing w:after="100"/>
        <w:jc w:val="center"/>
      </w:pPr>
      <w:r>
        <w:rPr>
          <w:rFonts w:ascii="Arial" w:cs="Arial" w:eastAsia="Arial" w:hAnsi="Arial"/>
          <w:color w:val="444444"/>
          <w:sz w:val="32"/>
          <w:szCs w:val="32"/>
        </w:rPr>
        <w:t xml:space="preserve">Terms of Service</w:t>
      </w:r>
    </w:p>
    <w:p>
      <w:pPr>
        <w:spacing w:after="400"/>
        <w:jc w:val="center"/>
      </w:pPr>
      <w:r>
        <w:rPr>
          <w:rFonts w:ascii="Arial" w:cs="Arial" w:eastAsia="Arial" w:hAnsi="Arial"/>
          <w:color w:val="666666"/>
          <w:sz w:val="22"/>
          <w:szCs w:val="22"/>
        </w:rPr>
        <w:t xml:space="preserve">Effective Date: March 25, 2026</w:t>
      </w:r>
    </w:p>
    <w:p>
      <w:pPr>
        <w:pStyle w:val="Heading1"/>
      </w:pPr>
      <w:r>
        <w:t xml:space="preserve">1. Overview</w:t>
      </w:r>
    </w:p>
    <w:p>
      <w:pPr>
        <w:spacing w:after="200"/>
      </w:pPr>
      <w:r>
        <w:t xml:space="preserve">Sentinel (the “Service”) is an x402-gated verification service that provides trust assessments for smart contracts, protocols, wallet addresses, and onchain positions. The Service is operated by Sentinel (“we,” “us,” or “our”). By accessing or using any Sentinel endpoint, you (“User,” “you,” or “your”) agree to be bound by these Terms of Service (“Terms”).</w:t>
      </w:r>
    </w:p>
    <w:p>
      <w:pPr>
        <w:spacing w:after="200"/>
      </w:pPr>
      <w:r>
        <w:t xml:space="preserve">Sentinel is designed for use by autonomous AI agents, software applications, and their operators. These Terms apply equally to automated callers (agents) and human operators who deploy or configure those agents.</w:t>
      </w:r>
    </w:p>
    <w:p>
      <w:pPr>
        <w:pStyle w:val="Heading1"/>
      </w:pPr>
      <w:r>
        <w:t xml:space="preserve">2. Service Description</w:t>
      </w:r>
    </w:p>
    <w:p>
      <w:pPr>
        <w:spacing w:after="200"/>
      </w:pPr>
      <w:r>
        <w:t xml:space="preserve">Sentinel provides real-time verification endpoints that return structured trust assessments for onchain entities. Each request is individually priced and paid for via the x402 payment protocol using USDC on the Base network.</w:t>
      </w:r>
    </w:p>
    <w:p>
      <w:pPr>
        <w:spacing w:after="120"/>
      </w:pPr>
      <w:r>
        <w:rPr>
          <w:b w:val="false"/>
          <w:bCs w:val="false"/>
        </w:rPr>
        <w:t xml:space="preserve">Available endpoints include:</w:t>
      </w:r>
    </w:p>
    <w:p>
      <w:pPr>
        <w:pStyle w:val="ListParagraph"/>
        <w:numPr>
          <w:ilvl w:val="0"/>
          <w:numId w:val="2"/>
        </w:numPr>
        <w:spacing w:after="80"/>
      </w:pPr>
      <w:r>
        <w:rPr>
          <w:b/>
          <w:bCs/>
        </w:rPr>
        <w:t xml:space="preserve">/verify/protocol</w:t>
      </w:r>
      <w:r>
        <w:t xml:space="preserve"> — Smart contract and protocol trust verification</w:t>
      </w:r>
    </w:p>
    <w:p>
      <w:pPr>
        <w:pStyle w:val="ListParagraph"/>
        <w:numPr>
          <w:ilvl w:val="0"/>
          <w:numId w:val="2"/>
        </w:numPr>
        <w:spacing w:after="80"/>
      </w:pPr>
      <w:r>
        <w:rPr>
          <w:b/>
          <w:bCs/>
        </w:rPr>
        <w:t xml:space="preserve">/verify/position</w:t>
      </w:r>
      <w:r>
        <w:t xml:space="preserve"> — Onchain position risk analysis</w:t>
      </w:r>
    </w:p>
    <w:p>
      <w:pPr>
        <w:pStyle w:val="ListParagraph"/>
        <w:numPr>
          <w:ilvl w:val="0"/>
          <w:numId w:val="2"/>
        </w:numPr>
        <w:spacing w:after="80"/>
      </w:pPr>
      <w:r>
        <w:rPr>
          <w:b/>
          <w:bCs/>
        </w:rPr>
        <w:t xml:space="preserve">/verify/token</w:t>
      </w:r>
      <w:r>
        <w:t xml:space="preserve"> — Token legitimacy assessment</w:t>
      </w:r>
    </w:p>
    <w:p>
      <w:pPr>
        <w:pStyle w:val="ListParagraph"/>
        <w:numPr>
          <w:ilvl w:val="0"/>
          <w:numId w:val="2"/>
        </w:numPr>
        <w:spacing w:after="80"/>
      </w:pPr>
      <w:r>
        <w:rPr>
          <w:b/>
          <w:bCs/>
        </w:rPr>
        <w:t xml:space="preserve">/verify/counterparty</w:t>
      </w:r>
      <w:r>
        <w:t xml:space="preserve"> — Wallet address reputation and sanctions screening</w:t>
      </w:r>
    </w:p>
    <w:p>
      <w:pPr>
        <w:pStyle w:val="ListParagraph"/>
        <w:numPr>
          <w:ilvl w:val="0"/>
          <w:numId w:val="2"/>
        </w:numPr>
        <w:spacing w:after="200"/>
      </w:pPr>
      <w:r>
        <w:rPr>
          <w:b/>
          <w:bCs/>
        </w:rPr>
        <w:t xml:space="preserve">/preflight</w:t>
      </w:r>
      <w:r>
        <w:t xml:space="preserve"> — Unified pre-transaction safety check</w:t>
      </w:r>
    </w:p>
    <w:p>
      <w:pPr>
        <w:spacing w:after="200"/>
      </w:pPr>
      <w:r>
        <w:t xml:space="preserve">Endpoint availability, pricing, and features may change as the Service evolves. Current pricing and endpoint status are always available at the /health endpoint.</w:t>
      </w:r>
    </w:p>
    <w:p>
      <w:pPr>
        <w:pStyle w:val="Heading1"/>
      </w:pPr>
      <w:r>
        <w:t xml:space="preserve">3. Payment Terms</w:t>
      </w:r>
    </w:p>
    <w:p>
      <w:pPr>
        <w:spacing w:after="200"/>
      </w:pPr>
      <w:r>
        <w:t xml:space="preserve">All paid endpoints require payment via the x402 HTTP payment protocol. When a request is made to a paid endpoint, Sentinel responds with HTTP status 402 and payment requirements. The caller must submit a valid USDC payment on the Base network to the specified facilitator. Upon verified payment, Sentinel processes the request and returns the trust assessment.</w:t>
      </w:r>
    </w:p>
    <w:p>
      <w:pPr>
        <w:spacing w:after="200"/>
      </w:pPr>
      <w:r>
        <w:t xml:space="preserve">Prices are denominated in USDC (6 decimal places) and are subject to change. Current prices are published at the /health endpoint. Price changes take effect immediately for new requests but do not affect in-flight transactions.</w:t>
      </w:r>
    </w:p>
    <w:p>
      <w:pPr>
        <w:spacing w:after="200"/>
      </w:pPr>
      <w:r>
        <w:rPr>
          <w:b/>
          <w:bCs/>
        </w:rPr>
        <w:t xml:space="preserve">No refunds. </w:t>
      </w:r>
      <w:r>
        <w:t xml:space="preserve">Once a payment is verified and a response is delivered, the transaction is final. Verification results are informational and delivery of the response constitutes fulfillment of the service, regardless of the content of the assessment.</w:t>
      </w:r>
    </w:p>
    <w:p>
      <w:pPr>
        <w:pStyle w:val="Heading1"/>
      </w:pPr>
      <w:r>
        <w:t xml:space="preserve">4. Free Discovery Tier</w:t>
      </w:r>
    </w:p>
    <w:p>
      <w:pPr>
        <w:spacing w:after="200"/>
      </w:pPr>
      <w:r>
        <w:t xml:space="preserve">Sentinel may offer a limited number of free verification calls per wallet address per day to facilitate service discovery and evaluation. The free tier is provided at our discretion and may be modified, rate-limited, or discontinued at any time without notice.</w:t>
      </w:r>
    </w:p>
    <w:p>
      <w:pPr>
        <w:pStyle w:val="Heading1"/>
      </w:pPr>
      <w:r>
        <w:t xml:space="preserve">5. Nature of Service — Informational Only</w:t>
      </w:r>
    </w:p>
    <w:p>
      <w:pPr>
        <w:spacing w:after="200"/>
      </w:pPr>
      <w:r>
        <w:rPr>
          <w:b/>
          <w:bCs/>
        </w:rPr>
        <w:t xml:space="preserve">Sentinel provides informational trust assessments only. Sentinel does not provide financial advice, investment recommendations, or guarantees of any kind.</w:t>
      </w:r>
    </w:p>
    <w:p>
      <w:pPr>
        <w:spacing w:after="200"/>
      </w:pPr>
      <w:r>
        <w:t xml:space="preserve">Trust verdicts (SAFE, LOW_RISK, CAUTION, HIGH_RISK, DANGER) and associated grades (A–F) represent Sentinel’s best-effort analysis based on available data sources at the time of the request. These assessments are not guarantees of safety, solvency, legality, or fitness for any particular purpose.</w:t>
      </w:r>
    </w:p>
    <w:p>
      <w:pPr>
        <w:spacing w:after="200"/>
      </w:pPr>
      <w:r>
        <w:t xml:space="preserve">A “SAFE” verdict does not mean a protocol cannot be exploited. A “DANGER” verdict does not constitute a definitive determination of fraud or illegality. Users and their agents are solely responsible for all decisions made based on Sentinel’s output.</w:t>
      </w:r>
    </w:p>
    <w:p>
      <w:pPr>
        <w:pStyle w:val="Heading1"/>
      </w:pPr>
      <w:r>
        <w:t xml:space="preserve">6. Data Sources and Accuracy</w:t>
      </w:r>
    </w:p>
    <w:p>
      <w:pPr>
        <w:spacing w:after="200"/>
      </w:pPr>
      <w:r>
        <w:t xml:space="preserve">Sentinel aggregates data from third-party sources including but not limited to blockchain explorers, DeFi analytics platforms, audit databases, sanctions lists, and onchain contract analysis. We do not independently verify the accuracy or completeness of third-party data.</w:t>
      </w:r>
    </w:p>
    <w:p>
      <w:pPr>
        <w:spacing w:after="200"/>
      </w:pPr>
      <w:r>
        <w:t xml:space="preserve">Sentinel’s assessments reflect a point-in-time snapshot. Onchain conditions can change rapidly. A trust score from minutes ago may not reflect current risk. Users should not cache or rely on stale verification results for critical transactions.</w:t>
      </w:r>
    </w:p>
    <w:p>
      <w:pPr>
        <w:pStyle w:val="Heading1"/>
      </w:pPr>
      <w:r>
        <w:t xml:space="preserve">7. Acceptable Use</w:t>
      </w:r>
    </w:p>
    <w:p>
      <w:pPr>
        <w:spacing w:after="120"/>
      </w:pPr>
      <w:r>
        <w:t xml:space="preserve">You agree not to:</w:t>
      </w:r>
    </w:p>
    <w:p>
      <w:pPr>
        <w:pStyle w:val="ListParagraph"/>
        <w:numPr>
          <w:ilvl w:val="0"/>
          <w:numId w:val="2"/>
        </w:numPr>
        <w:spacing w:after="80"/>
      </w:pPr>
      <w:r>
        <w:t xml:space="preserve">Use the Service to facilitate money laundering, terrorism financing, sanctions evasion, or any illegal activity</w:t>
      </w:r>
    </w:p>
    <w:p>
      <w:pPr>
        <w:pStyle w:val="ListParagraph"/>
        <w:numPr>
          <w:ilvl w:val="0"/>
          <w:numId w:val="2"/>
        </w:numPr>
        <w:spacing w:after="80"/>
      </w:pPr>
      <w:r>
        <w:t xml:space="preserve">Attempt to reverse-engineer Sentinel’s scoring algorithms through systematic probing</w:t>
      </w:r>
    </w:p>
    <w:p>
      <w:pPr>
        <w:pStyle w:val="ListParagraph"/>
        <w:numPr>
          <w:ilvl w:val="0"/>
          <w:numId w:val="2"/>
        </w:numPr>
        <w:spacing w:after="80"/>
      </w:pPr>
      <w:r>
        <w:t xml:space="preserve">Resell, redistribute, or sublicense Sentinel’s verification data without prior written consent</w:t>
      </w:r>
    </w:p>
    <w:p>
      <w:pPr>
        <w:pStyle w:val="ListParagraph"/>
        <w:numPr>
          <w:ilvl w:val="0"/>
          <w:numId w:val="2"/>
        </w:numPr>
        <w:spacing w:after="80"/>
      </w:pPr>
      <w:r>
        <w:t xml:space="preserve">Attempt to circumvent payment requirements or exploit the free discovery tier through wallet rotation or other means</w:t>
      </w:r>
    </w:p>
    <w:p>
      <w:pPr>
        <w:pStyle w:val="ListParagraph"/>
        <w:numPr>
          <w:ilvl w:val="0"/>
          <w:numId w:val="2"/>
        </w:numPr>
        <w:spacing w:after="200"/>
      </w:pPr>
      <w:r>
        <w:t xml:space="preserve">Misrepresent Sentinel verdicts as guarantees, certifications, or endorsements in marketing materials or user-facing products</w:t>
      </w:r>
    </w:p>
    <w:p>
      <w:pPr>
        <w:pStyle w:val="Heading1"/>
      </w:pPr>
      <w:r>
        <w:t xml:space="preserve">8. Limitation of Liability</w:t>
      </w:r>
    </w:p>
    <w:p>
      <w:pPr>
        <w:spacing w:after="200"/>
      </w:pPr>
      <w:r>
        <w:t xml:space="preserve">TO THE MAXIMUM EXTENT PERMITTED BY APPLICABLE LAW, SENTINEL AND ITS OPERATORS SHALL NOT BE LIABLE FOR ANY INDIRECT, INCIDENTAL, SPECIAL, CONSEQUENTIAL, OR PUNITIVE DAMAGES ARISING FROM OR RELATED TO YOUR USE OF THE SERVICE, INCLUDING BUT NOT LIMITED TO LOSSES FROM ONCHAIN TRANSACTIONS EXECUTED IN RELIANCE ON SENTINEL’S ASSESSMENTS.</w:t>
      </w:r>
    </w:p>
    <w:p>
      <w:pPr>
        <w:spacing w:after="200"/>
      </w:pPr>
      <w:r>
        <w:t xml:space="preserve">SENTINEL’S TOTAL LIABILITY FOR ANY CLAIM ARISING FROM USE OF THE SERVICE SHALL NOT EXCEED THE AMOUNT YOU PAID TO SENTINEL IN THE THIRTY (30) DAYS PRECEDING THE CLAIM.</w:t>
      </w:r>
    </w:p>
    <w:p>
      <w:pPr>
        <w:spacing w:after="200"/>
      </w:pPr>
      <w:r>
        <w:t xml:space="preserve">THE SERVICE IS PROVIDED “AS IS” AND “AS AVAILABLE” WITHOUT WARRANTIES OF ANY KIND, WHETHER EXPRESS OR IMPLIED, INCLUDING BUT NOT LIMITED TO IMPLIED WARRANTIES OF MERCHANTABILITY, FITNESS FOR A PARTICULAR PURPOSE, AND NON-INFRINGEMENT.</w:t>
      </w:r>
    </w:p>
    <w:p>
      <w:pPr>
        <w:pStyle w:val="Heading1"/>
      </w:pPr>
      <w:r>
        <w:t xml:space="preserve">9. Service Availability</w:t>
      </w:r>
    </w:p>
    <w:p>
      <w:pPr>
        <w:spacing w:after="200"/>
      </w:pPr>
      <w:r>
        <w:t xml:space="preserve">Sentinel is provided on a best-effort basis. We do not guarantee any specific uptime, response time, or availability. The Service may be temporarily unavailable due to maintenance, upgrades, network congestion, third-party service outages, or other factors beyond our control.</w:t>
      </w:r>
    </w:p>
    <w:p>
      <w:pPr>
        <w:spacing w:after="200"/>
      </w:pPr>
      <w:r>
        <w:t xml:space="preserve">We reserve the right to modify, suspend, or discontinue the Service (or any part of it) at any time, with or without notice. We will make reasonable efforts to provide advance notice of material changes.</w:t>
      </w:r>
    </w:p>
    <w:p>
      <w:pPr>
        <w:pStyle w:val="Heading1"/>
      </w:pPr>
      <w:r>
        <w:t xml:space="preserve">10. Intellectual Property</w:t>
      </w:r>
    </w:p>
    <w:p>
      <w:pPr>
        <w:spacing w:after="200"/>
      </w:pPr>
      <w:r>
        <w:t xml:space="preserve">Sentinel’s scoring algorithms, trust models, aggregated datasets, and service infrastructure are proprietary. Users receive a limited, non-exclusive, non-transferable license to use verification results for their own operational purposes.</w:t>
      </w:r>
    </w:p>
    <w:p>
      <w:pPr>
        <w:spacing w:after="200"/>
      </w:pPr>
      <w:r>
        <w:t xml:space="preserve">The Sentinel server software is released under the MIT License. This license applies to the source code only and does not extend to the proprietary data, models, or hosted service.</w:t>
      </w:r>
    </w:p>
    <w:p>
      <w:pPr>
        <w:pStyle w:val="Heading1"/>
      </w:pPr>
      <w:r>
        <w:t xml:space="preserve">11. Privacy and Data</w:t>
      </w:r>
    </w:p>
    <w:p>
      <w:pPr>
        <w:spacing w:after="200"/>
      </w:pPr>
      <w:r>
        <w:t xml:space="preserve">Sentinel processes publicly available onchain data. We log request metadata (queried addresses, timestamps, response summaries) to improve the Service. We do not collect personally identifiable information beyond what is inherent in onchain wallet addresses.</w:t>
      </w:r>
    </w:p>
    <w:p>
      <w:pPr>
        <w:spacing w:after="200"/>
      </w:pPr>
      <w:r>
        <w:t xml:space="preserve">Aggregated, anonymized usage data may be used to improve Sentinel’s scoring models. Individual request data is not sold to third parties.</w:t>
      </w:r>
    </w:p>
    <w:p>
      <w:pPr>
        <w:pStyle w:val="Heading1"/>
      </w:pPr>
      <w:r>
        <w:t xml:space="preserve">12. Modifications to Terms</w:t>
      </w:r>
    </w:p>
    <w:p>
      <w:pPr>
        <w:spacing w:after="200"/>
      </w:pPr>
      <w:r>
        <w:t xml:space="preserve">We may update these Terms at any time. Material changes will be reflected in an updated “Effective Date” and communicated through the /health endpoint metadata. Continued use of the Service after changes constitutes acceptance of the revised Terms.</w:t>
      </w:r>
    </w:p>
    <w:p>
      <w:pPr>
        <w:pStyle w:val="Heading1"/>
      </w:pPr>
      <w:r>
        <w:t xml:space="preserve">13. Governing Law</w:t>
      </w:r>
    </w:p>
    <w:p>
      <w:pPr>
        <w:spacing w:after="200"/>
      </w:pPr>
      <w:r>
        <w:t xml:space="preserve">These Terms shall be governed by and construed in accordance with the laws of the State of Ohio, without regard to its conflict of laws provisions. Any disputes arising from these Terms or the Service shall be resolved through binding arbitration in accordance with the rules of the American Arbitration Association.</w:t>
      </w:r>
    </w:p>
    <w:p>
      <w:pPr>
        <w:pStyle w:val="Heading1"/>
      </w:pPr>
      <w:r>
        <w:t xml:space="preserve">14. Contact</w:t>
      </w:r>
    </w:p>
    <w:p>
      <w:pPr>
        <w:spacing w:after="200"/>
      </w:pPr>
      <w:r>
        <w:t xml:space="preserve">For questions about these Terms, contact us at: sentinel@dosomethingcollective.com</w:t>
      </w:r>
    </w:p>
    <w:p>
      <w:pPr>
        <w:spacing w:before="400"/>
        <w:jc w:val="center"/>
      </w:pPr>
      <w:r>
        <w:rPr>
          <w:color w:val="CCCCCC"/>
          <w:sz w:val="24"/>
          <w:szCs w:val="24"/>
        </w:rPr>
        <w:t xml:space="preserve">— — —</w:t>
      </w:r>
    </w:p>
    <w:p>
      <w:pPr>
        <w:spacing w:before="200"/>
        <w:jc w:val="center"/>
      </w:pPr>
      <w:r>
        <w:rPr>
          <w:i/>
          <w:iCs/>
          <w:color w:val="666666"/>
          <w:sz w:val="22"/>
          <w:szCs w:val="22"/>
        </w:rPr>
        <w:t xml:space="preserve">Verify before you execute.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Sentinel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2026-03-25T19:56:49.822Z</dcterms:created>
  <dcterms:modified xsi:type="dcterms:W3CDTF">2026-03-25T19:56:49.822Z</dcterms:modified>
</cp:coreProperties>
</file>

<file path=docProps/custom.xml><?xml version="1.0" encoding="utf-8"?>
<Properties xmlns="http://schemas.openxmlformats.org/officeDocument/2006/custom-properties" xmlns:vt="http://schemas.openxmlformats.org/officeDocument/2006/docPropsVTypes"/>
</file>