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BB735" w14:textId="77777777" w:rsidR="007A08ED" w:rsidRDefault="00000000">
      <w:pPr>
        <w:pStyle w:val="Title"/>
      </w:pPr>
      <w:r>
        <w:t>Notes 09 - Using infer for Confidence Intervals</w:t>
      </w:r>
    </w:p>
    <w:p w14:paraId="61201649" w14:textId="77777777" w:rsidR="007A08ED" w:rsidRDefault="00000000">
      <w:pPr>
        <w:pStyle w:val="Author"/>
      </w:pPr>
      <w:r>
        <w:t>STS 2300 Introduction to Data Analytics</w:t>
      </w:r>
    </w:p>
    <w:p w14:paraId="2703EAE7" w14:textId="77777777" w:rsidR="007A08ED" w:rsidRDefault="00000000">
      <w:pPr>
        <w:pStyle w:val="Date"/>
      </w:pPr>
      <w:r>
        <w:t>Updated: 2025-04-03</w:t>
      </w:r>
    </w:p>
    <w:sdt>
      <w:sdtPr>
        <w:rPr>
          <w:rFonts w:asciiTheme="minorHAnsi" w:eastAsiaTheme="minorHAnsi" w:hAnsiTheme="minorHAnsi" w:cstheme="minorBidi"/>
          <w:color w:val="auto"/>
          <w:sz w:val="24"/>
          <w:szCs w:val="24"/>
        </w:rPr>
        <w:id w:val="601997511"/>
        <w:docPartObj>
          <w:docPartGallery w:val="Table of Contents"/>
          <w:docPartUnique/>
        </w:docPartObj>
      </w:sdtPr>
      <w:sdtContent>
        <w:p w14:paraId="5C576779" w14:textId="77777777" w:rsidR="007A08ED" w:rsidRDefault="00000000">
          <w:pPr>
            <w:pStyle w:val="TOCHeading"/>
          </w:pPr>
          <w:r>
            <w:t>Table of Contents</w:t>
          </w:r>
        </w:p>
        <w:p w14:paraId="202978B5" w14:textId="77777777" w:rsidR="00DB6643" w:rsidRDefault="00000000">
          <w:pPr>
            <w:pStyle w:val="TOC1"/>
            <w:tabs>
              <w:tab w:val="right" w:leader="dot" w:pos="9350"/>
            </w:tabs>
            <w:rPr>
              <w:noProof/>
            </w:rPr>
          </w:pPr>
          <w:r>
            <w:fldChar w:fldCharType="begin"/>
          </w:r>
          <w:r>
            <w:instrText>TOC \o "1-3" \h \z \u</w:instrText>
          </w:r>
          <w:r>
            <w:fldChar w:fldCharType="separate"/>
          </w:r>
          <w:hyperlink w:anchor="_Toc194609329" w:history="1">
            <w:r w:rsidR="00DB6643" w:rsidRPr="00E6719B">
              <w:rPr>
                <w:rStyle w:val="Hyperlink"/>
                <w:noProof/>
              </w:rPr>
              <w:t>Reading for Notes 09</w:t>
            </w:r>
            <w:r w:rsidR="00DB6643">
              <w:rPr>
                <w:noProof/>
                <w:webHidden/>
              </w:rPr>
              <w:tab/>
            </w:r>
            <w:r w:rsidR="00DB6643">
              <w:rPr>
                <w:noProof/>
                <w:webHidden/>
              </w:rPr>
              <w:fldChar w:fldCharType="begin"/>
            </w:r>
            <w:r w:rsidR="00DB6643">
              <w:rPr>
                <w:noProof/>
                <w:webHidden/>
              </w:rPr>
              <w:instrText xml:space="preserve"> PAGEREF _Toc194609329 \h </w:instrText>
            </w:r>
            <w:r w:rsidR="00DB6643">
              <w:rPr>
                <w:noProof/>
                <w:webHidden/>
              </w:rPr>
            </w:r>
            <w:r w:rsidR="00DB6643">
              <w:rPr>
                <w:noProof/>
                <w:webHidden/>
              </w:rPr>
              <w:fldChar w:fldCharType="separate"/>
            </w:r>
            <w:r w:rsidR="00DB6643">
              <w:rPr>
                <w:noProof/>
                <w:webHidden/>
              </w:rPr>
              <w:t>1</w:t>
            </w:r>
            <w:r w:rsidR="00DB6643">
              <w:rPr>
                <w:noProof/>
                <w:webHidden/>
              </w:rPr>
              <w:fldChar w:fldCharType="end"/>
            </w:r>
          </w:hyperlink>
        </w:p>
        <w:p w14:paraId="720872DF" w14:textId="77777777" w:rsidR="00DB6643" w:rsidRDefault="00DB6643">
          <w:pPr>
            <w:pStyle w:val="TOC1"/>
            <w:tabs>
              <w:tab w:val="right" w:leader="dot" w:pos="9350"/>
            </w:tabs>
            <w:rPr>
              <w:noProof/>
            </w:rPr>
          </w:pPr>
          <w:hyperlink w:anchor="_Toc194609330" w:history="1">
            <w:r w:rsidRPr="00E6719B">
              <w:rPr>
                <w:rStyle w:val="Hyperlink"/>
                <w:noProof/>
              </w:rPr>
              <w:t>Learning Goals for Notes 09</w:t>
            </w:r>
            <w:r>
              <w:rPr>
                <w:noProof/>
                <w:webHidden/>
              </w:rPr>
              <w:tab/>
            </w:r>
            <w:r>
              <w:rPr>
                <w:noProof/>
                <w:webHidden/>
              </w:rPr>
              <w:fldChar w:fldCharType="begin"/>
            </w:r>
            <w:r>
              <w:rPr>
                <w:noProof/>
                <w:webHidden/>
              </w:rPr>
              <w:instrText xml:space="preserve"> PAGEREF _Toc194609330 \h </w:instrText>
            </w:r>
            <w:r>
              <w:rPr>
                <w:noProof/>
                <w:webHidden/>
              </w:rPr>
            </w:r>
            <w:r>
              <w:rPr>
                <w:noProof/>
                <w:webHidden/>
              </w:rPr>
              <w:fldChar w:fldCharType="separate"/>
            </w:r>
            <w:r>
              <w:rPr>
                <w:noProof/>
                <w:webHidden/>
              </w:rPr>
              <w:t>1</w:t>
            </w:r>
            <w:r>
              <w:rPr>
                <w:noProof/>
                <w:webHidden/>
              </w:rPr>
              <w:fldChar w:fldCharType="end"/>
            </w:r>
          </w:hyperlink>
        </w:p>
        <w:p w14:paraId="492BBAEA" w14:textId="77777777" w:rsidR="00DB6643" w:rsidRDefault="00DB6643">
          <w:pPr>
            <w:pStyle w:val="TOC1"/>
            <w:tabs>
              <w:tab w:val="right" w:leader="dot" w:pos="9350"/>
            </w:tabs>
            <w:rPr>
              <w:noProof/>
            </w:rPr>
          </w:pPr>
          <w:hyperlink w:anchor="_Toc194609331" w:history="1">
            <w:r w:rsidRPr="00E6719B">
              <w:rPr>
                <w:rStyle w:val="Hyperlink"/>
                <w:noProof/>
              </w:rPr>
              <w:t xml:space="preserve">The </w:t>
            </w:r>
            <w:r w:rsidRPr="00E6719B">
              <w:rPr>
                <w:rStyle w:val="Hyperlink"/>
                <w:rFonts w:ascii="Consolas" w:hAnsi="Consolas"/>
                <w:noProof/>
              </w:rPr>
              <w:t>infer</w:t>
            </w:r>
            <w:r w:rsidRPr="00E6719B">
              <w:rPr>
                <w:rStyle w:val="Hyperlink"/>
                <w:noProof/>
              </w:rPr>
              <w:t xml:space="preserve"> package</w:t>
            </w:r>
            <w:r>
              <w:rPr>
                <w:noProof/>
                <w:webHidden/>
              </w:rPr>
              <w:tab/>
            </w:r>
            <w:r>
              <w:rPr>
                <w:noProof/>
                <w:webHidden/>
              </w:rPr>
              <w:fldChar w:fldCharType="begin"/>
            </w:r>
            <w:r>
              <w:rPr>
                <w:noProof/>
                <w:webHidden/>
              </w:rPr>
              <w:instrText xml:space="preserve"> PAGEREF _Toc194609331 \h </w:instrText>
            </w:r>
            <w:r>
              <w:rPr>
                <w:noProof/>
                <w:webHidden/>
              </w:rPr>
            </w:r>
            <w:r>
              <w:rPr>
                <w:noProof/>
                <w:webHidden/>
              </w:rPr>
              <w:fldChar w:fldCharType="separate"/>
            </w:r>
            <w:r>
              <w:rPr>
                <w:noProof/>
                <w:webHidden/>
              </w:rPr>
              <w:t>2</w:t>
            </w:r>
            <w:r>
              <w:rPr>
                <w:noProof/>
                <w:webHidden/>
              </w:rPr>
              <w:fldChar w:fldCharType="end"/>
            </w:r>
          </w:hyperlink>
        </w:p>
        <w:p w14:paraId="2DAE7E0C" w14:textId="77777777" w:rsidR="00DB6643" w:rsidRDefault="00DB6643">
          <w:pPr>
            <w:pStyle w:val="TOC1"/>
            <w:tabs>
              <w:tab w:val="right" w:leader="dot" w:pos="9350"/>
            </w:tabs>
            <w:rPr>
              <w:noProof/>
            </w:rPr>
          </w:pPr>
          <w:hyperlink w:anchor="_Toc194609332" w:history="1">
            <w:r w:rsidRPr="00E6719B">
              <w:rPr>
                <w:rStyle w:val="Hyperlink"/>
                <w:noProof/>
              </w:rPr>
              <w:t>House of Representatives Example</w:t>
            </w:r>
            <w:r>
              <w:rPr>
                <w:noProof/>
                <w:webHidden/>
              </w:rPr>
              <w:tab/>
            </w:r>
            <w:r>
              <w:rPr>
                <w:noProof/>
                <w:webHidden/>
              </w:rPr>
              <w:fldChar w:fldCharType="begin"/>
            </w:r>
            <w:r>
              <w:rPr>
                <w:noProof/>
                <w:webHidden/>
              </w:rPr>
              <w:instrText xml:space="preserve"> PAGEREF _Toc194609332 \h </w:instrText>
            </w:r>
            <w:r>
              <w:rPr>
                <w:noProof/>
                <w:webHidden/>
              </w:rPr>
            </w:r>
            <w:r>
              <w:rPr>
                <w:noProof/>
                <w:webHidden/>
              </w:rPr>
              <w:fldChar w:fldCharType="separate"/>
            </w:r>
            <w:r>
              <w:rPr>
                <w:noProof/>
                <w:webHidden/>
              </w:rPr>
              <w:t>4</w:t>
            </w:r>
            <w:r>
              <w:rPr>
                <w:noProof/>
                <w:webHidden/>
              </w:rPr>
              <w:fldChar w:fldCharType="end"/>
            </w:r>
          </w:hyperlink>
        </w:p>
        <w:p w14:paraId="1A266070" w14:textId="77777777" w:rsidR="00DB6643" w:rsidRDefault="00DB6643">
          <w:pPr>
            <w:pStyle w:val="TOC1"/>
            <w:tabs>
              <w:tab w:val="right" w:leader="dot" w:pos="9350"/>
            </w:tabs>
            <w:rPr>
              <w:noProof/>
            </w:rPr>
          </w:pPr>
          <w:hyperlink w:anchor="_Toc194609333" w:history="1">
            <w:r w:rsidRPr="00E6719B">
              <w:rPr>
                <w:rStyle w:val="Hyperlink"/>
                <w:noProof/>
              </w:rPr>
              <w:t>Three approaches to confidence intervals</w:t>
            </w:r>
            <w:r>
              <w:rPr>
                <w:noProof/>
                <w:webHidden/>
              </w:rPr>
              <w:tab/>
            </w:r>
            <w:r>
              <w:rPr>
                <w:noProof/>
                <w:webHidden/>
              </w:rPr>
              <w:fldChar w:fldCharType="begin"/>
            </w:r>
            <w:r>
              <w:rPr>
                <w:noProof/>
                <w:webHidden/>
              </w:rPr>
              <w:instrText xml:space="preserve"> PAGEREF _Toc194609333 \h </w:instrText>
            </w:r>
            <w:r>
              <w:rPr>
                <w:noProof/>
                <w:webHidden/>
              </w:rPr>
            </w:r>
            <w:r>
              <w:rPr>
                <w:noProof/>
                <w:webHidden/>
              </w:rPr>
              <w:fldChar w:fldCharType="separate"/>
            </w:r>
            <w:r>
              <w:rPr>
                <w:noProof/>
                <w:webHidden/>
              </w:rPr>
              <w:t>6</w:t>
            </w:r>
            <w:r>
              <w:rPr>
                <w:noProof/>
                <w:webHidden/>
              </w:rPr>
              <w:fldChar w:fldCharType="end"/>
            </w:r>
          </w:hyperlink>
        </w:p>
        <w:p w14:paraId="4D4E6681" w14:textId="77777777" w:rsidR="00DB6643" w:rsidRDefault="00DB6643">
          <w:pPr>
            <w:pStyle w:val="TOC2"/>
            <w:tabs>
              <w:tab w:val="right" w:leader="dot" w:pos="9350"/>
            </w:tabs>
            <w:rPr>
              <w:noProof/>
            </w:rPr>
          </w:pPr>
          <w:hyperlink w:anchor="_Toc194609334" w:history="1">
            <w:r w:rsidRPr="00E6719B">
              <w:rPr>
                <w:rStyle w:val="Hyperlink"/>
                <w:noProof/>
              </w:rPr>
              <w:t>Theory-based approach</w:t>
            </w:r>
            <w:r>
              <w:rPr>
                <w:noProof/>
                <w:webHidden/>
              </w:rPr>
              <w:tab/>
            </w:r>
            <w:r>
              <w:rPr>
                <w:noProof/>
                <w:webHidden/>
              </w:rPr>
              <w:fldChar w:fldCharType="begin"/>
            </w:r>
            <w:r>
              <w:rPr>
                <w:noProof/>
                <w:webHidden/>
              </w:rPr>
              <w:instrText xml:space="preserve"> PAGEREF _Toc194609334 \h </w:instrText>
            </w:r>
            <w:r>
              <w:rPr>
                <w:noProof/>
                <w:webHidden/>
              </w:rPr>
            </w:r>
            <w:r>
              <w:rPr>
                <w:noProof/>
                <w:webHidden/>
              </w:rPr>
              <w:fldChar w:fldCharType="separate"/>
            </w:r>
            <w:r>
              <w:rPr>
                <w:noProof/>
                <w:webHidden/>
              </w:rPr>
              <w:t>6</w:t>
            </w:r>
            <w:r>
              <w:rPr>
                <w:noProof/>
                <w:webHidden/>
              </w:rPr>
              <w:fldChar w:fldCharType="end"/>
            </w:r>
          </w:hyperlink>
        </w:p>
        <w:p w14:paraId="53BF3715" w14:textId="77777777" w:rsidR="00DB6643" w:rsidRDefault="00DB6643">
          <w:pPr>
            <w:pStyle w:val="TOC2"/>
            <w:tabs>
              <w:tab w:val="right" w:leader="dot" w:pos="9350"/>
            </w:tabs>
            <w:rPr>
              <w:noProof/>
            </w:rPr>
          </w:pPr>
          <w:hyperlink w:anchor="_Toc194609335" w:history="1">
            <w:r w:rsidRPr="00E6719B">
              <w:rPr>
                <w:rStyle w:val="Hyperlink"/>
                <w:noProof/>
              </w:rPr>
              <w:t>The Standard Error Method</w:t>
            </w:r>
            <w:r>
              <w:rPr>
                <w:noProof/>
                <w:webHidden/>
              </w:rPr>
              <w:tab/>
            </w:r>
            <w:r>
              <w:rPr>
                <w:noProof/>
                <w:webHidden/>
              </w:rPr>
              <w:fldChar w:fldCharType="begin"/>
            </w:r>
            <w:r>
              <w:rPr>
                <w:noProof/>
                <w:webHidden/>
              </w:rPr>
              <w:instrText xml:space="preserve"> PAGEREF _Toc194609335 \h </w:instrText>
            </w:r>
            <w:r>
              <w:rPr>
                <w:noProof/>
                <w:webHidden/>
              </w:rPr>
            </w:r>
            <w:r>
              <w:rPr>
                <w:noProof/>
                <w:webHidden/>
              </w:rPr>
              <w:fldChar w:fldCharType="separate"/>
            </w:r>
            <w:r>
              <w:rPr>
                <w:noProof/>
                <w:webHidden/>
              </w:rPr>
              <w:t>6</w:t>
            </w:r>
            <w:r>
              <w:rPr>
                <w:noProof/>
                <w:webHidden/>
              </w:rPr>
              <w:fldChar w:fldCharType="end"/>
            </w:r>
          </w:hyperlink>
        </w:p>
        <w:p w14:paraId="69B100C2" w14:textId="77777777" w:rsidR="00DB6643" w:rsidRDefault="00DB6643">
          <w:pPr>
            <w:pStyle w:val="TOC2"/>
            <w:tabs>
              <w:tab w:val="right" w:leader="dot" w:pos="9350"/>
            </w:tabs>
            <w:rPr>
              <w:noProof/>
            </w:rPr>
          </w:pPr>
          <w:hyperlink w:anchor="_Toc194609336" w:history="1">
            <w:r w:rsidRPr="00E6719B">
              <w:rPr>
                <w:rStyle w:val="Hyperlink"/>
                <w:noProof/>
              </w:rPr>
              <w:t>The percentile method</w:t>
            </w:r>
            <w:r>
              <w:rPr>
                <w:noProof/>
                <w:webHidden/>
              </w:rPr>
              <w:tab/>
            </w:r>
            <w:r>
              <w:rPr>
                <w:noProof/>
                <w:webHidden/>
              </w:rPr>
              <w:fldChar w:fldCharType="begin"/>
            </w:r>
            <w:r>
              <w:rPr>
                <w:noProof/>
                <w:webHidden/>
              </w:rPr>
              <w:instrText xml:space="preserve"> PAGEREF _Toc194609336 \h </w:instrText>
            </w:r>
            <w:r>
              <w:rPr>
                <w:noProof/>
                <w:webHidden/>
              </w:rPr>
            </w:r>
            <w:r>
              <w:rPr>
                <w:noProof/>
                <w:webHidden/>
              </w:rPr>
              <w:fldChar w:fldCharType="separate"/>
            </w:r>
            <w:r>
              <w:rPr>
                <w:noProof/>
                <w:webHidden/>
              </w:rPr>
              <w:t>7</w:t>
            </w:r>
            <w:r>
              <w:rPr>
                <w:noProof/>
                <w:webHidden/>
              </w:rPr>
              <w:fldChar w:fldCharType="end"/>
            </w:r>
          </w:hyperlink>
        </w:p>
        <w:p w14:paraId="46771467" w14:textId="77777777" w:rsidR="00DB6643" w:rsidRDefault="00DB6643">
          <w:pPr>
            <w:pStyle w:val="TOC2"/>
            <w:tabs>
              <w:tab w:val="right" w:leader="dot" w:pos="9350"/>
            </w:tabs>
            <w:rPr>
              <w:noProof/>
            </w:rPr>
          </w:pPr>
          <w:hyperlink w:anchor="_Toc194609337" w:history="1">
            <w:r w:rsidRPr="00E6719B">
              <w:rPr>
                <w:rStyle w:val="Hyperlink"/>
                <w:noProof/>
              </w:rPr>
              <w:t>Comparing the methods</w:t>
            </w:r>
            <w:r>
              <w:rPr>
                <w:noProof/>
                <w:webHidden/>
              </w:rPr>
              <w:tab/>
            </w:r>
            <w:r>
              <w:rPr>
                <w:noProof/>
                <w:webHidden/>
              </w:rPr>
              <w:fldChar w:fldCharType="begin"/>
            </w:r>
            <w:r>
              <w:rPr>
                <w:noProof/>
                <w:webHidden/>
              </w:rPr>
              <w:instrText xml:space="preserve"> PAGEREF _Toc194609337 \h </w:instrText>
            </w:r>
            <w:r>
              <w:rPr>
                <w:noProof/>
                <w:webHidden/>
              </w:rPr>
            </w:r>
            <w:r>
              <w:rPr>
                <w:noProof/>
                <w:webHidden/>
              </w:rPr>
              <w:fldChar w:fldCharType="separate"/>
            </w:r>
            <w:r>
              <w:rPr>
                <w:noProof/>
                <w:webHidden/>
              </w:rPr>
              <w:t>8</w:t>
            </w:r>
            <w:r>
              <w:rPr>
                <w:noProof/>
                <w:webHidden/>
              </w:rPr>
              <w:fldChar w:fldCharType="end"/>
            </w:r>
          </w:hyperlink>
        </w:p>
        <w:p w14:paraId="61568BE8" w14:textId="77777777" w:rsidR="00DB6643" w:rsidRDefault="00DB6643">
          <w:pPr>
            <w:pStyle w:val="TOC1"/>
            <w:tabs>
              <w:tab w:val="right" w:leader="dot" w:pos="9350"/>
            </w:tabs>
            <w:rPr>
              <w:noProof/>
            </w:rPr>
          </w:pPr>
          <w:hyperlink w:anchor="_Toc194609338" w:history="1">
            <w:r w:rsidRPr="00E6719B">
              <w:rPr>
                <w:rStyle w:val="Hyperlink"/>
                <w:noProof/>
              </w:rPr>
              <w:t>Graphing confidence intervals</w:t>
            </w:r>
            <w:r>
              <w:rPr>
                <w:noProof/>
                <w:webHidden/>
              </w:rPr>
              <w:tab/>
            </w:r>
            <w:r>
              <w:rPr>
                <w:noProof/>
                <w:webHidden/>
              </w:rPr>
              <w:fldChar w:fldCharType="begin"/>
            </w:r>
            <w:r>
              <w:rPr>
                <w:noProof/>
                <w:webHidden/>
              </w:rPr>
              <w:instrText xml:space="preserve"> PAGEREF _Toc194609338 \h </w:instrText>
            </w:r>
            <w:r>
              <w:rPr>
                <w:noProof/>
                <w:webHidden/>
              </w:rPr>
            </w:r>
            <w:r>
              <w:rPr>
                <w:noProof/>
                <w:webHidden/>
              </w:rPr>
              <w:fldChar w:fldCharType="separate"/>
            </w:r>
            <w:r>
              <w:rPr>
                <w:noProof/>
                <w:webHidden/>
              </w:rPr>
              <w:t>8</w:t>
            </w:r>
            <w:r>
              <w:rPr>
                <w:noProof/>
                <w:webHidden/>
              </w:rPr>
              <w:fldChar w:fldCharType="end"/>
            </w:r>
          </w:hyperlink>
        </w:p>
        <w:p w14:paraId="504230FA" w14:textId="77777777" w:rsidR="00DB6643" w:rsidRDefault="00DB6643">
          <w:pPr>
            <w:pStyle w:val="TOC1"/>
            <w:tabs>
              <w:tab w:val="right" w:leader="dot" w:pos="9350"/>
            </w:tabs>
            <w:rPr>
              <w:noProof/>
            </w:rPr>
          </w:pPr>
          <w:hyperlink w:anchor="_Toc194609339" w:history="1">
            <w:r w:rsidRPr="00E6719B">
              <w:rPr>
                <w:rStyle w:val="Hyperlink"/>
                <w:noProof/>
              </w:rPr>
              <w:t>Revisiting the Learning Goals for Notes 09</w:t>
            </w:r>
            <w:r>
              <w:rPr>
                <w:noProof/>
                <w:webHidden/>
              </w:rPr>
              <w:tab/>
            </w:r>
            <w:r>
              <w:rPr>
                <w:noProof/>
                <w:webHidden/>
              </w:rPr>
              <w:fldChar w:fldCharType="begin"/>
            </w:r>
            <w:r>
              <w:rPr>
                <w:noProof/>
                <w:webHidden/>
              </w:rPr>
              <w:instrText xml:space="preserve"> PAGEREF _Toc194609339 \h </w:instrText>
            </w:r>
            <w:r>
              <w:rPr>
                <w:noProof/>
                <w:webHidden/>
              </w:rPr>
            </w:r>
            <w:r>
              <w:rPr>
                <w:noProof/>
                <w:webHidden/>
              </w:rPr>
              <w:fldChar w:fldCharType="separate"/>
            </w:r>
            <w:r>
              <w:rPr>
                <w:noProof/>
                <w:webHidden/>
              </w:rPr>
              <w:t>9</w:t>
            </w:r>
            <w:r>
              <w:rPr>
                <w:noProof/>
                <w:webHidden/>
              </w:rPr>
              <w:fldChar w:fldCharType="end"/>
            </w:r>
          </w:hyperlink>
        </w:p>
        <w:p w14:paraId="165DBDAA" w14:textId="77777777" w:rsidR="007A08ED" w:rsidRDefault="00000000">
          <w:r>
            <w:fldChar w:fldCharType="end"/>
          </w:r>
        </w:p>
      </w:sdtContent>
    </w:sdt>
    <w:p w14:paraId="2541EA3E" w14:textId="77777777" w:rsidR="007A08ED" w:rsidRDefault="00045F62">
      <w:r>
        <w:rPr>
          <w:noProof/>
        </w:rPr>
        <w:pict w14:anchorId="4D1DD065">
          <v:rect id="_x0000_i1032" alt="" style="width:468pt;height:.05pt;mso-width-percent:0;mso-height-percent:0;mso-width-percent:0;mso-height-percent:0" o:hralign="center" o:hrstd="t" o:hr="t"/>
        </w:pict>
      </w:r>
    </w:p>
    <w:p w14:paraId="6CC40AF0" w14:textId="77777777" w:rsidR="007A08ED" w:rsidRDefault="00000000">
      <w:pPr>
        <w:pStyle w:val="Heading1"/>
      </w:pPr>
      <w:bookmarkStart w:id="0" w:name="reading-for-notes-09"/>
      <w:bookmarkStart w:id="1" w:name="_Toc194609329"/>
      <w:r>
        <w:t>Reading for Notes 09</w:t>
      </w:r>
      <w:bookmarkEnd w:id="1"/>
    </w:p>
    <w:p w14:paraId="37E47ECB" w14:textId="77777777" w:rsidR="007A08ED" w:rsidRDefault="00000000">
      <w:pPr>
        <w:pStyle w:val="FirstParagraph"/>
      </w:pPr>
      <w:r>
        <w:t xml:space="preserve">Read </w:t>
      </w:r>
      <w:hyperlink r:id="rId5" w:anchor="bootstrap-process">
        <w:r>
          <w:rPr>
            <w:rStyle w:val="Hyperlink"/>
          </w:rPr>
          <w:t>Section 8.4</w:t>
        </w:r>
      </w:hyperlink>
      <w:r>
        <w:t xml:space="preserve"> of the Modern Dive textbook.</w:t>
      </w:r>
    </w:p>
    <w:p w14:paraId="53E0F0E9" w14:textId="77777777" w:rsidR="007A08ED" w:rsidRDefault="00045F62">
      <w:r>
        <w:rPr>
          <w:noProof/>
        </w:rPr>
        <w:pict w14:anchorId="5CD3F63F">
          <v:rect id="_x0000_i1031" alt="" style="width:468pt;height:.05pt;mso-width-percent:0;mso-height-percent:0;mso-width-percent:0;mso-height-percent:0" o:hralign="center" o:hrstd="t" o:hr="t"/>
        </w:pict>
      </w:r>
    </w:p>
    <w:p w14:paraId="7786F933" w14:textId="77777777" w:rsidR="007A08ED" w:rsidRDefault="00000000">
      <w:pPr>
        <w:pStyle w:val="Heading1"/>
      </w:pPr>
      <w:bookmarkStart w:id="2" w:name="learning-goals-for-notes-09"/>
      <w:bookmarkStart w:id="3" w:name="_Toc194609330"/>
      <w:bookmarkEnd w:id="0"/>
      <w:r>
        <w:t>Learning Goals for Notes 09</w:t>
      </w:r>
      <w:bookmarkEnd w:id="3"/>
    </w:p>
    <w:p w14:paraId="10132293" w14:textId="77777777" w:rsidR="007A08ED" w:rsidRDefault="00000000">
      <w:pPr>
        <w:pStyle w:val="Compact"/>
        <w:numPr>
          <w:ilvl w:val="0"/>
          <w:numId w:val="2"/>
        </w:numPr>
      </w:pPr>
      <w:r>
        <w:t xml:space="preserve">Understand the general steps of using the </w:t>
      </w:r>
      <w:r>
        <w:rPr>
          <w:rStyle w:val="VerbatimChar"/>
        </w:rPr>
        <w:t>infer</w:t>
      </w:r>
      <w:r>
        <w:t xml:space="preserve"> package for creating bootstrap distributions.</w:t>
      </w:r>
    </w:p>
    <w:p w14:paraId="49221D6B" w14:textId="77777777" w:rsidR="007A08ED" w:rsidRDefault="00000000">
      <w:pPr>
        <w:pStyle w:val="Compact"/>
        <w:numPr>
          <w:ilvl w:val="0"/>
          <w:numId w:val="2"/>
        </w:numPr>
      </w:pPr>
      <w:r>
        <w:t>Understand how the percentile method and the standard error method can be used to create confidence intervals with bootstrap distributions (and how these compare to theory-based methods)</w:t>
      </w:r>
    </w:p>
    <w:p w14:paraId="3CCF7EAB" w14:textId="77777777" w:rsidR="007A08ED" w:rsidRDefault="00045F62">
      <w:r>
        <w:rPr>
          <w:noProof/>
        </w:rPr>
        <w:pict w14:anchorId="2C5E6130">
          <v:rect id="_x0000_i1030" alt="" style="width:468pt;height:.05pt;mso-width-percent:0;mso-height-percent:0;mso-width-percent:0;mso-height-percent:0" o:hralign="center" o:hrstd="t" o:hr="t"/>
        </w:pict>
      </w:r>
    </w:p>
    <w:p w14:paraId="7F3B3611" w14:textId="77777777" w:rsidR="007A08ED" w:rsidRDefault="00000000">
      <w:pPr>
        <w:pStyle w:val="FirstParagraph"/>
      </w:pPr>
      <w:r>
        <w:lastRenderedPageBreak/>
        <w:t>I’ll be using the following packages in this set of notes, so I’ll load them before I get started.</w:t>
      </w:r>
    </w:p>
    <w:p w14:paraId="1D96231D" w14:textId="77777777" w:rsidR="007A08ED" w:rsidRDefault="00000000">
      <w:pPr>
        <w:pStyle w:val="SourceCode"/>
      </w:pPr>
      <w:r>
        <w:rPr>
          <w:rStyle w:val="FunctionTok"/>
        </w:rPr>
        <w:t>library</w:t>
      </w:r>
      <w:r>
        <w:rPr>
          <w:rStyle w:val="NormalTok"/>
        </w:rPr>
        <w:t>(infer)</w:t>
      </w:r>
      <w:r>
        <w:br/>
      </w:r>
      <w:r>
        <w:rPr>
          <w:rStyle w:val="FunctionTok"/>
        </w:rPr>
        <w:t>library</w:t>
      </w:r>
      <w:r>
        <w:rPr>
          <w:rStyle w:val="NormalTok"/>
        </w:rPr>
        <w:t>(dplyr)</w:t>
      </w:r>
      <w:r>
        <w:br/>
      </w:r>
      <w:r>
        <w:rPr>
          <w:rStyle w:val="FunctionTok"/>
        </w:rPr>
        <w:t>library</w:t>
      </w:r>
      <w:r>
        <w:rPr>
          <w:rStyle w:val="NormalTok"/>
        </w:rPr>
        <w:t>(ggplot2)</w:t>
      </w:r>
    </w:p>
    <w:p w14:paraId="23CDC99B" w14:textId="77777777" w:rsidR="007A08ED" w:rsidRDefault="00045F62">
      <w:r>
        <w:rPr>
          <w:noProof/>
        </w:rPr>
        <w:pict w14:anchorId="4DC41CF2">
          <v:rect id="_x0000_i1029" alt="" style="width:468pt;height:.05pt;mso-width-percent:0;mso-height-percent:0;mso-width-percent:0;mso-height-percent:0" o:hralign="center" o:hrstd="t" o:hr="t"/>
        </w:pict>
      </w:r>
    </w:p>
    <w:p w14:paraId="28BC1062" w14:textId="77777777" w:rsidR="007A08ED" w:rsidRDefault="00000000">
      <w:pPr>
        <w:pStyle w:val="Heading1"/>
      </w:pPr>
      <w:bookmarkStart w:id="4" w:name="the-infer-package"/>
      <w:bookmarkStart w:id="5" w:name="_Toc194609331"/>
      <w:bookmarkEnd w:id="2"/>
      <w:r>
        <w:t xml:space="preserve">The </w:t>
      </w:r>
      <w:r>
        <w:rPr>
          <w:rStyle w:val="VerbatimChar"/>
        </w:rPr>
        <w:t>infer</w:t>
      </w:r>
      <w:r>
        <w:t xml:space="preserve"> package</w:t>
      </w:r>
      <w:bookmarkEnd w:id="5"/>
    </w:p>
    <w:p w14:paraId="51CD479B" w14:textId="77777777" w:rsidR="007A08ED" w:rsidRDefault="00000000">
      <w:pPr>
        <w:pStyle w:val="FirstParagraph"/>
      </w:pPr>
      <w:r>
        <w:t xml:space="preserve">We will use the </w:t>
      </w:r>
      <w:r>
        <w:rPr>
          <w:rStyle w:val="VerbatimChar"/>
        </w:rPr>
        <w:t>infer</w:t>
      </w:r>
      <w:r>
        <w:t xml:space="preserve"> package to help us do the following</w:t>
      </w:r>
    </w:p>
    <w:p w14:paraId="4B40F480" w14:textId="77777777" w:rsidR="007A08ED" w:rsidRDefault="00000000">
      <w:pPr>
        <w:pStyle w:val="Compact"/>
        <w:numPr>
          <w:ilvl w:val="0"/>
          <w:numId w:val="3"/>
        </w:numPr>
      </w:pPr>
      <w:r>
        <w:t>generate bootstrap resampling distributions,</w:t>
      </w:r>
    </w:p>
    <w:p w14:paraId="15F0C19F" w14:textId="77777777" w:rsidR="007A08ED" w:rsidRDefault="00000000">
      <w:pPr>
        <w:pStyle w:val="Compact"/>
        <w:numPr>
          <w:ilvl w:val="0"/>
          <w:numId w:val="3"/>
        </w:numPr>
      </w:pPr>
      <w:r>
        <w:t>visualize those distributions, and</w:t>
      </w:r>
    </w:p>
    <w:p w14:paraId="5040B28C" w14:textId="77777777" w:rsidR="007A08ED" w:rsidRDefault="00000000">
      <w:pPr>
        <w:pStyle w:val="Compact"/>
        <w:numPr>
          <w:ilvl w:val="0"/>
          <w:numId w:val="3"/>
        </w:numPr>
      </w:pPr>
      <w:r>
        <w:t>calculate confidence intervals based on those distributions.</w:t>
      </w:r>
    </w:p>
    <w:p w14:paraId="5D0E9121" w14:textId="77777777" w:rsidR="007A08ED" w:rsidRDefault="00000000">
      <w:pPr>
        <w:pStyle w:val="FirstParagraph"/>
      </w:pPr>
      <w:r>
        <w:t xml:space="preserve">There are four basic steps in the first two bullet points of this process. Each step is associated with a different function in the </w:t>
      </w:r>
      <w:r>
        <w:rPr>
          <w:rStyle w:val="VerbatimChar"/>
        </w:rPr>
        <w:t>infer</w:t>
      </w:r>
      <w:r>
        <w:t xml:space="preserve"> package.</w:t>
      </w:r>
    </w:p>
    <w:p w14:paraId="12E28AE3" w14:textId="77777777" w:rsidR="007A08ED" w:rsidRDefault="007A08ED">
      <w:pPr>
        <w:pStyle w:val="BodyText"/>
      </w:pPr>
    </w:p>
    <w:p w14:paraId="17F6EF86" w14:textId="77777777" w:rsidR="007A08ED" w:rsidRPr="00DB6643" w:rsidRDefault="00000000">
      <w:pPr>
        <w:pStyle w:val="Compact"/>
        <w:numPr>
          <w:ilvl w:val="0"/>
          <w:numId w:val="4"/>
        </w:numPr>
        <w:rPr>
          <w:highlight w:val="yellow"/>
        </w:rPr>
      </w:pPr>
      <w:r w:rsidRPr="00DB6643">
        <w:rPr>
          <w:rStyle w:val="VerbatimChar"/>
          <w:highlight w:val="yellow"/>
        </w:rPr>
        <w:t>specify()</w:t>
      </w:r>
    </w:p>
    <w:p w14:paraId="774F9EF9" w14:textId="77777777" w:rsidR="007A08ED" w:rsidRDefault="00000000">
      <w:pPr>
        <w:pStyle w:val="FirstParagraph"/>
      </w:pPr>
      <w:r>
        <w:t xml:space="preserve">First we want to </w:t>
      </w:r>
      <w:r>
        <w:rPr>
          <w:b/>
          <w:bCs/>
        </w:rPr>
        <w:t>specify</w:t>
      </w:r>
      <w:r>
        <w:t xml:space="preserve"> what variable or relationship we’re studying. I will use what is known as formula notation to provide some consistency between different examples. You’ll notice this is similar to what we did with the </w:t>
      </w:r>
      <w:r>
        <w:rPr>
          <w:rStyle w:val="VerbatimChar"/>
        </w:rPr>
        <w:t>lm()</w:t>
      </w:r>
      <w:r>
        <w:t xml:space="preserve"> function when creating linear regression models. The code to specify this relationship will look something like:</w:t>
      </w:r>
    </w:p>
    <w:p w14:paraId="4492B89C" w14:textId="77777777" w:rsidR="007A08ED"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w:t>
      </w:r>
    </w:p>
    <w:p w14:paraId="75B1F468" w14:textId="77777777" w:rsidR="00DB6643" w:rsidRDefault="00DB6643">
      <w:pPr>
        <w:pStyle w:val="FirstParagraph"/>
      </w:pPr>
    </w:p>
    <w:p w14:paraId="4BC0FFC7" w14:textId="0AB5A61A" w:rsidR="007A08ED" w:rsidRDefault="00000000">
      <w:pPr>
        <w:pStyle w:val="FirstParagraph"/>
      </w:pPr>
      <w:r>
        <w:t xml:space="preserve">The </w:t>
      </w:r>
      <w:r>
        <w:rPr>
          <w:rStyle w:val="VerbatimChar"/>
        </w:rPr>
        <w:t>response</w:t>
      </w:r>
      <w:r>
        <w:t xml:space="preserve"> variable will be the one we’re studying or interested in, and the </w:t>
      </w:r>
      <w:r>
        <w:rPr>
          <w:rStyle w:val="VerbatimChar"/>
        </w:rPr>
        <w:t>explanatory</w:t>
      </w:r>
      <w:r>
        <w:t xml:space="preserve"> variable will be the one that helps explain differences in the response variable. In many cases, this will be the variable that splits our data into groups.</w:t>
      </w:r>
    </w:p>
    <w:p w14:paraId="46215D98" w14:textId="77777777" w:rsidR="007A08ED" w:rsidRDefault="00000000">
      <w:pPr>
        <w:pStyle w:val="BodyText"/>
      </w:pPr>
      <w:r>
        <w:t xml:space="preserve">If our response variable is categorical, we will also need to specify which level of the response variable we are interested in using the </w:t>
      </w:r>
      <w:r>
        <w:rPr>
          <w:rStyle w:val="VerbatimChar"/>
        </w:rPr>
        <w:t>success</w:t>
      </w:r>
      <w:r>
        <w:t xml:space="preserve"> argument. This will look like </w:t>
      </w:r>
      <w:r>
        <w:rPr>
          <w:rStyle w:val="VerbatimChar"/>
        </w:rPr>
        <w:t>specify(response ~ explanatory, success = "___")</w:t>
      </w:r>
      <w:r>
        <w:t>.</w:t>
      </w:r>
    </w:p>
    <w:p w14:paraId="09106411" w14:textId="77777777" w:rsidR="007A08ED" w:rsidRDefault="00000000">
      <w:pPr>
        <w:pStyle w:val="BodyText"/>
      </w:pPr>
      <w:r>
        <w:t>When we run just these lines, it won’t look like much is changing, but R will be storing information about our analysis plan as “metadata”.</w:t>
      </w:r>
    </w:p>
    <w:p w14:paraId="54DB9D77" w14:textId="77777777" w:rsidR="007A08ED" w:rsidRDefault="007A08ED">
      <w:pPr>
        <w:pStyle w:val="BodyText"/>
      </w:pPr>
    </w:p>
    <w:p w14:paraId="05958CA5" w14:textId="77777777" w:rsidR="00DB6643" w:rsidRDefault="00DB6643">
      <w:pPr>
        <w:pStyle w:val="BodyText"/>
      </w:pPr>
    </w:p>
    <w:p w14:paraId="439F0B92" w14:textId="77777777" w:rsidR="00DB6643" w:rsidRDefault="00DB6643">
      <w:pPr>
        <w:pStyle w:val="BodyText"/>
      </w:pPr>
    </w:p>
    <w:p w14:paraId="0834CE67" w14:textId="77777777" w:rsidR="007A08ED" w:rsidRPr="00DB6643" w:rsidRDefault="00000000">
      <w:pPr>
        <w:pStyle w:val="Compact"/>
        <w:numPr>
          <w:ilvl w:val="0"/>
          <w:numId w:val="5"/>
        </w:numPr>
        <w:rPr>
          <w:highlight w:val="yellow"/>
        </w:rPr>
      </w:pPr>
      <w:r w:rsidRPr="00DB6643">
        <w:rPr>
          <w:rStyle w:val="VerbatimChar"/>
          <w:highlight w:val="yellow"/>
        </w:rPr>
        <w:lastRenderedPageBreak/>
        <w:t>generate()</w:t>
      </w:r>
    </w:p>
    <w:p w14:paraId="6CDEF5AB" w14:textId="77777777" w:rsidR="007A08ED" w:rsidRDefault="00000000">
      <w:pPr>
        <w:pStyle w:val="FirstParagraph"/>
      </w:pPr>
      <w:r>
        <w:t xml:space="preserve">In this step, we will use resampling to </w:t>
      </w:r>
      <w:r>
        <w:rPr>
          <w:b/>
          <w:bCs/>
        </w:rPr>
        <w:t>generate</w:t>
      </w:r>
      <w:r>
        <w:t xml:space="preserve"> many new samples </w:t>
      </w:r>
      <w:r>
        <w:rPr>
          <w:i/>
          <w:iCs/>
        </w:rPr>
        <w:t>with replacement</w:t>
      </w:r>
      <w:r>
        <w:t xml:space="preserve"> from our original sample. This is what we previously did with the </w:t>
      </w:r>
      <w:r>
        <w:rPr>
          <w:rStyle w:val="VerbatimChar"/>
        </w:rPr>
        <w:t>rep_sample_n()</w:t>
      </w:r>
      <w:r>
        <w:t xml:space="preserve"> function. The </w:t>
      </w:r>
      <w:r>
        <w:rPr>
          <w:rStyle w:val="VerbatimChar"/>
        </w:rPr>
        <w:t>generate()</w:t>
      </w:r>
      <w:r>
        <w:t xml:space="preserve"> function will have two main arguments, </w:t>
      </w:r>
      <w:r>
        <w:rPr>
          <w:rStyle w:val="VerbatimChar"/>
        </w:rPr>
        <w:t>reps</w:t>
      </w:r>
      <w:r>
        <w:t xml:space="preserve"> and </w:t>
      </w:r>
      <w:r>
        <w:rPr>
          <w:rStyle w:val="VerbatimChar"/>
        </w:rPr>
        <w:t>type</w:t>
      </w:r>
      <w:r>
        <w:t>.</w:t>
      </w:r>
    </w:p>
    <w:p w14:paraId="4083A06D" w14:textId="77777777" w:rsidR="007A08ED" w:rsidRDefault="00000000">
      <w:pPr>
        <w:pStyle w:val="Compact"/>
        <w:numPr>
          <w:ilvl w:val="0"/>
          <w:numId w:val="6"/>
        </w:numPr>
      </w:pPr>
      <w:r>
        <w:t xml:space="preserve">The </w:t>
      </w:r>
      <w:r>
        <w:rPr>
          <w:rStyle w:val="VerbatimChar"/>
        </w:rPr>
        <w:t>reps</w:t>
      </w:r>
      <w:r>
        <w:t xml:space="preserve"> argument controls how many new samples we generate. We will use 1,000 for most examples in our class, but technically you could use more or less if you wanted. We want enough repetitions that we get a clear shape for our distribution but not so many that it takes a long time to run.</w:t>
      </w:r>
    </w:p>
    <w:p w14:paraId="14AE4074" w14:textId="77777777" w:rsidR="007A08ED" w:rsidRDefault="00000000">
      <w:pPr>
        <w:pStyle w:val="Compact"/>
        <w:numPr>
          <w:ilvl w:val="0"/>
          <w:numId w:val="6"/>
        </w:numPr>
      </w:pPr>
      <w:r>
        <w:t xml:space="preserve">The </w:t>
      </w:r>
      <w:r>
        <w:rPr>
          <w:rStyle w:val="VerbatimChar"/>
        </w:rPr>
        <w:t>type</w:t>
      </w:r>
      <w:r>
        <w:t xml:space="preserve"> argument describes how to do the resampling. We will stick with using the bootstrap method for now.</w:t>
      </w:r>
    </w:p>
    <w:p w14:paraId="7BEB6739" w14:textId="77777777" w:rsidR="007A08ED" w:rsidRDefault="00000000">
      <w:pPr>
        <w:pStyle w:val="FirstParagraph"/>
      </w:pPr>
      <w:r>
        <w:t>Below is some generic code to generate 1,000 samples with replacement from our original data.</w:t>
      </w:r>
    </w:p>
    <w:p w14:paraId="10E3E1AF" w14:textId="77777777" w:rsidR="007A08ED" w:rsidRDefault="0000000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w:t>
      </w:r>
    </w:p>
    <w:p w14:paraId="56471FD5" w14:textId="77777777" w:rsidR="00DB6643" w:rsidRDefault="00DB6643">
      <w:pPr>
        <w:pStyle w:val="FirstParagraph"/>
      </w:pPr>
    </w:p>
    <w:p w14:paraId="1155A050" w14:textId="478BB90E" w:rsidR="007A08ED" w:rsidRDefault="00000000">
      <w:pPr>
        <w:pStyle w:val="FirstParagraph"/>
      </w:pPr>
      <w:r>
        <w:t xml:space="preserve">The output of this will be a data frame with 1,000 times as many rows as our original sample. It will contain all 1,000 of our new samples from the re-sampling process. A variable called </w:t>
      </w:r>
      <w:r>
        <w:rPr>
          <w:rStyle w:val="VerbatimChar"/>
        </w:rPr>
        <w:t>replicate</w:t>
      </w:r>
      <w:r>
        <w:t xml:space="preserve"> is added to the data frame to denote which rows belong to which sample.</w:t>
      </w:r>
    </w:p>
    <w:p w14:paraId="1CF3D736" w14:textId="77777777" w:rsidR="007A08ED" w:rsidRDefault="007A08ED">
      <w:pPr>
        <w:pStyle w:val="BodyText"/>
      </w:pPr>
    </w:p>
    <w:p w14:paraId="5193E44B" w14:textId="77777777" w:rsidR="007A08ED" w:rsidRPr="00DB6643" w:rsidRDefault="00000000">
      <w:pPr>
        <w:pStyle w:val="Compact"/>
        <w:numPr>
          <w:ilvl w:val="0"/>
          <w:numId w:val="7"/>
        </w:numPr>
        <w:rPr>
          <w:highlight w:val="yellow"/>
        </w:rPr>
      </w:pPr>
      <w:r w:rsidRPr="00DB6643">
        <w:rPr>
          <w:rStyle w:val="VerbatimChar"/>
          <w:highlight w:val="yellow"/>
        </w:rPr>
        <w:t>calculate()</w:t>
      </w:r>
    </w:p>
    <w:p w14:paraId="31A9FB7F" w14:textId="77777777" w:rsidR="007A08ED" w:rsidRDefault="00000000">
      <w:pPr>
        <w:pStyle w:val="FirstParagraph"/>
      </w:pPr>
      <w:r>
        <w:t xml:space="preserve">In this step, we will </w:t>
      </w:r>
      <w:r>
        <w:rPr>
          <w:b/>
          <w:bCs/>
        </w:rPr>
        <w:t>calculate</w:t>
      </w:r>
      <w:r>
        <w:t xml:space="preserve"> a summary statistic that we want to use to estimate our parameter of interest (e.g., a sample proportion or a difference between two sample means). This step completes our process of generating a bootstrap distribution based on our original sample. Our created object will now have 1000 rows (or whatever we entered for reps).</w:t>
      </w:r>
    </w:p>
    <w:p w14:paraId="61220057" w14:textId="77777777" w:rsidR="007A08ED"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p>
    <w:p w14:paraId="014B32C5" w14:textId="77777777" w:rsidR="00DB6643" w:rsidRDefault="00DB6643">
      <w:pPr>
        <w:pStyle w:val="FirstParagraph"/>
      </w:pPr>
    </w:p>
    <w:p w14:paraId="7073F533" w14:textId="019D0EBE" w:rsidR="007A08ED" w:rsidRDefault="00000000">
      <w:pPr>
        <w:pStyle w:val="FirstParagraph"/>
      </w:pPr>
      <w:r>
        <w:t xml:space="preserve">There are many statistics we can calculate using the </w:t>
      </w:r>
      <w:proofErr w:type="gramStart"/>
      <w:r>
        <w:rPr>
          <w:rStyle w:val="VerbatimChar"/>
        </w:rPr>
        <w:t>calculate(</w:t>
      </w:r>
      <w:proofErr w:type="gramEnd"/>
      <w:r>
        <w:rPr>
          <w:rStyle w:val="VerbatimChar"/>
        </w:rPr>
        <w:t>)</w:t>
      </w:r>
      <w:r>
        <w:t xml:space="preserve"> function. We will learn more in later sets of notes (or you can look at the help file for the </w:t>
      </w:r>
      <w:r>
        <w:rPr>
          <w:rStyle w:val="VerbatimChar"/>
        </w:rPr>
        <w:t>calculate()</w:t>
      </w:r>
      <w:r>
        <w:t xml:space="preserve"> function).</w:t>
      </w:r>
    </w:p>
    <w:p w14:paraId="2B929F70" w14:textId="77777777" w:rsidR="007A08ED" w:rsidRDefault="007A08ED">
      <w:pPr>
        <w:pStyle w:val="BodyText"/>
      </w:pPr>
    </w:p>
    <w:p w14:paraId="11C171D6" w14:textId="77777777" w:rsidR="00DB6643" w:rsidRDefault="00DB6643">
      <w:pPr>
        <w:pStyle w:val="BodyText"/>
      </w:pPr>
    </w:p>
    <w:p w14:paraId="32FB538B" w14:textId="77777777" w:rsidR="007A08ED" w:rsidRPr="00DB6643" w:rsidRDefault="00000000">
      <w:pPr>
        <w:pStyle w:val="Compact"/>
        <w:numPr>
          <w:ilvl w:val="0"/>
          <w:numId w:val="8"/>
        </w:numPr>
        <w:rPr>
          <w:highlight w:val="yellow"/>
        </w:rPr>
      </w:pPr>
      <w:r w:rsidRPr="00DB6643">
        <w:rPr>
          <w:rStyle w:val="VerbatimChar"/>
          <w:highlight w:val="yellow"/>
        </w:rPr>
        <w:lastRenderedPageBreak/>
        <w:t>visualize()</w:t>
      </w:r>
    </w:p>
    <w:p w14:paraId="6EC0DCC0" w14:textId="77777777" w:rsidR="007A08ED" w:rsidRDefault="00000000">
      <w:pPr>
        <w:pStyle w:val="FirstParagraph"/>
      </w:pPr>
      <w:r>
        <w:t xml:space="preserve">Once we have our bootstrap distribution of resamples we can </w:t>
      </w:r>
      <w:r>
        <w:rPr>
          <w:b/>
          <w:bCs/>
        </w:rPr>
        <w:t>visualize</w:t>
      </w:r>
      <w:r>
        <w:t xml:space="preserve"> the results in a histogram. This function takes the place of having to use </w:t>
      </w:r>
      <w:r>
        <w:rPr>
          <w:rStyle w:val="VerbatimChar"/>
        </w:rPr>
        <w:t>ggplot()</w:t>
      </w:r>
      <w:r>
        <w:t xml:space="preserve"> and </w:t>
      </w:r>
      <w:r>
        <w:rPr>
          <w:rStyle w:val="VerbatimChar"/>
        </w:rPr>
        <w:t>geom_histogram()</w:t>
      </w:r>
      <w:r>
        <w:t xml:space="preserve"> every time. The only thing we need to put into the function is the object containing our bootstrap distribution.</w:t>
      </w:r>
    </w:p>
    <w:p w14:paraId="77E1A91C" w14:textId="77777777" w:rsidR="007A08ED" w:rsidRDefault="00000000">
      <w:pPr>
        <w:pStyle w:val="SourceCode"/>
      </w:pPr>
      <w:r>
        <w:rPr>
          <w:rStyle w:val="FunctionTok"/>
        </w:rPr>
        <w:t>visualize</w:t>
      </w:r>
      <w:r>
        <w:rPr>
          <w:rStyle w:val="NormalTok"/>
        </w:rPr>
        <w:t>(bootstrap_dist)</w:t>
      </w:r>
    </w:p>
    <w:p w14:paraId="325DE391" w14:textId="77777777" w:rsidR="00DB6643" w:rsidRDefault="00DB6643">
      <w:pPr>
        <w:pStyle w:val="FirstParagraph"/>
      </w:pPr>
    </w:p>
    <w:p w14:paraId="27217EA6" w14:textId="4538E2B4" w:rsidR="007A08ED" w:rsidRDefault="00000000">
      <w:pPr>
        <w:pStyle w:val="FirstParagraph"/>
      </w:pPr>
      <w:r>
        <w:t xml:space="preserve">Later, when we’ve calculated confidence intervals, there are ways to add those to our graph if we’d like. The </w:t>
      </w:r>
      <w:r>
        <w:rPr>
          <w:rStyle w:val="VerbatimChar"/>
        </w:rPr>
        <w:t>visualize()</w:t>
      </w:r>
      <w:r>
        <w:t xml:space="preserve"> function has some similar arguments as </w:t>
      </w:r>
      <w:r>
        <w:rPr>
          <w:rStyle w:val="VerbatimChar"/>
        </w:rPr>
        <w:t>geom_histogram()</w:t>
      </w:r>
      <w:r>
        <w:t xml:space="preserve"> that we can alter (like </w:t>
      </w:r>
      <w:r>
        <w:rPr>
          <w:rStyle w:val="VerbatimChar"/>
        </w:rPr>
        <w:t>fill</w:t>
      </w:r>
      <w:r>
        <w:t xml:space="preserve"> and </w:t>
      </w:r>
      <w:r>
        <w:rPr>
          <w:rStyle w:val="VerbatimChar"/>
        </w:rPr>
        <w:t>color</w:t>
      </w:r>
      <w:r>
        <w:t xml:space="preserve">). We can also add other </w:t>
      </w:r>
      <w:r>
        <w:rPr>
          <w:rStyle w:val="VerbatimChar"/>
        </w:rPr>
        <w:t>ggplot2</w:t>
      </w:r>
      <w:r>
        <w:t xml:space="preserve"> geoms to the graph (like </w:t>
      </w:r>
      <w:r>
        <w:rPr>
          <w:rStyle w:val="VerbatimChar"/>
        </w:rPr>
        <w:t>labs()</w:t>
      </w:r>
      <w:r>
        <w:t xml:space="preserve">, </w:t>
      </w:r>
      <w:r>
        <w:rPr>
          <w:rStyle w:val="VerbatimChar"/>
        </w:rPr>
        <w:t>geom_vline()</w:t>
      </w:r>
      <w:r>
        <w:t>, or a theme) if we’d like to supplement our graph.</w:t>
      </w:r>
    </w:p>
    <w:p w14:paraId="4B047A4D" w14:textId="77777777" w:rsidR="007A08ED" w:rsidRDefault="00045F62">
      <w:r>
        <w:rPr>
          <w:noProof/>
        </w:rPr>
        <w:pict w14:anchorId="052B5DCD">
          <v:rect id="_x0000_i1028" alt="" style="width:468pt;height:.05pt;mso-width-percent:0;mso-height-percent:0;mso-width-percent:0;mso-height-percent:0" o:hralign="center" o:hrstd="t" o:hr="t"/>
        </w:pict>
      </w:r>
    </w:p>
    <w:p w14:paraId="05D4A734" w14:textId="77777777" w:rsidR="007A08ED" w:rsidRDefault="00000000">
      <w:pPr>
        <w:pStyle w:val="Heading1"/>
      </w:pPr>
      <w:bookmarkStart w:id="6" w:name="house-of-representatives-example"/>
      <w:bookmarkStart w:id="7" w:name="_Toc194609332"/>
      <w:bookmarkEnd w:id="4"/>
      <w:r>
        <w:t>House of Representatives Example</w:t>
      </w:r>
      <w:bookmarkEnd w:id="7"/>
    </w:p>
    <w:p w14:paraId="4A1F3774" w14:textId="77777777" w:rsidR="007A08ED" w:rsidRDefault="00000000">
      <w:pPr>
        <w:pStyle w:val="FirstParagraph"/>
      </w:pPr>
      <w:r>
        <w:t>Let’s test this out on our House of Representatives example from Notes 08. Below is code to read our population into R, to take a sample of 30 seats from the House of Representatives, and to view the party breakdown in our sample.</w:t>
      </w:r>
    </w:p>
    <w:p w14:paraId="2A9F3482" w14:textId="77777777" w:rsidR="007A08ED"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"https://raw.githubusercontent.com/nbussberg/STS2300-Spring2025/refs/heads/main/Data/house_of_reps.csv"</w:t>
      </w:r>
      <w:r>
        <w:rPr>
          <w:rStyle w:val="NormalTok"/>
        </w:rPr>
        <w:t>)</w:t>
      </w:r>
      <w:r>
        <w:br/>
      </w:r>
      <w:r>
        <w:br/>
      </w:r>
      <w:r>
        <w:rPr>
          <w:rStyle w:val="FunctionTok"/>
        </w:rPr>
        <w:t>set.seed</w:t>
      </w:r>
      <w:r>
        <w:rPr>
          <w:rStyle w:val="NormalTok"/>
        </w:rPr>
        <w:t>(</w:t>
      </w:r>
      <w:r>
        <w:rPr>
          <w:rStyle w:val="DecValTok"/>
        </w:rPr>
        <w:t>82720</w:t>
      </w:r>
      <w:r>
        <w:rPr>
          <w:rStyle w:val="NormalTok"/>
        </w:rPr>
        <w:t>)</w:t>
      </w:r>
      <w:r>
        <w:br/>
      </w:r>
      <w:r>
        <w:rPr>
          <w:rStyle w:val="NormalTok"/>
        </w:rPr>
        <w:t xml:space="preserve">mysamp </w:t>
      </w:r>
      <w:r>
        <w:rPr>
          <w:rStyle w:val="OtherTok"/>
        </w:rPr>
        <w:t>&lt;-</w:t>
      </w:r>
      <w:r>
        <w:rPr>
          <w:rStyle w:val="NormalTok"/>
        </w:rPr>
        <w:t xml:space="preserve"> </w:t>
      </w:r>
      <w:r>
        <w:rPr>
          <w:rStyle w:val="FunctionTok"/>
        </w:rPr>
        <w:t>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38AE3120" w14:textId="77777777" w:rsidR="007A08ED"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4E42034D" w14:textId="77777777" w:rsidR="00DB6643" w:rsidRDefault="00DB6643">
      <w:pPr>
        <w:pStyle w:val="FirstParagraph"/>
      </w:pPr>
    </w:p>
    <w:p w14:paraId="0D9F608F" w14:textId="56EFF2CA" w:rsidR="007A08ED" w:rsidRDefault="00000000">
      <w:pPr>
        <w:pStyle w:val="FirstParagraph"/>
      </w:pPr>
      <w:r>
        <w:t>Next let’s take our code from above. How can we customize this for our specific example?</w:t>
      </w:r>
    </w:p>
    <w:p w14:paraId="36480FD0" w14:textId="77777777" w:rsidR="007A08ED"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r>
        <w:br/>
      </w:r>
      <w:r>
        <w:rPr>
          <w:rStyle w:val="FunctionTok"/>
        </w:rPr>
        <w:t>visualize</w:t>
      </w:r>
      <w:r>
        <w:rPr>
          <w:rStyle w:val="NormalTok"/>
        </w:rPr>
        <w:t>(bootstrap_dist)</w:t>
      </w:r>
    </w:p>
    <w:p w14:paraId="7F493243" w14:textId="77777777" w:rsidR="00DB6643" w:rsidRDefault="00DB6643" w:rsidP="00DB6643">
      <w:pPr>
        <w:pStyle w:val="Compact"/>
        <w:ind w:left="720"/>
      </w:pPr>
    </w:p>
    <w:p w14:paraId="05936B71" w14:textId="55858B98" w:rsidR="007A08ED" w:rsidRDefault="00000000">
      <w:pPr>
        <w:pStyle w:val="Compact"/>
        <w:numPr>
          <w:ilvl w:val="0"/>
          <w:numId w:val="9"/>
        </w:numPr>
      </w:pPr>
      <w:r>
        <w:lastRenderedPageBreak/>
        <w:t xml:space="preserve">First, we might choose to rename </w:t>
      </w:r>
      <w:r>
        <w:rPr>
          <w:rStyle w:val="VerbatimChar"/>
        </w:rPr>
        <w:t>bootstrap_dist</w:t>
      </w:r>
      <w:r>
        <w:t xml:space="preserve"> to be more specific. We’ll need to replace </w:t>
      </w:r>
      <w:r>
        <w:rPr>
          <w:rStyle w:val="VerbatimChar"/>
        </w:rPr>
        <w:t>data</w:t>
      </w:r>
      <w:r>
        <w:t xml:space="preserve"> with the object containing our sample.</w:t>
      </w:r>
    </w:p>
    <w:p w14:paraId="038D8F78" w14:textId="77777777" w:rsidR="007A08ED" w:rsidRDefault="00000000">
      <w:pPr>
        <w:pStyle w:val="Compact"/>
        <w:numPr>
          <w:ilvl w:val="0"/>
          <w:numId w:val="9"/>
        </w:numPr>
      </w:pPr>
      <w:r>
        <w:t xml:space="preserve">In the </w:t>
      </w:r>
      <w:r>
        <w:rPr>
          <w:rStyle w:val="VerbatimChar"/>
        </w:rPr>
        <w:t>specify()</w:t>
      </w:r>
      <w:r>
        <w:t xml:space="preserve"> function:</w:t>
      </w:r>
    </w:p>
    <w:p w14:paraId="68C591A8" w14:textId="77777777" w:rsidR="007A08ED" w:rsidRDefault="00000000">
      <w:pPr>
        <w:pStyle w:val="Compact"/>
        <w:numPr>
          <w:ilvl w:val="1"/>
          <w:numId w:val="10"/>
        </w:numPr>
      </w:pPr>
      <w:r>
        <w:t xml:space="preserve">the variable we are interested in (our response) is </w:t>
      </w:r>
      <w:r>
        <w:rPr>
          <w:rStyle w:val="VerbatimChar"/>
        </w:rPr>
        <w:t>party</w:t>
      </w:r>
      <w:r>
        <w:t>.</w:t>
      </w:r>
    </w:p>
    <w:p w14:paraId="7E71DA88" w14:textId="77777777" w:rsidR="007A08ED" w:rsidRDefault="00000000">
      <w:pPr>
        <w:pStyle w:val="Compact"/>
        <w:numPr>
          <w:ilvl w:val="1"/>
          <w:numId w:val="10"/>
        </w:numPr>
      </w:pPr>
      <w:r>
        <w:t>We don’t have any other variables explaining someone’s party, so we replace explanatory with NULL.</w:t>
      </w:r>
    </w:p>
    <w:p w14:paraId="70D980F3" w14:textId="77777777" w:rsidR="007A08ED" w:rsidRDefault="00000000">
      <w:pPr>
        <w:pStyle w:val="Compact"/>
        <w:numPr>
          <w:ilvl w:val="1"/>
          <w:numId w:val="10"/>
        </w:numPr>
      </w:pPr>
      <w:r>
        <w:t xml:space="preserve">Since our response is categorical, we need to tell the function which category we are interested in by using the </w:t>
      </w:r>
      <w:r>
        <w:rPr>
          <w:rStyle w:val="VerbatimChar"/>
        </w:rPr>
        <w:t>success = "__"</w:t>
      </w:r>
      <w:r>
        <w:t xml:space="preserve"> argument. Here we can replace the blank with “Democratic”</w:t>
      </w:r>
    </w:p>
    <w:p w14:paraId="6334D9B2" w14:textId="77777777" w:rsidR="007A08ED" w:rsidRDefault="00000000">
      <w:pPr>
        <w:pStyle w:val="Compact"/>
        <w:numPr>
          <w:ilvl w:val="0"/>
          <w:numId w:val="9"/>
        </w:numPr>
      </w:pPr>
      <w:r>
        <w:t xml:space="preserve">We don’t need to change anything in the </w:t>
      </w:r>
      <w:r>
        <w:rPr>
          <w:rStyle w:val="VerbatimChar"/>
        </w:rPr>
        <w:t>generate()</w:t>
      </w:r>
      <w:r>
        <w:t xml:space="preserve"> function.</w:t>
      </w:r>
    </w:p>
    <w:p w14:paraId="7D905F65" w14:textId="77777777" w:rsidR="007A08ED" w:rsidRDefault="00000000">
      <w:pPr>
        <w:pStyle w:val="Compact"/>
        <w:numPr>
          <w:ilvl w:val="0"/>
          <w:numId w:val="9"/>
        </w:numPr>
      </w:pPr>
      <w:r>
        <w:t xml:space="preserve">In the </w:t>
      </w:r>
      <w:r>
        <w:rPr>
          <w:rStyle w:val="VerbatimChar"/>
        </w:rPr>
        <w:t>calculate()</w:t>
      </w:r>
      <w:r>
        <w:t xml:space="preserve"> function, we need to calculate a proportion, so we replace “ourstat” with “prop”.</w:t>
      </w:r>
    </w:p>
    <w:p w14:paraId="26A8AED0" w14:textId="77777777" w:rsidR="007A08ED" w:rsidRDefault="00000000">
      <w:pPr>
        <w:pStyle w:val="Compact"/>
        <w:numPr>
          <w:ilvl w:val="0"/>
          <w:numId w:val="9"/>
        </w:numPr>
      </w:pPr>
      <w:r>
        <w:t xml:space="preserve">If we changed the name of our object, we will put the new name inside the </w:t>
      </w:r>
      <w:r>
        <w:rPr>
          <w:rStyle w:val="VerbatimChar"/>
        </w:rPr>
        <w:t>visualize()</w:t>
      </w:r>
      <w:r>
        <w:t xml:space="preserve"> function.</w:t>
      </w:r>
    </w:p>
    <w:p w14:paraId="2A62E393" w14:textId="77777777" w:rsidR="00DB6643" w:rsidRDefault="00DB6643">
      <w:pPr>
        <w:pStyle w:val="FirstParagraph"/>
      </w:pPr>
    </w:p>
    <w:p w14:paraId="304724A0" w14:textId="5F8FCAC5" w:rsidR="007A08ED" w:rsidRDefault="00000000">
      <w:pPr>
        <w:pStyle w:val="FirstParagraph"/>
      </w:pPr>
      <w:r>
        <w:t>Once we do all of this, we should get something like this:</w:t>
      </w:r>
    </w:p>
    <w:p w14:paraId="3454D768" w14:textId="77777777" w:rsidR="007A08ED" w:rsidRDefault="00000000" w:rsidP="00DB6643">
      <w:pPr>
        <w:pStyle w:val="BodyText"/>
        <w:jc w:val="center"/>
      </w:pPr>
      <w:r>
        <w:rPr>
          <w:noProof/>
        </w:rPr>
        <w:drawing>
          <wp:inline distT="0" distB="0" distL="0" distR="0" wp14:anchorId="63150E5C" wp14:editId="2038D254">
            <wp:extent cx="3732551" cy="2986041"/>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sts2300-N09-infer-for-Confidence-Intervals_files/figure-docx/unnamed-chunk-8-1.png"/>
                    <pic:cNvPicPr>
                      <a:picLocks noChangeAspect="1" noChangeArrowheads="1"/>
                    </pic:cNvPicPr>
                  </pic:nvPicPr>
                  <pic:blipFill>
                    <a:blip r:embed="rId6"/>
                    <a:stretch>
                      <a:fillRect/>
                    </a:stretch>
                  </pic:blipFill>
                  <pic:spPr bwMode="auto">
                    <a:xfrm>
                      <a:off x="0" y="0"/>
                      <a:ext cx="3787986" cy="3030389"/>
                    </a:xfrm>
                    <a:prstGeom prst="rect">
                      <a:avLst/>
                    </a:prstGeom>
                    <a:noFill/>
                    <a:ln w="9525">
                      <a:noFill/>
                      <a:headEnd/>
                      <a:tailEnd/>
                    </a:ln>
                  </pic:spPr>
                </pic:pic>
              </a:graphicData>
            </a:graphic>
          </wp:inline>
        </w:drawing>
      </w:r>
    </w:p>
    <w:p w14:paraId="35D87CFC" w14:textId="77777777" w:rsidR="007A08ED" w:rsidRDefault="00000000">
      <w:pPr>
        <w:pStyle w:val="BodyText"/>
      </w:pPr>
      <w:r>
        <w:rPr>
          <w:b/>
          <w:bCs/>
        </w:rPr>
        <w:t>Note:</w:t>
      </w:r>
      <w:r>
        <w:t xml:space="preserve"> If your sample included some Vacant seats, </w:t>
      </w:r>
      <w:r w:rsidRPr="00DB6643">
        <w:rPr>
          <w:highlight w:val="yellow"/>
        </w:rPr>
        <w:t>you may have gotten an error telling you that we need to have only two categories for our response variable</w:t>
      </w:r>
      <w:r>
        <w:t xml:space="preserve">. We can get around this by using the </w:t>
      </w:r>
      <w:r>
        <w:rPr>
          <w:rStyle w:val="VerbatimChar"/>
        </w:rPr>
        <w:t>ifelse()</w:t>
      </w:r>
      <w:r>
        <w:t xml:space="preserve"> function to update the </w:t>
      </w:r>
      <w:r>
        <w:rPr>
          <w:rStyle w:val="VerbatimChar"/>
        </w:rPr>
        <w:t>party</w:t>
      </w:r>
      <w:r>
        <w:t xml:space="preserve"> variable to only consist of “Democratic” and “Not Democratic” categories. This function has three arguments:</w:t>
      </w:r>
    </w:p>
    <w:p w14:paraId="4D3F9EF8" w14:textId="77777777" w:rsidR="007A08ED" w:rsidRDefault="00000000">
      <w:pPr>
        <w:pStyle w:val="Compact"/>
        <w:numPr>
          <w:ilvl w:val="0"/>
          <w:numId w:val="11"/>
        </w:numPr>
      </w:pPr>
      <w:r>
        <w:t>a condition to check (whether party is equivalent to “Democratic”),</w:t>
      </w:r>
    </w:p>
    <w:p w14:paraId="1CC27E9E" w14:textId="77777777" w:rsidR="007A08ED" w:rsidRDefault="00000000">
      <w:pPr>
        <w:pStyle w:val="Compact"/>
        <w:numPr>
          <w:ilvl w:val="0"/>
          <w:numId w:val="11"/>
        </w:numPr>
      </w:pPr>
      <w:r>
        <w:t>what to do if the condition is true (assign “Democratic” as the value), and</w:t>
      </w:r>
    </w:p>
    <w:p w14:paraId="6C8023CD" w14:textId="77777777" w:rsidR="007A08ED" w:rsidRDefault="00000000">
      <w:pPr>
        <w:pStyle w:val="Compact"/>
        <w:numPr>
          <w:ilvl w:val="0"/>
          <w:numId w:val="11"/>
        </w:numPr>
      </w:pPr>
      <w:r>
        <w:t>what to do if the condition is false (assign “Not Democratic” as the value).</w:t>
      </w:r>
    </w:p>
    <w:p w14:paraId="0AEA565A" w14:textId="77777777" w:rsidR="007A08ED" w:rsidRDefault="00000000">
      <w:pPr>
        <w:pStyle w:val="FirstParagraph"/>
      </w:pPr>
      <w:r>
        <w:lastRenderedPageBreak/>
        <w:t>Below is an example:</w:t>
      </w:r>
    </w:p>
    <w:p w14:paraId="5AFF7D4E" w14:textId="77777777" w:rsidR="007A08ED" w:rsidRDefault="00000000">
      <w:pPr>
        <w:pStyle w:val="SourceCode"/>
      </w:pPr>
      <w:r>
        <w:rPr>
          <w:rStyle w:val="NormalTok"/>
        </w:rPr>
        <w:t xml:space="preserve">mysamp </w:t>
      </w:r>
      <w:r>
        <w:rPr>
          <w:rStyle w:val="OtherTok"/>
        </w:rPr>
        <w:t>&lt;-</w:t>
      </w:r>
      <w:r>
        <w:rPr>
          <w:rStyle w:val="NormalTok"/>
        </w:rPr>
        <w:t xml:space="preserve"> mysamp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party =</w:t>
      </w:r>
      <w:r>
        <w:rPr>
          <w:rStyle w:val="NormalTok"/>
        </w:rPr>
        <w:t xml:space="preserve"> </w:t>
      </w:r>
      <w:r>
        <w:rPr>
          <w:rStyle w:val="FunctionTok"/>
        </w:rPr>
        <w:t>ifelse</w:t>
      </w:r>
      <w:r>
        <w:rPr>
          <w:rStyle w:val="NormalTok"/>
        </w:rPr>
        <w:t xml:space="preserve">(party </w:t>
      </w:r>
      <w:r>
        <w:rPr>
          <w:rStyle w:val="SpecialCharTok"/>
        </w:rPr>
        <w:t>==</w:t>
      </w:r>
      <w:r>
        <w:rPr>
          <w:rStyle w:val="NormalTok"/>
        </w:rPr>
        <w:t xml:space="preserve"> </w:t>
      </w:r>
      <w:r>
        <w:rPr>
          <w:rStyle w:val="StringTok"/>
        </w:rPr>
        <w:t>"Democratic"</w:t>
      </w:r>
      <w:r>
        <w:rPr>
          <w:rStyle w:val="NormalTok"/>
        </w:rPr>
        <w:t xml:space="preserve">, </w:t>
      </w:r>
      <w:r>
        <w:rPr>
          <w:rStyle w:val="StringTok"/>
        </w:rPr>
        <w:t>"Democratic"</w:t>
      </w:r>
      <w:r>
        <w:rPr>
          <w:rStyle w:val="NormalTok"/>
        </w:rPr>
        <w:t xml:space="preserve">, </w:t>
      </w:r>
      <w:r>
        <w:rPr>
          <w:rStyle w:val="StringTok"/>
        </w:rPr>
        <w:t>"Not Democratic"</w:t>
      </w:r>
      <w:r>
        <w:rPr>
          <w:rStyle w:val="NormalTok"/>
        </w:rPr>
        <w:t>))</w:t>
      </w:r>
    </w:p>
    <w:p w14:paraId="235FEF8A" w14:textId="77777777" w:rsidR="00DB6643" w:rsidRDefault="00DB6643"/>
    <w:p w14:paraId="16770589" w14:textId="176BF342" w:rsidR="007A08ED" w:rsidRDefault="00045F62">
      <w:r>
        <w:rPr>
          <w:noProof/>
        </w:rPr>
        <w:pict w14:anchorId="330777AA">
          <v:rect id="_x0000_i1027" alt="" style="width:468pt;height:.05pt;mso-width-percent:0;mso-height-percent:0;mso-width-percent:0;mso-height-percent:0" o:hralign="center" o:hrstd="t" o:hr="t"/>
        </w:pict>
      </w:r>
    </w:p>
    <w:p w14:paraId="6F1C1755" w14:textId="77777777" w:rsidR="007A08ED" w:rsidRDefault="00000000">
      <w:pPr>
        <w:pStyle w:val="Heading1"/>
      </w:pPr>
      <w:bookmarkStart w:id="8" w:name="three-approaches-to-confidence-intervals"/>
      <w:bookmarkStart w:id="9" w:name="_Toc194609333"/>
      <w:bookmarkEnd w:id="6"/>
      <w:r>
        <w:t>Three approaches to confidence intervals</w:t>
      </w:r>
      <w:bookmarkEnd w:id="9"/>
    </w:p>
    <w:p w14:paraId="23B80B6C" w14:textId="77777777" w:rsidR="007A08ED" w:rsidRDefault="00000000">
      <w:pPr>
        <w:pStyle w:val="Heading2"/>
      </w:pPr>
      <w:bookmarkStart w:id="10" w:name="theory-based-approach"/>
      <w:bookmarkStart w:id="11" w:name="_Toc194609334"/>
      <w:r>
        <w:t>Theory-based approach</w:t>
      </w:r>
      <w:bookmarkEnd w:id="11"/>
    </w:p>
    <w:p w14:paraId="669AE54E" w14:textId="77777777" w:rsidR="007A08ED" w:rsidRDefault="00000000">
      <w:pPr>
        <w:pStyle w:val="FirstParagraph"/>
      </w:pPr>
      <w:r>
        <w:t>In previous statistics classes, you likely focused on theory-based methods for confidence intervals. These methods require certain assumptions for you to be able to say that the sampling distribution follows a well known theoretical distribution. Theory-based confidence intervals tend to have three pieces:</w:t>
      </w:r>
    </w:p>
    <w:p w14:paraId="63D96788" w14:textId="77777777" w:rsidR="00DB6643" w:rsidRPr="00DB6643" w:rsidRDefault="00DB6643" w:rsidP="00DB6643">
      <w:pPr>
        <w:pStyle w:val="BodyText"/>
      </w:pPr>
    </w:p>
    <w:p w14:paraId="5F5BCE94" w14:textId="77777777" w:rsidR="007A08ED" w:rsidRDefault="00000000">
      <w:pPr>
        <w:pStyle w:val="BodyText"/>
      </w:pPr>
      <m:oMathPara>
        <m:oMathParaPr>
          <m:jc m:val="center"/>
        </m:oMathParaPr>
        <m:oMath>
          <m:r>
            <m:rPr>
              <m:nor/>
            </m:rPr>
            <w:rPr>
              <w:color w:val="FF0000"/>
            </w:rPr>
            <m:t>Estimate</m:t>
          </m:r>
          <m:r>
            <m:rPr>
              <m:sty m:val="p"/>
            </m:rPr>
            <w:rPr>
              <w:rFonts w:ascii="Cambria Math" w:hAnsi="Cambria Math"/>
            </w:rPr>
            <m:t>±</m:t>
          </m:r>
          <m:r>
            <m:rPr>
              <m:nor/>
            </m:rPr>
            <w:rPr>
              <w:color w:val="0070C0"/>
            </w:rPr>
            <m:t>Critical Value</m:t>
          </m:r>
          <m:r>
            <m:rPr>
              <m:sty m:val="p"/>
            </m:rPr>
            <w:rPr>
              <w:rFonts w:ascii="Cambria Math" w:hAnsi="Cambria Math"/>
            </w:rPr>
            <m:t>*</m:t>
          </m:r>
          <m:r>
            <m:rPr>
              <m:nor/>
            </m:rPr>
            <w:rPr>
              <w:color w:val="A02B93" w:themeColor="accent5"/>
            </w:rPr>
            <m:t>Standard Error</m:t>
          </m:r>
        </m:oMath>
      </m:oMathPara>
    </w:p>
    <w:p w14:paraId="56982906" w14:textId="77777777" w:rsidR="00DB6643" w:rsidRDefault="00DB6643">
      <w:pPr>
        <w:pStyle w:val="FirstParagraph"/>
      </w:pPr>
    </w:p>
    <w:p w14:paraId="6010FD86" w14:textId="32753C54" w:rsidR="007A08ED" w:rsidRDefault="00000000">
      <w:pPr>
        <w:pStyle w:val="FirstParagraph"/>
      </w:pPr>
      <w:r>
        <w:t>For example, a theory-based 90% confidence interval for a population proportion would look like:</w:t>
      </w:r>
    </w:p>
    <w:p w14:paraId="06DADDE4" w14:textId="77777777" w:rsidR="007A08ED" w:rsidRDefault="00000000">
      <w:pPr>
        <w:pStyle w:val="BodyText"/>
      </w:pPr>
      <m:oMathPara>
        <m:oMathParaPr>
          <m:jc m:val="center"/>
        </m:oMathParaPr>
        <m:oMath>
          <m:acc>
            <m:accPr>
              <m:ctrlPr>
                <w:rPr>
                  <w:rFonts w:ascii="Cambria Math" w:hAnsi="Cambria Math"/>
                  <w:color w:val="FF0000"/>
                </w:rPr>
              </m:ctrlPr>
            </m:accPr>
            <m:e>
              <m:r>
                <w:rPr>
                  <w:rFonts w:ascii="Cambria Math" w:hAnsi="Cambria Math"/>
                  <w:color w:val="FF0000"/>
                </w:rPr>
                <m:t>p</m:t>
              </m:r>
            </m:e>
          </m:acc>
          <m:r>
            <m:rPr>
              <m:sty m:val="p"/>
            </m:rPr>
            <w:rPr>
              <w:rFonts w:ascii="Cambria Math" w:hAnsi="Cambria Math"/>
            </w:rPr>
            <m:t>±</m:t>
          </m:r>
          <m:sSubSup>
            <m:sSubSupPr>
              <m:ctrlPr>
                <w:rPr>
                  <w:rFonts w:ascii="Cambria Math" w:hAnsi="Cambria Math"/>
                  <w:color w:val="0070C0"/>
                </w:rPr>
              </m:ctrlPr>
            </m:sSubSupPr>
            <m:e>
              <m:r>
                <w:rPr>
                  <w:rFonts w:ascii="Cambria Math" w:hAnsi="Cambria Math"/>
                  <w:color w:val="0070C0"/>
                </w:rPr>
                <m:t>z</m:t>
              </m:r>
            </m:e>
            <m:sub>
              <m:r>
                <w:rPr>
                  <w:rFonts w:ascii="Cambria Math" w:hAnsi="Cambria Math"/>
                  <w:color w:val="0070C0"/>
                </w:rPr>
                <m:t>0.95</m:t>
              </m:r>
            </m:sub>
            <m:sup>
              <m:r>
                <m:rPr>
                  <m:sty m:val="p"/>
                </m:rPr>
                <w:rPr>
                  <w:rFonts w:ascii="Cambria Math" w:hAnsi="Cambria Math"/>
                  <w:color w:val="0070C0"/>
                </w:rPr>
                <m:t>*</m:t>
              </m:r>
            </m:sup>
          </m:sSubSup>
          <m:rad>
            <m:radPr>
              <m:degHide m:val="1"/>
              <m:ctrlPr>
                <w:rPr>
                  <w:rFonts w:ascii="Cambria Math" w:hAnsi="Cambria Math"/>
                  <w:color w:val="A02B93" w:themeColor="accent5"/>
                </w:rPr>
              </m:ctrlPr>
            </m:radPr>
            <m:deg/>
            <m:e>
              <m:f>
                <m:fPr>
                  <m:ctrlPr>
                    <w:rPr>
                      <w:rFonts w:ascii="Cambria Math" w:hAnsi="Cambria Math"/>
                      <w:color w:val="A02B93" w:themeColor="accent5"/>
                    </w:rPr>
                  </m:ctrlPr>
                </m:fPr>
                <m:num>
                  <m:acc>
                    <m:accPr>
                      <m:ctrlPr>
                        <w:rPr>
                          <w:rFonts w:ascii="Cambria Math" w:hAnsi="Cambria Math"/>
                          <w:color w:val="A02B93" w:themeColor="accent5"/>
                        </w:rPr>
                      </m:ctrlPr>
                    </m:accPr>
                    <m:e>
                      <m:r>
                        <w:rPr>
                          <w:rFonts w:ascii="Cambria Math" w:hAnsi="Cambria Math"/>
                          <w:color w:val="A02B93" w:themeColor="accent5"/>
                        </w:rPr>
                        <m:t>p</m:t>
                      </m:r>
                    </m:e>
                  </m:acc>
                  <m:d>
                    <m:dPr>
                      <m:ctrlPr>
                        <w:rPr>
                          <w:rFonts w:ascii="Cambria Math" w:hAnsi="Cambria Math"/>
                          <w:color w:val="A02B93" w:themeColor="accent5"/>
                        </w:rPr>
                      </m:ctrlPr>
                    </m:dPr>
                    <m:e>
                      <m:r>
                        <w:rPr>
                          <w:rFonts w:ascii="Cambria Math" w:hAnsi="Cambria Math"/>
                          <w:color w:val="A02B93" w:themeColor="accent5"/>
                        </w:rPr>
                        <m:t>1</m:t>
                      </m:r>
                      <m:r>
                        <m:rPr>
                          <m:sty m:val="p"/>
                        </m:rPr>
                        <w:rPr>
                          <w:rFonts w:ascii="Cambria Math" w:hAnsi="Cambria Math"/>
                          <w:color w:val="A02B93" w:themeColor="accent5"/>
                        </w:rPr>
                        <m:t>-</m:t>
                      </m:r>
                      <m:acc>
                        <m:accPr>
                          <m:ctrlPr>
                            <w:rPr>
                              <w:rFonts w:ascii="Cambria Math" w:hAnsi="Cambria Math"/>
                              <w:color w:val="A02B93" w:themeColor="accent5"/>
                            </w:rPr>
                          </m:ctrlPr>
                        </m:accPr>
                        <m:e>
                          <m:r>
                            <w:rPr>
                              <w:rFonts w:ascii="Cambria Math" w:hAnsi="Cambria Math"/>
                              <w:color w:val="A02B93" w:themeColor="accent5"/>
                            </w:rPr>
                            <m:t>p</m:t>
                          </m:r>
                        </m:e>
                      </m:acc>
                    </m:e>
                  </m:d>
                </m:num>
                <m:den>
                  <m:r>
                    <w:rPr>
                      <w:rFonts w:ascii="Cambria Math" w:hAnsi="Cambria Math"/>
                      <w:color w:val="A02B93" w:themeColor="accent5"/>
                    </w:rPr>
                    <m:t>n</m:t>
                  </m:r>
                </m:den>
              </m:f>
            </m:e>
          </m:rad>
        </m:oMath>
      </m:oMathPara>
    </w:p>
    <w:p w14:paraId="25AD24CB" w14:textId="77777777" w:rsidR="00DB6643" w:rsidRDefault="00DB6643">
      <w:pPr>
        <w:pStyle w:val="FirstParagraph"/>
      </w:pPr>
    </w:p>
    <w:p w14:paraId="157F3000" w14:textId="2665AD11" w:rsidR="007A08ED" w:rsidRDefault="00000000">
      <w:pPr>
        <w:pStyle w:val="FirstParagraph"/>
      </w:pPr>
      <w:r>
        <w:t xml:space="preserve">In these intervals, </w:t>
      </w:r>
      <w:r w:rsidRPr="00DB6643">
        <w:rPr>
          <w:color w:val="FF0000"/>
        </w:rPr>
        <w:t>the estimate is our best guess for the population proportion</w:t>
      </w:r>
      <w:r>
        <w:t xml:space="preserve">. </w:t>
      </w:r>
      <w:r w:rsidRPr="00DB6643">
        <w:rPr>
          <w:color w:val="0070C0"/>
        </w:rPr>
        <w:t>The critical value is based on how confident we want to be that our interval contains the true value of interest. The critical value comes from a theoretical sampling distribution.</w:t>
      </w:r>
      <w:r>
        <w:t xml:space="preserve"> Recall that the </w:t>
      </w:r>
      <w:r w:rsidRPr="00DB6643">
        <w:rPr>
          <w:color w:val="A02B93" w:themeColor="accent5"/>
        </w:rPr>
        <w:t>standard error is how much our estiamtes vary from sample to sample</w:t>
      </w:r>
      <w:r>
        <w:t>.</w:t>
      </w:r>
    </w:p>
    <w:p w14:paraId="4B611E01" w14:textId="77777777" w:rsidR="007A08ED" w:rsidRDefault="00000000">
      <w:pPr>
        <w:pStyle w:val="BodyText"/>
      </w:pPr>
      <w:r w:rsidRPr="00DB6643">
        <w:rPr>
          <w:highlight w:val="yellow"/>
        </w:rPr>
        <w:t>When the assumptions required for the theory-based interval above are true</w:t>
      </w:r>
      <w:r>
        <w:t xml:space="preserve">, the method works because our sample proportion will be within </w:t>
      </w:r>
      <m:oMath>
        <m:sSubSup>
          <m:sSubSupPr>
            <m:ctrlPr>
              <w:rPr>
                <w:rFonts w:ascii="Cambria Math" w:hAnsi="Cambria Math"/>
              </w:rPr>
            </m:ctrlPr>
          </m:sSubSupPr>
          <m:e>
            <m:r>
              <w:rPr>
                <w:rFonts w:ascii="Cambria Math" w:hAnsi="Cambria Math"/>
              </w:rPr>
              <m:t>z</m:t>
            </m:r>
          </m:e>
          <m:sub>
            <m:r>
              <w:rPr>
                <w:rFonts w:ascii="Cambria Math" w:hAnsi="Cambria Math"/>
              </w:rPr>
              <m:t>0.95</m:t>
            </m:r>
          </m:sub>
          <m:sup>
            <m:r>
              <m:rPr>
                <m:sty m:val="p"/>
              </m:rPr>
              <w:rPr>
                <w:rFonts w:ascii="Cambria Math" w:hAnsi="Cambria Math"/>
              </w:rPr>
              <m:t>*</m:t>
            </m:r>
          </m:sup>
        </m:sSubSup>
        <m:r>
          <m:rPr>
            <m:sty m:val="p"/>
          </m:rPr>
          <w:rPr>
            <w:rFonts w:ascii="Cambria Math" w:hAnsi="Cambria Math"/>
          </w:rPr>
          <m:t>=</m:t>
        </m:r>
        <m:r>
          <w:rPr>
            <w:rFonts w:ascii="Cambria Math" w:hAnsi="Cambria Math"/>
          </w:rPr>
          <m:t>1.645</m:t>
        </m:r>
      </m:oMath>
      <w:r>
        <w:t xml:space="preserve"> standard errors 90% of the time.</w:t>
      </w:r>
    </w:p>
    <w:p w14:paraId="67C8FA6E" w14:textId="77777777" w:rsidR="007A08ED" w:rsidRDefault="00000000">
      <w:pPr>
        <w:pStyle w:val="BodyText"/>
      </w:pPr>
      <w:r>
        <w:t>For my data above, my interval would look like:</w:t>
      </w:r>
    </w:p>
    <w:p w14:paraId="243C47A6" w14:textId="77777777" w:rsidR="007A08ED" w:rsidRDefault="00000000">
      <w:pPr>
        <w:pStyle w:val="SourceCode"/>
      </w:pPr>
      <w:r>
        <w:rPr>
          <w:rStyle w:val="NormalTok"/>
        </w:rPr>
        <w:t xml:space="preserve">phat </w:t>
      </w:r>
      <w:r>
        <w:rPr>
          <w:rStyle w:val="OtherTok"/>
        </w:rPr>
        <w:t>&lt;-</w:t>
      </w:r>
      <w:r>
        <w:rPr>
          <w:rStyle w:val="NormalTok"/>
        </w:rPr>
        <w:t xml:space="preserve"> </w:t>
      </w:r>
      <w:r>
        <w:rPr>
          <w:rStyle w:val="FunctionTok"/>
        </w:rPr>
        <w:t>mean</w:t>
      </w:r>
      <w:r>
        <w:rPr>
          <w:rStyle w:val="NormalTok"/>
        </w:rPr>
        <w:t>(mysamp</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rPr>
          <w:rStyle w:val="NormalTok"/>
        </w:rPr>
        <w:t>phat</w:t>
      </w:r>
    </w:p>
    <w:p w14:paraId="37955E2F" w14:textId="77777777" w:rsidR="007A08ED" w:rsidRDefault="00000000">
      <w:pPr>
        <w:pStyle w:val="SourceCode"/>
      </w:pPr>
      <w:r>
        <w:rPr>
          <w:rStyle w:val="VerbatimChar"/>
        </w:rPr>
        <w:t>## [1] 0.5666667</w:t>
      </w:r>
    </w:p>
    <w:p w14:paraId="784AF15C" w14:textId="77777777" w:rsidR="007A08ED" w:rsidRDefault="00000000">
      <w:pPr>
        <w:pStyle w:val="SourceCode"/>
      </w:pPr>
      <w:r>
        <w:rPr>
          <w:rStyle w:val="NormalTok"/>
        </w:rPr>
        <w:lastRenderedPageBreak/>
        <w:t xml:space="preserve">ci_theory </w:t>
      </w:r>
      <w:r>
        <w:rPr>
          <w:rStyle w:val="OtherTok"/>
        </w:rPr>
        <w:t>&lt;-</w:t>
      </w:r>
      <w:r>
        <w:rPr>
          <w:rStyle w:val="NormalTok"/>
        </w:rPr>
        <w:t xml:space="preserve"> </w:t>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 xml:space="preserve">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ci_theory</w:t>
      </w:r>
    </w:p>
    <w:p w14:paraId="6E1A50C7" w14:textId="77777777" w:rsidR="007A08ED" w:rsidRDefault="00000000">
      <w:pPr>
        <w:pStyle w:val="SourceCode"/>
      </w:pPr>
      <w:r>
        <w:rPr>
          <w:rStyle w:val="VerbatimChar"/>
        </w:rPr>
        <w:t>## [1] 0.4178402 0.7154931</w:t>
      </w:r>
    </w:p>
    <w:p w14:paraId="03255C18" w14:textId="77777777" w:rsidR="00DB6643" w:rsidRDefault="00DB6643">
      <w:pPr>
        <w:pStyle w:val="FirstParagraph"/>
      </w:pPr>
    </w:p>
    <w:p w14:paraId="0299D3F7" w14:textId="1CA1B83A" w:rsidR="007A08ED" w:rsidRDefault="00000000">
      <w:pPr>
        <w:pStyle w:val="FirstParagraph"/>
      </w:pPr>
      <w:r>
        <w:t>We will learn later how to calculate theory-based intervals using various R functions.</w:t>
      </w:r>
    </w:p>
    <w:p w14:paraId="0E8BB7A4" w14:textId="77777777" w:rsidR="00DB6643" w:rsidRPr="00DB6643" w:rsidRDefault="00DB6643" w:rsidP="00DB6643">
      <w:pPr>
        <w:pStyle w:val="BodyText"/>
      </w:pPr>
    </w:p>
    <w:p w14:paraId="62654CF9" w14:textId="77777777" w:rsidR="007A08ED" w:rsidRDefault="00000000">
      <w:pPr>
        <w:pStyle w:val="Heading2"/>
      </w:pPr>
      <w:bookmarkStart w:id="12" w:name="the-standard-error-method"/>
      <w:bookmarkStart w:id="13" w:name="_Toc194609335"/>
      <w:bookmarkEnd w:id="10"/>
      <w:r>
        <w:t>The Standard Error Method</w:t>
      </w:r>
      <w:bookmarkEnd w:id="13"/>
    </w:p>
    <w:p w14:paraId="6346C6AC" w14:textId="77777777" w:rsidR="007A08ED" w:rsidRDefault="00000000">
      <w:pPr>
        <w:pStyle w:val="FirstParagraph"/>
      </w:pPr>
      <w:r>
        <w:t xml:space="preserve">Remember from our previous notes that the bootstrap distribution is like our best guess at the sampling distribution. An alternative approach to creating a confience interval is to use our bootstrap distribution to approximate the standard error in the equation above. Essentially we are just replacing </w:t>
      </w:r>
      <m:oMath>
        <m:rad>
          <m:radPr>
            <m:degHide m:val="1"/>
            <m:ctrlPr>
              <w:rPr>
                <w:rFonts w:ascii="Cambria Math" w:hAnsi="Cambria Math"/>
              </w:rPr>
            </m:ctrlPr>
          </m:radPr>
          <m:deg/>
          <m:e>
            <m:f>
              <m:fPr>
                <m:ctrlPr>
                  <w:rPr>
                    <w:rFonts w:ascii="Cambria Math" w:hAnsi="Cambria Math"/>
                  </w:rPr>
                </m:ctrlPr>
              </m:fPr>
              <m:num>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e>
                </m:d>
              </m:num>
              <m:den>
                <m:r>
                  <w:rPr>
                    <w:rFonts w:ascii="Cambria Math" w:hAnsi="Cambria Math"/>
                  </w:rPr>
                  <m:t>n</m:t>
                </m:r>
              </m:den>
            </m:f>
          </m:e>
        </m:rad>
      </m:oMath>
      <w:r>
        <w:t xml:space="preserve"> with the standard deviation of our bootstrap distribution.</w:t>
      </w:r>
    </w:p>
    <w:p w14:paraId="2D4099A4" w14:textId="77777777" w:rsidR="007A08ED" w:rsidRDefault="00000000">
      <w:pPr>
        <w:pStyle w:val="BodyText"/>
      </w:pPr>
      <w:r w:rsidRPr="00DB6643">
        <w:rPr>
          <w:b/>
          <w:bCs/>
          <w:highlight w:val="yellow"/>
        </w:rPr>
        <w:t>Note</w:t>
      </w:r>
      <w:r w:rsidRPr="00DB6643">
        <w:rPr>
          <w:highlight w:val="yellow"/>
        </w:rPr>
        <w:t>: This method should only be used if our bootstrap distribution is bell-shaped since we are using a critical value from a standard normal distribution.</w:t>
      </w:r>
    </w:p>
    <w:p w14:paraId="1E07E132" w14:textId="77777777" w:rsidR="00DB6643" w:rsidRDefault="00DB6643">
      <w:pPr>
        <w:pStyle w:val="BodyText"/>
      </w:pPr>
    </w:p>
    <w:p w14:paraId="2252E44C" w14:textId="2110D6A9" w:rsidR="007A08ED" w:rsidRDefault="00000000">
      <w:pPr>
        <w:pStyle w:val="BodyText"/>
      </w:pPr>
      <w:r>
        <w:t>For my data above, my interval would look like:</w:t>
      </w:r>
    </w:p>
    <w:p w14:paraId="610D0888" w14:textId="77777777" w:rsidR="007A08ED" w:rsidRDefault="00000000">
      <w:pPr>
        <w:pStyle w:val="SourceCode"/>
      </w:pPr>
      <w:r>
        <w:rPr>
          <w:rStyle w:val="NormalTok"/>
        </w:rPr>
        <w:t xml:space="preserve">boot_sd </w:t>
      </w:r>
      <w:r>
        <w:rPr>
          <w:rStyle w:val="OtherTok"/>
        </w:rPr>
        <w:t>&lt;-</w:t>
      </w:r>
      <w:r>
        <w:rPr>
          <w:rStyle w:val="NormalTok"/>
        </w:rPr>
        <w:t xml:space="preserve"> </w:t>
      </w:r>
      <w:r>
        <w:rPr>
          <w:rStyle w:val="FunctionTok"/>
        </w:rPr>
        <w:t>sd</w:t>
      </w:r>
      <w:r>
        <w:rPr>
          <w:rStyle w:val="NormalTok"/>
        </w:rPr>
        <w:t>(HOR_boot</w:t>
      </w:r>
      <w:r>
        <w:rPr>
          <w:rStyle w:val="SpecialCharTok"/>
        </w:rPr>
        <w:t>$</w:t>
      </w:r>
      <w:r>
        <w:rPr>
          <w:rStyle w:val="NormalTok"/>
        </w:rPr>
        <w:t>stat)</w:t>
      </w:r>
      <w:r>
        <w:br/>
      </w:r>
      <w:r>
        <w:br/>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w:t>
      </w:r>
    </w:p>
    <w:p w14:paraId="4C0D29D7" w14:textId="77777777" w:rsidR="007A08ED" w:rsidRDefault="00000000">
      <w:pPr>
        <w:pStyle w:val="SourceCode"/>
      </w:pPr>
      <w:r>
        <w:rPr>
          <w:rStyle w:val="VerbatimChar"/>
        </w:rPr>
        <w:t>## [1] 0.4160464 0.7172870</w:t>
      </w:r>
    </w:p>
    <w:p w14:paraId="37A01DA3" w14:textId="77777777" w:rsidR="00DB6643" w:rsidRDefault="00DB6643">
      <w:pPr>
        <w:pStyle w:val="FirstParagraph"/>
      </w:pPr>
    </w:p>
    <w:p w14:paraId="300AEE2E" w14:textId="2F56FFCD" w:rsidR="007A08ED" w:rsidRDefault="00000000">
      <w:pPr>
        <w:pStyle w:val="FirstParagraph"/>
      </w:pPr>
      <w:r>
        <w:t xml:space="preserve">We can use the </w:t>
      </w:r>
      <w:proofErr w:type="spellStart"/>
      <w:r>
        <w:rPr>
          <w:rStyle w:val="VerbatimChar"/>
        </w:rPr>
        <w:t>get_</w:t>
      </w:r>
      <w:proofErr w:type="gramStart"/>
      <w:r>
        <w:rPr>
          <w:rStyle w:val="VerbatimChar"/>
        </w:rPr>
        <w:t>ci</w:t>
      </w:r>
      <w:proofErr w:type="spellEnd"/>
      <w:r>
        <w:rPr>
          <w:rStyle w:val="VerbatimChar"/>
        </w:rPr>
        <w:t>(</w:t>
      </w:r>
      <w:proofErr w:type="gramEnd"/>
      <w:r>
        <w:rPr>
          <w:rStyle w:val="VerbatimChar"/>
        </w:rPr>
        <w:t>)</w:t>
      </w:r>
      <w:r>
        <w:t xml:space="preserve"> function from the </w:t>
      </w:r>
      <w:r>
        <w:rPr>
          <w:rStyle w:val="VerbatimChar"/>
        </w:rPr>
        <w:t>infer</w:t>
      </w:r>
      <w:r>
        <w:t xml:space="preserve"> package to do this calculation for us. We need to input our bootstrap distribution and specify </w:t>
      </w:r>
      <w:r>
        <w:rPr>
          <w:rStyle w:val="VerbatimChar"/>
        </w:rPr>
        <w:t>level</w:t>
      </w:r>
      <w:r>
        <w:t xml:space="preserve">, </w:t>
      </w:r>
      <w:r>
        <w:rPr>
          <w:rStyle w:val="VerbatimChar"/>
        </w:rPr>
        <w:t>type</w:t>
      </w:r>
      <w:r>
        <w:t xml:space="preserve">, and </w:t>
      </w:r>
      <w:r>
        <w:rPr>
          <w:rStyle w:val="VerbatimChar"/>
        </w:rPr>
        <w:t>point_estimate</w:t>
      </w:r>
      <w:r>
        <w:t xml:space="preserve"> arguments. The </w:t>
      </w:r>
      <w:r>
        <w:rPr>
          <w:rStyle w:val="VerbatimChar"/>
        </w:rPr>
        <w:t>level</w:t>
      </w:r>
      <w:r>
        <w:t xml:space="preserve"> argument will be how confident we want to be (e.g. 0.95 for 95%), the </w:t>
      </w:r>
      <w:r>
        <w:rPr>
          <w:rStyle w:val="VerbatimChar"/>
        </w:rPr>
        <w:t>type</w:t>
      </w:r>
      <w:r>
        <w:t xml:space="preserve"> would be “se”, and the </w:t>
      </w:r>
      <w:r>
        <w:rPr>
          <w:rStyle w:val="VerbatimChar"/>
        </w:rPr>
        <w:t>point_estimate</w:t>
      </w:r>
      <w:r>
        <w:t xml:space="preserve"> is our sample proportion.</w:t>
      </w:r>
    </w:p>
    <w:p w14:paraId="2E6022B8" w14:textId="77777777" w:rsidR="007A08ED" w:rsidRDefault="00000000">
      <w:pPr>
        <w:pStyle w:val="SourceCode"/>
      </w:pPr>
      <w:r>
        <w:rPr>
          <w:rStyle w:val="NormalTok"/>
        </w:rPr>
        <w:t xml:space="preserve">ci_se </w:t>
      </w:r>
      <w:r>
        <w:rPr>
          <w:rStyle w:val="OtherTok"/>
        </w:rPr>
        <w:t>&lt;-</w:t>
      </w:r>
      <w:r>
        <w:rPr>
          <w:rStyle w:val="NormalTok"/>
        </w:rPr>
        <w:t xml:space="preserve"> HOR_boot </w:t>
      </w:r>
      <w:r>
        <w:rPr>
          <w:rStyle w:val="SpecialCharTok"/>
        </w:rPr>
        <w:t>|&gt;</w:t>
      </w:r>
      <w:r>
        <w:rPr>
          <w:rStyle w:val="NormalTok"/>
        </w:rPr>
        <w:t xml:space="preserve"> </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"se"</w:t>
      </w:r>
      <w:r>
        <w:rPr>
          <w:rStyle w:val="NormalTok"/>
        </w:rPr>
        <w:t xml:space="preserve">, </w:t>
      </w:r>
      <w:r>
        <w:rPr>
          <w:rStyle w:val="AttributeTok"/>
        </w:rPr>
        <w:t>point_estimate =</w:t>
      </w:r>
      <w:r>
        <w:rPr>
          <w:rStyle w:val="NormalTok"/>
        </w:rPr>
        <w:t xml:space="preserve"> phat)</w:t>
      </w:r>
      <w:r>
        <w:br/>
      </w:r>
      <w:r>
        <w:rPr>
          <w:rStyle w:val="NormalTok"/>
        </w:rPr>
        <w:t>ci_se</w:t>
      </w:r>
    </w:p>
    <w:p w14:paraId="3920B5AD" w14:textId="77777777" w:rsidR="007A08ED"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0.416    0.717</w:t>
      </w:r>
    </w:p>
    <w:p w14:paraId="36E6769B" w14:textId="77777777" w:rsidR="007A08ED" w:rsidRDefault="00000000">
      <w:pPr>
        <w:pStyle w:val="FirstParagraph"/>
      </w:pPr>
      <w:r>
        <w:lastRenderedPageBreak/>
        <w:t xml:space="preserve">Notice that I get </w:t>
      </w:r>
      <w:r>
        <w:rPr>
          <w:b/>
          <w:bCs/>
        </w:rPr>
        <w:t>very</w:t>
      </w:r>
      <w:r>
        <w:t xml:space="preserve"> similar endpoints to the theory-based method. This is because both methods are essentially doing the same thing. The only difference is how they estimate the standard error for the sampling distribution.</w:t>
      </w:r>
    </w:p>
    <w:p w14:paraId="23092C6A" w14:textId="77777777" w:rsidR="00DB6643" w:rsidRPr="00DB6643" w:rsidRDefault="00DB6643" w:rsidP="00DB6643">
      <w:pPr>
        <w:pStyle w:val="BodyText"/>
      </w:pPr>
    </w:p>
    <w:p w14:paraId="4260DA19" w14:textId="77777777" w:rsidR="007A08ED" w:rsidRDefault="00000000">
      <w:pPr>
        <w:pStyle w:val="Heading2"/>
      </w:pPr>
      <w:bookmarkStart w:id="14" w:name="the-percentile-method"/>
      <w:bookmarkStart w:id="15" w:name="_Toc194609336"/>
      <w:bookmarkEnd w:id="12"/>
      <w:r>
        <w:t>The percentile method</w:t>
      </w:r>
      <w:bookmarkEnd w:id="15"/>
    </w:p>
    <w:p w14:paraId="189BB6FE" w14:textId="77777777" w:rsidR="007A08ED" w:rsidRDefault="00000000">
      <w:pPr>
        <w:pStyle w:val="FirstParagraph"/>
      </w:pPr>
      <w:r>
        <w:t xml:space="preserve">A third approach to creating confidence intervals is using our bootstrap distribution along with something called the percentile method. This has the added bonus that it can be used when the bootstrap distribution is not normally distributed. To use this method, we select the middle __% of our distribution as our confidence interval. Again, this can be done with the </w:t>
      </w:r>
      <w:r>
        <w:rPr>
          <w:rStyle w:val="VerbatimChar"/>
        </w:rPr>
        <w:t>get_ci()</w:t>
      </w:r>
      <w:r>
        <w:t xml:space="preserve"> function by specifying </w:t>
      </w:r>
      <w:r>
        <w:rPr>
          <w:rStyle w:val="VerbatimChar"/>
        </w:rPr>
        <w:t>type = "percentile"</w:t>
      </w:r>
      <w:r>
        <w:t>. When using this method, we do not need to specify a point estimate because we aren’t using a formula like we are for the two previous methods. This method also has the advantage of being applicable in some cases where unmet assumptions might prevent us from using a different method.</w:t>
      </w:r>
    </w:p>
    <w:p w14:paraId="28C7F3CF" w14:textId="77777777" w:rsidR="007A08ED" w:rsidRDefault="00000000">
      <w:pPr>
        <w:pStyle w:val="SourceCode"/>
      </w:pPr>
      <w:r>
        <w:rPr>
          <w:rStyle w:val="NormalTok"/>
        </w:rPr>
        <w:t xml:space="preserve">ci_perc </w:t>
      </w:r>
      <w:r>
        <w:rPr>
          <w:rStyle w:val="OtherTok"/>
        </w:rPr>
        <w:t>&lt;-</w:t>
      </w:r>
      <w:r>
        <w:rPr>
          <w:rStyle w:val="NormalTok"/>
        </w:rPr>
        <w:t xml:space="preserve"> HOR_boot </w:t>
      </w:r>
      <w:r>
        <w:rPr>
          <w:rStyle w:val="SpecialCharTok"/>
        </w:rPr>
        <w:t>|&gt;</w:t>
      </w:r>
      <w:r>
        <w:rPr>
          <w:rStyle w:val="NormalTok"/>
        </w:rPr>
        <w:t xml:space="preserve"> </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"percentile"</w:t>
      </w:r>
      <w:r>
        <w:rPr>
          <w:rStyle w:val="NormalTok"/>
        </w:rPr>
        <w:t>)</w:t>
      </w:r>
      <w:r>
        <w:br/>
      </w:r>
      <w:r>
        <w:rPr>
          <w:rStyle w:val="NormalTok"/>
        </w:rPr>
        <w:t>ci_perc</w:t>
      </w:r>
    </w:p>
    <w:p w14:paraId="19E11542" w14:textId="77777777" w:rsidR="007A08ED"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0.432      0.7</w:t>
      </w:r>
    </w:p>
    <w:p w14:paraId="4E2E848C" w14:textId="77777777" w:rsidR="00DB6643" w:rsidRDefault="00DB6643">
      <w:pPr>
        <w:pStyle w:val="FirstParagraph"/>
      </w:pPr>
    </w:p>
    <w:p w14:paraId="6AF93C45" w14:textId="31F990A3" w:rsidR="007A08ED" w:rsidRDefault="00000000">
      <w:pPr>
        <w:pStyle w:val="FirstParagraph"/>
      </w:pPr>
      <w:r>
        <w:t xml:space="preserve">Once again, I get </w:t>
      </w:r>
      <w:proofErr w:type="gramStart"/>
      <w:r>
        <w:t>pretty similar</w:t>
      </w:r>
      <w:proofErr w:type="gramEnd"/>
      <w:r>
        <w:t xml:space="preserve"> answers.</w:t>
      </w:r>
    </w:p>
    <w:p w14:paraId="06B476FD" w14:textId="77777777" w:rsidR="00DB6643" w:rsidRPr="00DB6643" w:rsidRDefault="00DB6643" w:rsidP="00DB6643">
      <w:pPr>
        <w:pStyle w:val="BodyText"/>
      </w:pPr>
    </w:p>
    <w:p w14:paraId="768A2537" w14:textId="77777777" w:rsidR="007A08ED" w:rsidRDefault="00000000">
      <w:pPr>
        <w:pStyle w:val="Heading2"/>
      </w:pPr>
      <w:bookmarkStart w:id="16" w:name="comparing-the-methods"/>
      <w:bookmarkStart w:id="17" w:name="_Toc194609337"/>
      <w:bookmarkEnd w:id="14"/>
      <w:r>
        <w:t>Comparing the methods</w:t>
      </w:r>
      <w:bookmarkEnd w:id="17"/>
    </w:p>
    <w:p w14:paraId="2CC29C74" w14:textId="77777777" w:rsidR="007A08ED" w:rsidRDefault="00000000">
      <w:pPr>
        <w:pStyle w:val="FirstParagraph"/>
      </w:pPr>
      <w:r>
        <w:t>Putting this all together, we can see that in this case all three of our intervals were pretty similar.</w:t>
      </w:r>
    </w:p>
    <w:p w14:paraId="40F8D027" w14:textId="77777777" w:rsidR="007A08ED" w:rsidRDefault="00000000">
      <w:pPr>
        <w:pStyle w:val="SourceCode"/>
      </w:pPr>
      <w:r>
        <w:rPr>
          <w:rStyle w:val="VerbatimChar"/>
        </w:rPr>
        <w:t>##           method lower_ci upper_ci</w:t>
      </w:r>
      <w:r>
        <w:br/>
      </w:r>
      <w:r>
        <w:rPr>
          <w:rStyle w:val="VerbatimChar"/>
        </w:rPr>
        <w:t>## 1   Theory-based    0.418    0.715</w:t>
      </w:r>
      <w:r>
        <w:br/>
      </w:r>
      <w:r>
        <w:rPr>
          <w:rStyle w:val="VerbatimChar"/>
        </w:rPr>
        <w:t>## 2 Standard Error    0.416    0.717</w:t>
      </w:r>
      <w:r>
        <w:br/>
      </w:r>
      <w:r>
        <w:rPr>
          <w:rStyle w:val="VerbatimChar"/>
        </w:rPr>
        <w:t>## 3     Percentile    0.432    0.700</w:t>
      </w:r>
    </w:p>
    <w:p w14:paraId="0A5BC277" w14:textId="77777777" w:rsidR="00DB6643" w:rsidRDefault="00DB6643">
      <w:pPr>
        <w:pStyle w:val="FirstParagraph"/>
      </w:pPr>
    </w:p>
    <w:p w14:paraId="245642FC" w14:textId="54458713" w:rsidR="007A08ED" w:rsidRDefault="00000000">
      <w:pPr>
        <w:pStyle w:val="FirstParagraph"/>
      </w:pPr>
      <w:r>
        <w:t>The theory-based and standard error methods will always be centered on our estimate of our parameter (e.g., sample proportion). These two methods both come up with estimates for the standard error based on our sample (either using a formula or using our bootstrap distribution).</w:t>
      </w:r>
    </w:p>
    <w:p w14:paraId="1C5476B8" w14:textId="77777777" w:rsidR="007A08ED" w:rsidRDefault="00000000">
      <w:pPr>
        <w:pStyle w:val="BodyText"/>
      </w:pPr>
      <w:r>
        <w:lastRenderedPageBreak/>
        <w:t>The percentile method, like the standard error method, uses our bootstrap distribution to guess how far statistics are likely to be from the true parameter, but it uses percentiles instead of the standard deviation of the bootstrap distribution to create the interval.</w:t>
      </w:r>
    </w:p>
    <w:p w14:paraId="1D07DC2B" w14:textId="77777777" w:rsidR="00DB6643" w:rsidRDefault="00DB6643">
      <w:pPr>
        <w:pStyle w:val="BodyText"/>
      </w:pPr>
    </w:p>
    <w:p w14:paraId="6F5B3B05" w14:textId="77777777" w:rsidR="007A08ED" w:rsidRDefault="00045F62">
      <w:r>
        <w:rPr>
          <w:noProof/>
        </w:rPr>
        <w:pict w14:anchorId="04B799A8">
          <v:rect id="_x0000_i1026" alt="" style="width:468pt;height:.05pt;mso-width-percent:0;mso-height-percent:0;mso-width-percent:0;mso-height-percent:0" o:hralign="center" o:hrstd="t" o:hr="t"/>
        </w:pict>
      </w:r>
    </w:p>
    <w:p w14:paraId="19F42847" w14:textId="77777777" w:rsidR="007A08ED" w:rsidRDefault="00000000">
      <w:pPr>
        <w:pStyle w:val="Heading1"/>
      </w:pPr>
      <w:bookmarkStart w:id="18" w:name="graphing-confidence-intervals"/>
      <w:bookmarkStart w:id="19" w:name="_Toc194609338"/>
      <w:bookmarkEnd w:id="8"/>
      <w:bookmarkEnd w:id="16"/>
      <w:r>
        <w:t>Graphing confidence intervals</w:t>
      </w:r>
      <w:bookmarkEnd w:id="19"/>
    </w:p>
    <w:p w14:paraId="46B9F034" w14:textId="77777777" w:rsidR="007A08ED" w:rsidRDefault="00000000">
      <w:pPr>
        <w:pStyle w:val="FirstParagraph"/>
      </w:pPr>
      <w:r>
        <w:t xml:space="preserve">If you use either the standard error or percentile method, you can add the interval to your bootstrap distribution graph by adding a </w:t>
      </w:r>
      <w:r>
        <w:rPr>
          <w:rStyle w:val="VerbatimChar"/>
        </w:rPr>
        <w:t>shade_ci()</w:t>
      </w:r>
      <w:r>
        <w:t xml:space="preserve"> function to your </w:t>
      </w:r>
      <w:r>
        <w:rPr>
          <w:rStyle w:val="VerbatimChar"/>
        </w:rPr>
        <w:t>visualize()</w:t>
      </w:r>
      <w:r>
        <w:t xml:space="preserve"> function. For example:</w:t>
      </w:r>
    </w:p>
    <w:p w14:paraId="6640CE82" w14:textId="77777777" w:rsidR="007A08ED" w:rsidRDefault="00000000">
      <w:pPr>
        <w:pStyle w:val="SourceCode"/>
      </w:pPr>
      <w:r>
        <w:rPr>
          <w:rStyle w:val="FunctionTok"/>
        </w:rPr>
        <w:t>library</w:t>
      </w:r>
      <w:r>
        <w:rPr>
          <w:rStyle w:val="NormalTok"/>
        </w:rPr>
        <w:t>(patchwork)</w:t>
      </w:r>
    </w:p>
    <w:p w14:paraId="5F3F4657" w14:textId="77777777" w:rsidR="007A08ED" w:rsidRDefault="00000000">
      <w:pPr>
        <w:pStyle w:val="SourceCode"/>
      </w:pPr>
      <w:r>
        <w:rPr>
          <w:rStyle w:val="VerbatimChar"/>
        </w:rPr>
        <w:t>## Warning: package 'patchwork' was built under R version 4.3.3</w:t>
      </w:r>
    </w:p>
    <w:p w14:paraId="197A4DC7" w14:textId="77777777" w:rsidR="007A08ED" w:rsidRDefault="00000000">
      <w:pPr>
        <w:pStyle w:val="SourceCode"/>
      </w:pPr>
      <w:r>
        <w:rPr>
          <w:rStyle w:val="NormalTok"/>
        </w:rPr>
        <w:t xml:space="preserve">se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(ci_se)</w:t>
      </w:r>
      <w:r>
        <w:br/>
      </w:r>
      <w:r>
        <w:rPr>
          <w:rStyle w:val="NormalTok"/>
        </w:rPr>
        <w:t xml:space="preserve">perc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 xml:space="preserve">(ci_perc, </w:t>
      </w:r>
      <w:r>
        <w:rPr>
          <w:rStyle w:val="AttributeTok"/>
        </w:rPr>
        <w:t>fill =</w:t>
      </w:r>
      <w:r>
        <w:rPr>
          <w:rStyle w:val="NormalTok"/>
        </w:rPr>
        <w:t xml:space="preserve"> </w:t>
      </w:r>
      <w:r>
        <w:rPr>
          <w:rStyle w:val="StringTok"/>
        </w:rPr>
        <w:t>"violet"</w:t>
      </w:r>
      <w:r>
        <w:rPr>
          <w:rStyle w:val="NormalTok"/>
        </w:rPr>
        <w:t xml:space="preserve">, </w:t>
      </w:r>
      <w:r>
        <w:rPr>
          <w:rStyle w:val="AttributeTok"/>
        </w:rPr>
        <w:t>color =</w:t>
      </w:r>
      <w:r>
        <w:rPr>
          <w:rStyle w:val="NormalTok"/>
        </w:rPr>
        <w:t xml:space="preserve"> </w:t>
      </w:r>
      <w:r>
        <w:rPr>
          <w:rStyle w:val="StringTok"/>
        </w:rPr>
        <w:t>"lightpink"</w:t>
      </w:r>
      <w:r>
        <w:rPr>
          <w:rStyle w:val="NormalTok"/>
        </w:rPr>
        <w:t>)</w:t>
      </w:r>
      <w:r>
        <w:br/>
      </w:r>
      <w:r>
        <w:br/>
      </w:r>
      <w:r>
        <w:rPr>
          <w:rStyle w:val="NormalTok"/>
        </w:rPr>
        <w:t xml:space="preserve">se </w:t>
      </w:r>
      <w:r>
        <w:rPr>
          <w:rStyle w:val="SpecialCharTok"/>
        </w:rPr>
        <w:t>+</w:t>
      </w:r>
      <w:r>
        <w:rPr>
          <w:rStyle w:val="NormalTok"/>
        </w:rPr>
        <w:t xml:space="preserve"> perc</w:t>
      </w:r>
    </w:p>
    <w:p w14:paraId="04067A6D" w14:textId="77777777" w:rsidR="007A08ED" w:rsidRDefault="00000000" w:rsidP="00DB6643">
      <w:pPr>
        <w:pStyle w:val="FirstParagraph"/>
        <w:jc w:val="center"/>
      </w:pPr>
      <w:r>
        <w:rPr>
          <w:noProof/>
        </w:rPr>
        <w:drawing>
          <wp:inline distT="0" distB="0" distL="0" distR="0" wp14:anchorId="7C2DE5B1" wp14:editId="4AE3A98D">
            <wp:extent cx="3803754" cy="3043003"/>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ts2300-N09-infer-for-Confidence-Intervals_files/figure-docx/unnamed-chunk-15-1.png"/>
                    <pic:cNvPicPr>
                      <a:picLocks noChangeAspect="1" noChangeArrowheads="1"/>
                    </pic:cNvPicPr>
                  </pic:nvPicPr>
                  <pic:blipFill>
                    <a:blip r:embed="rId7"/>
                    <a:stretch>
                      <a:fillRect/>
                    </a:stretch>
                  </pic:blipFill>
                  <pic:spPr bwMode="auto">
                    <a:xfrm>
                      <a:off x="0" y="0"/>
                      <a:ext cx="3841772" cy="3073417"/>
                    </a:xfrm>
                    <a:prstGeom prst="rect">
                      <a:avLst/>
                    </a:prstGeom>
                    <a:noFill/>
                    <a:ln w="9525">
                      <a:noFill/>
                      <a:headEnd/>
                      <a:tailEnd/>
                    </a:ln>
                  </pic:spPr>
                </pic:pic>
              </a:graphicData>
            </a:graphic>
          </wp:inline>
        </w:drawing>
      </w:r>
    </w:p>
    <w:p w14:paraId="079364BE" w14:textId="77777777" w:rsidR="007A08ED" w:rsidRDefault="00000000">
      <w:pPr>
        <w:pStyle w:val="BodyText"/>
      </w:pPr>
      <w:r>
        <w:t>In the next couple sets of notes we will talk specifically about how to make confidence intervals for different parameters with each method along with how to interpret those intervals.</w:t>
      </w:r>
    </w:p>
    <w:p w14:paraId="3C8C88E4" w14:textId="77777777" w:rsidR="007A08ED" w:rsidRDefault="00045F62">
      <w:r>
        <w:rPr>
          <w:noProof/>
        </w:rPr>
        <w:pict w14:anchorId="120F71E9">
          <v:rect id="_x0000_i1025" alt="" style="width:468pt;height:.05pt;mso-width-percent:0;mso-height-percent:0;mso-width-percent:0;mso-height-percent:0" o:hralign="center" o:hrstd="t" o:hr="t"/>
        </w:pict>
      </w:r>
    </w:p>
    <w:p w14:paraId="766C71AF" w14:textId="77777777" w:rsidR="007A08ED" w:rsidRDefault="00000000">
      <w:pPr>
        <w:pStyle w:val="Heading1"/>
      </w:pPr>
      <w:bookmarkStart w:id="20" w:name="X20336e80eac3f1014ebd8dcac01410181c07220"/>
      <w:bookmarkStart w:id="21" w:name="_Toc194609339"/>
      <w:bookmarkEnd w:id="18"/>
      <w:r>
        <w:lastRenderedPageBreak/>
        <w:t>Revisiting the Learning Goals for Notes 09</w:t>
      </w:r>
      <w:bookmarkEnd w:id="21"/>
    </w:p>
    <w:p w14:paraId="39524521" w14:textId="77777777" w:rsidR="007A08ED" w:rsidRDefault="00000000">
      <w:pPr>
        <w:pStyle w:val="Compact"/>
        <w:numPr>
          <w:ilvl w:val="0"/>
          <w:numId w:val="12"/>
        </w:numPr>
      </w:pPr>
      <w:r>
        <w:t xml:space="preserve">Understand the general steps of using the </w:t>
      </w:r>
      <w:r>
        <w:rPr>
          <w:rStyle w:val="VerbatimChar"/>
        </w:rPr>
        <w:t>infer</w:t>
      </w:r>
      <w:r>
        <w:t xml:space="preserve"> package for creating bootstrap distributions.</w:t>
      </w:r>
    </w:p>
    <w:p w14:paraId="2432D4E3" w14:textId="77777777" w:rsidR="007A08ED" w:rsidRDefault="00000000">
      <w:pPr>
        <w:pStyle w:val="Compact"/>
        <w:numPr>
          <w:ilvl w:val="0"/>
          <w:numId w:val="12"/>
        </w:numPr>
      </w:pPr>
      <w:r>
        <w:t>Understand how the percentile method and the standard error method can be used to create confidence intervals with bootstrap distributions (and how these compare to theory-based methods)</w:t>
      </w:r>
      <w:bookmarkEnd w:id="20"/>
    </w:p>
    <w:sectPr w:rsidR="007A08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0298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B7C77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6BA89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A466734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6310C02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D76276FA"/>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1796213062">
    <w:abstractNumId w:val="0"/>
  </w:num>
  <w:num w:numId="2" w16cid:durableId="405491597">
    <w:abstractNumId w:val="1"/>
  </w:num>
  <w:num w:numId="3" w16cid:durableId="606230737">
    <w:abstractNumId w:val="1"/>
  </w:num>
  <w:num w:numId="4" w16cid:durableId="1185244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516314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761533528">
    <w:abstractNumId w:val="1"/>
  </w:num>
  <w:num w:numId="7" w16cid:durableId="83487876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5577121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832139040">
    <w:abstractNumId w:val="1"/>
  </w:num>
  <w:num w:numId="10" w16cid:durableId="2090929943">
    <w:abstractNumId w:val="1"/>
  </w:num>
  <w:num w:numId="11" w16cid:durableId="101849243">
    <w:abstractNumId w:val="1"/>
  </w:num>
  <w:num w:numId="12" w16cid:durableId="43640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A08ED"/>
    <w:rsid w:val="00045F62"/>
    <w:rsid w:val="007A08ED"/>
    <w:rsid w:val="00B864D8"/>
    <w:rsid w:val="00DB6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5C88"/>
  <w15:docId w15:val="{865B8DEA-AD06-894E-A950-4B765711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B6643"/>
    <w:pPr>
      <w:spacing w:after="100"/>
    </w:pPr>
  </w:style>
  <w:style w:type="paragraph" w:styleId="TOC2">
    <w:name w:val="toc 2"/>
    <w:basedOn w:val="Normal"/>
    <w:next w:val="Normal"/>
    <w:autoRedefine/>
    <w:uiPriority w:val="39"/>
    <w:rsid w:val="00DB664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oderndive.com/8-confidence-interva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2032</Words>
  <Characters>11584</Characters>
  <Application>Microsoft Office Word</Application>
  <DocSecurity>0</DocSecurity>
  <Lines>96</Lines>
  <Paragraphs>27</Paragraphs>
  <ScaleCrop>false</ScaleCrop>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09 - Using infer for Confidence Intervals</dc:title>
  <dc:creator>STS 2300 Introduction to Data Analytics</dc:creator>
  <cp:keywords/>
  <cp:lastModifiedBy>Nicholas Bussberg</cp:lastModifiedBy>
  <cp:revision>2</cp:revision>
  <dcterms:created xsi:type="dcterms:W3CDTF">2025-04-04T01:47:00Z</dcterms:created>
  <dcterms:modified xsi:type="dcterms:W3CDTF">2025-04-04T01:55:00Z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2025-04-03</vt:lpwstr>
  </property>
  <property fmtid="{D5CDD505-2E9C-101B-9397-08002B2CF9AE}" pid="3" name="output">
    <vt:lpwstr/>
  </property>
</Properties>
</file>