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77E0" w14:textId="4AC01612" w:rsidR="007C62B9" w:rsidRPr="007C62B9" w:rsidRDefault="007C62B9" w:rsidP="007C62B9">
      <w:pPr>
        <w:rPr>
          <w:b/>
          <w:bCs/>
          <w:sz w:val="36"/>
          <w:szCs w:val="36"/>
          <w:lang w:val="en-GB"/>
        </w:rPr>
      </w:pPr>
      <w:r w:rsidRPr="007C62B9">
        <w:rPr>
          <w:b/>
          <w:bCs/>
          <w:sz w:val="36"/>
          <w:szCs w:val="36"/>
          <w:lang w:val="en-GB"/>
        </w:rPr>
        <w:t xml:space="preserve">Paper </w:t>
      </w:r>
      <w:r w:rsidR="00B75327">
        <w:rPr>
          <w:b/>
          <w:bCs/>
          <w:sz w:val="36"/>
          <w:szCs w:val="36"/>
          <w:lang w:val="en-GB"/>
        </w:rPr>
        <w:t>2</w:t>
      </w:r>
      <w:r w:rsidRPr="007C62B9">
        <w:rPr>
          <w:b/>
          <w:bCs/>
          <w:sz w:val="36"/>
          <w:szCs w:val="36"/>
          <w:lang w:val="en-GB"/>
        </w:rPr>
        <w:t>: Correlation Coefficients based on ESHM20</w:t>
      </w:r>
    </w:p>
    <w:p w14:paraId="79B8BA22" w14:textId="20108B46" w:rsidR="000B267A" w:rsidRDefault="000B267A" w:rsidP="000B267A">
      <w:pPr>
        <w:pStyle w:val="berschrift1"/>
      </w:pPr>
      <w:r>
        <w:t>Introduction / Motivation</w:t>
      </w:r>
    </w:p>
    <w:p w14:paraId="7E213463" w14:textId="44E0BB63" w:rsidR="000B267A" w:rsidRDefault="000B267A" w:rsidP="000B267A">
      <w:pPr>
        <w:pStyle w:val="Listenabsatz"/>
        <w:numPr>
          <w:ilvl w:val="0"/>
          <w:numId w:val="3"/>
        </w:numPr>
        <w:rPr>
          <w:lang w:val="en-GB"/>
        </w:rPr>
      </w:pPr>
      <w:r>
        <w:rPr>
          <w:lang w:val="en-GB"/>
        </w:rPr>
        <w:t xml:space="preserve">The role that the correlation between IMs plays in </w:t>
      </w:r>
      <w:r w:rsidR="00B433C3">
        <w:rPr>
          <w:lang w:val="en-GB"/>
        </w:rPr>
        <w:t>seismic risk analysis and ground motion selection</w:t>
      </w:r>
    </w:p>
    <w:p w14:paraId="128B23F6" w14:textId="2D8EDD87" w:rsidR="00B433C3" w:rsidRDefault="00B433C3" w:rsidP="000B267A">
      <w:pPr>
        <w:pStyle w:val="Listenabsatz"/>
        <w:numPr>
          <w:ilvl w:val="0"/>
          <w:numId w:val="3"/>
        </w:numPr>
        <w:rPr>
          <w:lang w:val="en-GB"/>
        </w:rPr>
      </w:pPr>
      <w:r>
        <w:rPr>
          <w:lang w:val="en-GB"/>
        </w:rPr>
        <w:t>Short overview of our project goals and why we need correlation coefficients</w:t>
      </w:r>
    </w:p>
    <w:p w14:paraId="7E51D1DC" w14:textId="628C8571" w:rsidR="00B433C3" w:rsidRDefault="00B433C3" w:rsidP="00B433C3">
      <w:pPr>
        <w:pStyle w:val="Listenabsatz"/>
        <w:numPr>
          <w:ilvl w:val="1"/>
          <w:numId w:val="3"/>
        </w:numPr>
        <w:rPr>
          <w:lang w:val="en-GB"/>
        </w:rPr>
      </w:pPr>
      <w:r>
        <w:rPr>
          <w:lang w:val="en-GB"/>
        </w:rPr>
        <w:t>Ground motion selection for sites in Europe</w:t>
      </w:r>
    </w:p>
    <w:p w14:paraId="3ECADCBC" w14:textId="2B237AF9" w:rsidR="00B433C3" w:rsidRDefault="00B433C3" w:rsidP="00B433C3">
      <w:pPr>
        <w:pStyle w:val="Listenabsatz"/>
        <w:numPr>
          <w:ilvl w:val="1"/>
          <w:numId w:val="3"/>
        </w:numPr>
        <w:rPr>
          <w:lang w:val="en-GB"/>
        </w:rPr>
      </w:pPr>
      <w:r>
        <w:rPr>
          <w:lang w:val="en-GB"/>
        </w:rPr>
        <w:t>Ground motion selection specifically considers ground motions from different tectonic region types (active shallow crust, subduction in-slab, subduction interface) plus the specific Vrancea deep seismic zone.</w:t>
      </w:r>
    </w:p>
    <w:p w14:paraId="615222A5" w14:textId="14892394" w:rsidR="00B433C3" w:rsidRDefault="00B433C3" w:rsidP="00B433C3">
      <w:pPr>
        <w:pStyle w:val="Listenabsatz"/>
        <w:numPr>
          <w:ilvl w:val="1"/>
          <w:numId w:val="3"/>
        </w:numPr>
        <w:rPr>
          <w:lang w:val="en-GB"/>
        </w:rPr>
      </w:pPr>
      <w:r>
        <w:rPr>
          <w:lang w:val="en-GB"/>
        </w:rPr>
        <w:t>Correlation coefficients are best determined using GMMs derived from the same set of records</w:t>
      </w:r>
      <w:r>
        <w:rPr>
          <w:lang w:val="en-GB"/>
        </w:rPr>
        <w:t xml:space="preserve"> that you are using for the correlation coefficients</w:t>
      </w:r>
      <w:r>
        <w:rPr>
          <w:lang w:val="en-GB"/>
        </w:rPr>
        <w:t>. Kohrangi et al. [2018]</w:t>
      </w:r>
      <w:r>
        <w:rPr>
          <w:lang w:val="en-GB"/>
        </w:rPr>
        <w:t>. Therefore, it makes sense to use the ESM database and the ESHM20 GMMs</w:t>
      </w:r>
    </w:p>
    <w:p w14:paraId="79BD4955" w14:textId="3E3C8017" w:rsidR="00B433C3" w:rsidRDefault="00B433C3" w:rsidP="00B433C3">
      <w:pPr>
        <w:pStyle w:val="Listenabsatz"/>
        <w:numPr>
          <w:ilvl w:val="1"/>
          <w:numId w:val="3"/>
        </w:numPr>
        <w:rPr>
          <w:lang w:val="en-GB"/>
        </w:rPr>
      </w:pPr>
      <w:r>
        <w:rPr>
          <w:lang w:val="en-GB"/>
        </w:rPr>
        <w:t>Needs to match the Ims in out case PGA, SA(0.025 to 8s)</w:t>
      </w:r>
      <w:r w:rsidR="00D25BF5">
        <w:rPr>
          <w:lang w:val="en-GB"/>
        </w:rPr>
        <w:t>, significant duration and AvgSA[0,3s] and AvgSA[0,6s].</w:t>
      </w:r>
      <w:r w:rsidR="006C6412">
        <w:rPr>
          <w:lang w:val="en-GB"/>
        </w:rPr>
        <w:t xml:space="preserve"> Explain here why these IMs</w:t>
      </w:r>
    </w:p>
    <w:p w14:paraId="792E4358" w14:textId="77777777" w:rsidR="00D25BF5" w:rsidRDefault="00B433C3" w:rsidP="00B433C3">
      <w:pPr>
        <w:pStyle w:val="Listenabsatz"/>
        <w:numPr>
          <w:ilvl w:val="1"/>
          <w:numId w:val="3"/>
        </w:numPr>
        <w:rPr>
          <w:lang w:val="en-GB"/>
        </w:rPr>
      </w:pPr>
      <w:r>
        <w:rPr>
          <w:lang w:val="en-GB"/>
        </w:rPr>
        <w:t>Review of the common correlation coefficients</w:t>
      </w:r>
      <w:r w:rsidR="00D25BF5">
        <w:rPr>
          <w:lang w:val="en-GB"/>
        </w:rPr>
        <w:t>.</w:t>
      </w:r>
    </w:p>
    <w:p w14:paraId="4924119A" w14:textId="77777777" w:rsidR="00D25BF5" w:rsidRDefault="00D25BF5" w:rsidP="00D25BF5">
      <w:pPr>
        <w:pStyle w:val="Listenabsatz"/>
        <w:numPr>
          <w:ilvl w:val="2"/>
          <w:numId w:val="3"/>
        </w:numPr>
        <w:rPr>
          <w:lang w:val="en-GB"/>
        </w:rPr>
      </w:pPr>
      <w:r>
        <w:rPr>
          <w:lang w:val="en-GB"/>
        </w:rPr>
        <w:t>Summarise the reviewed studies (9).</w:t>
      </w:r>
    </w:p>
    <w:p w14:paraId="55329C30" w14:textId="77777777" w:rsidR="00D25BF5" w:rsidRDefault="00D25BF5" w:rsidP="00D25BF5">
      <w:pPr>
        <w:pStyle w:val="Listenabsatz"/>
        <w:numPr>
          <w:ilvl w:val="2"/>
          <w:numId w:val="3"/>
        </w:numPr>
        <w:rPr>
          <w:lang w:val="en-GB"/>
        </w:rPr>
      </w:pPr>
      <w:r>
        <w:rPr>
          <w:lang w:val="en-GB"/>
        </w:rPr>
        <w:t>Highlight that some studies show significant differences between subduction settings compared to active shallow crust, while others do not.</w:t>
      </w:r>
    </w:p>
    <w:p w14:paraId="262C8222" w14:textId="444DC838" w:rsidR="00B433C3" w:rsidRDefault="00D25BF5" w:rsidP="00D25BF5">
      <w:pPr>
        <w:pStyle w:val="Listenabsatz"/>
        <w:numPr>
          <w:ilvl w:val="2"/>
          <w:numId w:val="3"/>
        </w:numPr>
        <w:rPr>
          <w:lang w:val="en-GB"/>
        </w:rPr>
      </w:pPr>
      <w:r>
        <w:rPr>
          <w:lang w:val="en-GB"/>
        </w:rPr>
        <w:t xml:space="preserve">The review shows that there is no study that has published these coefficients for the GMMs used in the ESHM20 project. </w:t>
      </w:r>
    </w:p>
    <w:p w14:paraId="5C71E4FF" w14:textId="28505E11" w:rsidR="00D25BF5" w:rsidRDefault="00D25BF5" w:rsidP="00D25BF5">
      <w:pPr>
        <w:pStyle w:val="Listenabsatz"/>
        <w:numPr>
          <w:ilvl w:val="2"/>
          <w:numId w:val="3"/>
        </w:numPr>
        <w:rPr>
          <w:lang w:val="en-GB"/>
        </w:rPr>
      </w:pPr>
      <w:r>
        <w:rPr>
          <w:lang w:val="en-GB"/>
        </w:rPr>
        <w:t>Check if there are correlation coefficients for the Vrancea region… But given the variation in subduction correlation values we can’t with any real level of confidence just choose an existing correlation model and use it.</w:t>
      </w:r>
    </w:p>
    <w:p w14:paraId="1F0B1BDA" w14:textId="3368495C" w:rsidR="007E4692" w:rsidRDefault="007E4692" w:rsidP="00D25BF5">
      <w:pPr>
        <w:pStyle w:val="Listenabsatz"/>
        <w:numPr>
          <w:ilvl w:val="2"/>
          <w:numId w:val="3"/>
        </w:numPr>
        <w:rPr>
          <w:lang w:val="en-GB"/>
        </w:rPr>
      </w:pPr>
      <w:r>
        <w:rPr>
          <w:lang w:val="en-GB"/>
        </w:rPr>
        <w:t>Acknowledge that Graeme has already implemented a model in OpenQuake although it has not been published.</w:t>
      </w:r>
    </w:p>
    <w:p w14:paraId="00D12B72" w14:textId="38BCB502" w:rsidR="00B433C3" w:rsidRPr="00D25BF5" w:rsidRDefault="00D25BF5" w:rsidP="00B433C3">
      <w:pPr>
        <w:pStyle w:val="Listenabsatz"/>
        <w:numPr>
          <w:ilvl w:val="0"/>
          <w:numId w:val="3"/>
        </w:numPr>
        <w:rPr>
          <w:lang w:val="en-GB"/>
        </w:rPr>
      </w:pPr>
      <w:r w:rsidRPr="00D25BF5">
        <w:rPr>
          <w:lang w:val="en-GB"/>
        </w:rPr>
        <w:t>Structure of this paper.</w:t>
      </w:r>
    </w:p>
    <w:p w14:paraId="61D209C6" w14:textId="730526BF" w:rsidR="007C62B9" w:rsidRDefault="006C6412" w:rsidP="00D25BF5">
      <w:pPr>
        <w:pStyle w:val="berschrift1"/>
      </w:pPr>
      <w:r>
        <w:t>Ground-Motion Database</w:t>
      </w:r>
    </w:p>
    <w:p w14:paraId="1B31BFFC" w14:textId="31AC8F27" w:rsidR="006C6412" w:rsidRDefault="006C6412" w:rsidP="006C6412">
      <w:pPr>
        <w:pStyle w:val="Listenabsatz"/>
        <w:numPr>
          <w:ilvl w:val="0"/>
          <w:numId w:val="4"/>
        </w:numPr>
        <w:rPr>
          <w:lang w:val="en-GB"/>
        </w:rPr>
      </w:pPr>
      <w:r>
        <w:rPr>
          <w:lang w:val="en-GB"/>
        </w:rPr>
        <w:t>Summary of the database used, when it was accessed and what sort of filtering I did to get the final number of records.</w:t>
      </w:r>
    </w:p>
    <w:p w14:paraId="4BACADEB" w14:textId="515ACD66" w:rsidR="006C6412" w:rsidRDefault="006C6412" w:rsidP="006C6412">
      <w:pPr>
        <w:pStyle w:val="Listenabsatz"/>
        <w:numPr>
          <w:ilvl w:val="0"/>
          <w:numId w:val="4"/>
        </w:numPr>
        <w:rPr>
          <w:lang w:val="en-GB"/>
        </w:rPr>
      </w:pPr>
      <w:r>
        <w:rPr>
          <w:lang w:val="en-GB"/>
        </w:rPr>
        <w:t>I have 4 different databases:</w:t>
      </w:r>
    </w:p>
    <w:p w14:paraId="004518C7" w14:textId="759113D4" w:rsidR="006C6412" w:rsidRDefault="006C6412" w:rsidP="006C6412">
      <w:pPr>
        <w:pStyle w:val="Listenabsatz"/>
        <w:numPr>
          <w:ilvl w:val="1"/>
          <w:numId w:val="4"/>
        </w:numPr>
        <w:rPr>
          <w:lang w:val="en-GB"/>
        </w:rPr>
      </w:pPr>
      <w:r>
        <w:rPr>
          <w:lang w:val="en-GB"/>
        </w:rPr>
        <w:t>ASC, SSlab, Sinter, and Vrancea</w:t>
      </w:r>
    </w:p>
    <w:p w14:paraId="7FAC4828" w14:textId="61AFE3BD" w:rsidR="00A13EEB" w:rsidRPr="00A13EEB" w:rsidRDefault="00A13EEB" w:rsidP="00A13EEB">
      <w:pPr>
        <w:pStyle w:val="Listenabsatz"/>
        <w:numPr>
          <w:ilvl w:val="0"/>
          <w:numId w:val="4"/>
        </w:numPr>
        <w:rPr>
          <w:lang w:val="en-GB"/>
        </w:rPr>
      </w:pPr>
      <w:r>
        <w:rPr>
          <w:lang w:val="en-GB"/>
        </w:rPr>
        <w:t>Add some plots that visually summarise the database e.g. Mw vs. Rjb</w:t>
      </w:r>
    </w:p>
    <w:p w14:paraId="3754A8C8" w14:textId="77260A58" w:rsidR="006C6412" w:rsidRDefault="006C6412" w:rsidP="006C6412">
      <w:pPr>
        <w:pStyle w:val="berschrift1"/>
      </w:pPr>
      <w:r>
        <w:lastRenderedPageBreak/>
        <w:t>Intensity Measures and Ground-Motion Models (GMMs)</w:t>
      </w:r>
    </w:p>
    <w:p w14:paraId="0E529AED" w14:textId="78ED29AE" w:rsidR="006C6412" w:rsidRDefault="006C6412" w:rsidP="006C6412">
      <w:pPr>
        <w:pStyle w:val="Listenabsatz"/>
        <w:numPr>
          <w:ilvl w:val="0"/>
          <w:numId w:val="5"/>
        </w:numPr>
        <w:rPr>
          <w:lang w:val="en-GB"/>
        </w:rPr>
      </w:pPr>
      <w:r>
        <w:rPr>
          <w:lang w:val="en-GB"/>
        </w:rPr>
        <w:t>Description (and if needed a justification) of the GMMs used.</w:t>
      </w:r>
    </w:p>
    <w:p w14:paraId="353E6163" w14:textId="7388AEBC" w:rsidR="006C6412" w:rsidRDefault="006C6412" w:rsidP="006C6412">
      <w:pPr>
        <w:pStyle w:val="Listenabsatz"/>
        <w:numPr>
          <w:ilvl w:val="0"/>
          <w:numId w:val="5"/>
        </w:numPr>
        <w:rPr>
          <w:lang w:val="en-GB"/>
        </w:rPr>
      </w:pPr>
      <w:r>
        <w:rPr>
          <w:lang w:val="en-GB"/>
        </w:rPr>
        <w:t>All GMMs are already implemented in OpenQuake</w:t>
      </w:r>
    </w:p>
    <w:p w14:paraId="03B1B94A" w14:textId="6284E57A" w:rsidR="006C6412" w:rsidRDefault="006C6412" w:rsidP="006C6412">
      <w:pPr>
        <w:pStyle w:val="berschrift1"/>
      </w:pPr>
      <w:r>
        <w:t>Data Processing and Analysis</w:t>
      </w:r>
    </w:p>
    <w:p w14:paraId="6B9FA679" w14:textId="69B2A7F0" w:rsidR="006C6412" w:rsidRDefault="006C6412" w:rsidP="006C6412">
      <w:pPr>
        <w:pStyle w:val="berschrift2"/>
      </w:pPr>
      <w:r>
        <w:t>Calculation of Residuals</w:t>
      </w:r>
    </w:p>
    <w:p w14:paraId="39D82241" w14:textId="284B2AEA" w:rsidR="006C6412" w:rsidRDefault="006C6412" w:rsidP="006C6412">
      <w:pPr>
        <w:pStyle w:val="Listenabsatz"/>
        <w:numPr>
          <w:ilvl w:val="0"/>
          <w:numId w:val="6"/>
        </w:numPr>
        <w:rPr>
          <w:lang w:val="en-GB"/>
        </w:rPr>
      </w:pPr>
      <w:r>
        <w:rPr>
          <w:lang w:val="en-GB"/>
        </w:rPr>
        <w:t>Describe the calculation of the residuals</w:t>
      </w:r>
    </w:p>
    <w:p w14:paraId="0A4CAC93" w14:textId="0AFB8369" w:rsidR="006C6412" w:rsidRDefault="006C6412" w:rsidP="007E4692">
      <w:pPr>
        <w:pStyle w:val="Listenabsatz"/>
        <w:numPr>
          <w:ilvl w:val="1"/>
          <w:numId w:val="6"/>
        </w:numPr>
        <w:rPr>
          <w:lang w:val="en-GB"/>
        </w:rPr>
      </w:pPr>
      <w:r>
        <w:rPr>
          <w:lang w:val="en-GB"/>
        </w:rPr>
        <w:t>Predictions using GMMs from OpenQuake compared with the values from the database</w:t>
      </w:r>
      <w:r w:rsidR="007E4692">
        <w:rPr>
          <w:lang w:val="en-GB"/>
        </w:rPr>
        <w:t>.</w:t>
      </w:r>
    </w:p>
    <w:p w14:paraId="5BD46225" w14:textId="7C483BD1" w:rsidR="006C6412" w:rsidRDefault="007E4692" w:rsidP="007E4692">
      <w:pPr>
        <w:pStyle w:val="Listenabsatz"/>
        <w:numPr>
          <w:ilvl w:val="1"/>
          <w:numId w:val="6"/>
        </w:numPr>
        <w:rPr>
          <w:lang w:val="en-GB"/>
        </w:rPr>
      </w:pPr>
      <w:r>
        <w:rPr>
          <w:lang w:val="en-GB"/>
        </w:rPr>
        <w:t>Mixed effects regression model used to get the residuals using the lme4 package in R</w:t>
      </w:r>
    </w:p>
    <w:p w14:paraId="7949DB6D" w14:textId="1D68C511" w:rsidR="007E4692" w:rsidRDefault="007E4692" w:rsidP="007E4692">
      <w:pPr>
        <w:pStyle w:val="Listenabsatz"/>
        <w:numPr>
          <w:ilvl w:val="0"/>
          <w:numId w:val="6"/>
        </w:numPr>
        <w:rPr>
          <w:lang w:val="en-GB"/>
        </w:rPr>
      </w:pPr>
      <w:r>
        <w:rPr>
          <w:lang w:val="en-GB"/>
        </w:rPr>
        <w:t>Assumptions related to Rake for significant duration GMM</w:t>
      </w:r>
    </w:p>
    <w:p w14:paraId="059CDA01" w14:textId="40897A08" w:rsidR="00A13EEB" w:rsidRDefault="00A13EEB" w:rsidP="007E4692">
      <w:pPr>
        <w:pStyle w:val="Listenabsatz"/>
        <w:numPr>
          <w:ilvl w:val="0"/>
          <w:numId w:val="6"/>
        </w:numPr>
        <w:rPr>
          <w:lang w:val="en-GB"/>
        </w:rPr>
      </w:pPr>
      <w:r>
        <w:rPr>
          <w:lang w:val="en-GB"/>
        </w:rPr>
        <w:t>Assumptions about distance metrics and all other metrics</w:t>
      </w:r>
    </w:p>
    <w:p w14:paraId="5E482194" w14:textId="3CC59373" w:rsidR="007E4692" w:rsidRDefault="007E4692" w:rsidP="007E4692">
      <w:pPr>
        <w:pStyle w:val="Listenabsatz"/>
        <w:numPr>
          <w:ilvl w:val="0"/>
          <w:numId w:val="6"/>
        </w:numPr>
        <w:rPr>
          <w:lang w:val="en-GB"/>
        </w:rPr>
      </w:pPr>
      <w:r>
        <w:rPr>
          <w:lang w:val="en-GB"/>
        </w:rPr>
        <w:t>Report the standard deviations of the residuals</w:t>
      </w:r>
    </w:p>
    <w:p w14:paraId="0E0DB31D" w14:textId="5AC96CB2" w:rsidR="00A13EEB" w:rsidRDefault="00A13EEB" w:rsidP="00A13EEB">
      <w:pPr>
        <w:pStyle w:val="Listenabsatz"/>
        <w:numPr>
          <w:ilvl w:val="1"/>
          <w:numId w:val="6"/>
        </w:numPr>
        <w:rPr>
          <w:lang w:val="en-GB"/>
        </w:rPr>
      </w:pPr>
      <w:r>
        <w:rPr>
          <w:lang w:val="en-GB"/>
        </w:rPr>
        <w:t>Plot</w:t>
      </w:r>
    </w:p>
    <w:p w14:paraId="6B85EF64" w14:textId="5C44133F" w:rsidR="00A13EEB" w:rsidRPr="00A13EEB" w:rsidRDefault="00A13EEB" w:rsidP="00A13EEB">
      <w:pPr>
        <w:rPr>
          <w:lang w:val="en-GB"/>
        </w:rPr>
      </w:pPr>
      <w:r w:rsidRPr="00A13EEB">
        <w:rPr>
          <w:lang w:val="en-GB"/>
        </w:rPr>
        <w:drawing>
          <wp:inline distT="0" distB="0" distL="0" distR="0" wp14:anchorId="3AA3401D" wp14:editId="5213C43C">
            <wp:extent cx="5760720" cy="3342005"/>
            <wp:effectExtent l="0" t="0" r="0" b="0"/>
            <wp:docPr id="3660115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11551" name=""/>
                    <pic:cNvPicPr/>
                  </pic:nvPicPr>
                  <pic:blipFill>
                    <a:blip r:embed="rId5"/>
                    <a:stretch>
                      <a:fillRect/>
                    </a:stretch>
                  </pic:blipFill>
                  <pic:spPr>
                    <a:xfrm>
                      <a:off x="0" y="0"/>
                      <a:ext cx="5760720" cy="3342005"/>
                    </a:xfrm>
                    <a:prstGeom prst="rect">
                      <a:avLst/>
                    </a:prstGeom>
                  </pic:spPr>
                </pic:pic>
              </a:graphicData>
            </a:graphic>
          </wp:inline>
        </w:drawing>
      </w:r>
    </w:p>
    <w:p w14:paraId="2E2AE752" w14:textId="6B81DB68" w:rsidR="007E4692" w:rsidRDefault="007E4692" w:rsidP="007E4692">
      <w:pPr>
        <w:pStyle w:val="Listenabsatz"/>
        <w:numPr>
          <w:ilvl w:val="1"/>
          <w:numId w:val="6"/>
        </w:numPr>
        <w:rPr>
          <w:lang w:val="en-GB"/>
        </w:rPr>
      </w:pPr>
      <w:r>
        <w:rPr>
          <w:lang w:val="en-GB"/>
        </w:rPr>
        <w:t>See if you can compare these to the ESHM20 project</w:t>
      </w:r>
    </w:p>
    <w:p w14:paraId="7590BE01" w14:textId="77777777" w:rsidR="007E4692" w:rsidRDefault="007E4692" w:rsidP="007E4692">
      <w:pPr>
        <w:pStyle w:val="Listenabsatz"/>
        <w:numPr>
          <w:ilvl w:val="1"/>
          <w:numId w:val="6"/>
        </w:numPr>
        <w:rPr>
          <w:lang w:val="en-GB"/>
        </w:rPr>
      </w:pPr>
      <w:r>
        <w:rPr>
          <w:lang w:val="en-GB"/>
        </w:rPr>
        <w:t xml:space="preserve">Justify why we kept going </w:t>
      </w:r>
    </w:p>
    <w:p w14:paraId="5F0BECA8" w14:textId="17712829" w:rsidR="007E4692" w:rsidRDefault="007E4692" w:rsidP="007E4692">
      <w:pPr>
        <w:pStyle w:val="Listenabsatz"/>
        <w:numPr>
          <w:ilvl w:val="2"/>
          <w:numId w:val="6"/>
        </w:numPr>
        <w:rPr>
          <w:lang w:val="en-GB"/>
        </w:rPr>
      </w:pPr>
      <w:r>
        <w:rPr>
          <w:lang w:val="en-GB"/>
        </w:rPr>
        <w:t>We used accepted GMMs</w:t>
      </w:r>
    </w:p>
    <w:p w14:paraId="06CE74EA" w14:textId="702C93CD" w:rsidR="00A13EEB" w:rsidRDefault="00A13EEB" w:rsidP="007E4692">
      <w:pPr>
        <w:pStyle w:val="Listenabsatz"/>
        <w:numPr>
          <w:ilvl w:val="2"/>
          <w:numId w:val="6"/>
        </w:numPr>
        <w:rPr>
          <w:lang w:val="en-GB"/>
        </w:rPr>
      </w:pPr>
      <w:r>
        <w:rPr>
          <w:lang w:val="en-GB"/>
        </w:rPr>
        <w:t>We did use lme4 instead of the nonlinear weighting version which would probably increase the dispersion… but by that much?</w:t>
      </w:r>
    </w:p>
    <w:p w14:paraId="1E3B547A" w14:textId="5C23139C" w:rsidR="00A13EEB" w:rsidRPr="00A13EEB" w:rsidRDefault="00A13EEB" w:rsidP="007E4692">
      <w:pPr>
        <w:pStyle w:val="Listenabsatz"/>
        <w:numPr>
          <w:ilvl w:val="2"/>
          <w:numId w:val="6"/>
        </w:numPr>
        <w:rPr>
          <w:highlight w:val="yellow"/>
          <w:lang w:val="en-GB"/>
        </w:rPr>
      </w:pPr>
      <w:r w:rsidRPr="00A13EEB">
        <w:rPr>
          <w:highlight w:val="yellow"/>
          <w:lang w:val="en-GB"/>
        </w:rPr>
        <w:t>Probably needs to be discussed with Graeme again</w:t>
      </w:r>
    </w:p>
    <w:p w14:paraId="4211C048" w14:textId="6D25AA02" w:rsidR="00A13EEB" w:rsidRDefault="00A13EEB" w:rsidP="00A13EEB">
      <w:pPr>
        <w:pStyle w:val="berschrift2"/>
      </w:pPr>
      <w:r>
        <w:lastRenderedPageBreak/>
        <w:t>Calculation of the Correlation between Residuals</w:t>
      </w:r>
    </w:p>
    <w:p w14:paraId="793E1D17" w14:textId="0281D3B2" w:rsidR="00A13EEB" w:rsidRDefault="00A13EEB" w:rsidP="00A13EEB">
      <w:pPr>
        <w:pStyle w:val="Listenabsatz"/>
        <w:numPr>
          <w:ilvl w:val="0"/>
          <w:numId w:val="7"/>
        </w:numPr>
        <w:rPr>
          <w:lang w:val="en-GB"/>
        </w:rPr>
      </w:pPr>
      <w:r>
        <w:rPr>
          <w:lang w:val="en-GB"/>
        </w:rPr>
        <w:t>Equations for total correlation is the combination of the correlations of all three</w:t>
      </w:r>
    </w:p>
    <w:p w14:paraId="0CE5D24F" w14:textId="1BEDF6C6" w:rsidR="00A13EEB" w:rsidRDefault="00A13EEB" w:rsidP="00A13EEB">
      <w:pPr>
        <w:pStyle w:val="Listenabsatz"/>
        <w:numPr>
          <w:ilvl w:val="0"/>
          <w:numId w:val="7"/>
        </w:numPr>
        <w:rPr>
          <w:lang w:val="en-GB"/>
        </w:rPr>
      </w:pPr>
      <w:r>
        <w:rPr>
          <w:lang w:val="en-GB"/>
        </w:rPr>
        <w:t>Figure showing the concept similar to:</w:t>
      </w:r>
    </w:p>
    <w:p w14:paraId="6A70CC0E" w14:textId="4B6C84B4" w:rsidR="00A13EEB" w:rsidRDefault="00A13EEB" w:rsidP="00A13EEB">
      <w:pPr>
        <w:rPr>
          <w:lang w:val="en-GB"/>
        </w:rPr>
      </w:pPr>
      <w:r w:rsidRPr="00A13EEB">
        <w:rPr>
          <w:lang w:val="en-GB"/>
        </w:rPr>
        <w:drawing>
          <wp:inline distT="0" distB="0" distL="0" distR="0" wp14:anchorId="1D2BB82C" wp14:editId="12023296">
            <wp:extent cx="5760720" cy="3709670"/>
            <wp:effectExtent l="0" t="0" r="0" b="5080"/>
            <wp:docPr id="5521365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36570" name=""/>
                    <pic:cNvPicPr/>
                  </pic:nvPicPr>
                  <pic:blipFill>
                    <a:blip r:embed="rId6"/>
                    <a:stretch>
                      <a:fillRect/>
                    </a:stretch>
                  </pic:blipFill>
                  <pic:spPr>
                    <a:xfrm>
                      <a:off x="0" y="0"/>
                      <a:ext cx="5760720" cy="3709670"/>
                    </a:xfrm>
                    <a:prstGeom prst="rect">
                      <a:avLst/>
                    </a:prstGeom>
                  </pic:spPr>
                </pic:pic>
              </a:graphicData>
            </a:graphic>
          </wp:inline>
        </w:drawing>
      </w:r>
    </w:p>
    <w:p w14:paraId="0458D9E0" w14:textId="7F534193" w:rsidR="00A13EEB" w:rsidRDefault="001F4FA3" w:rsidP="001F4FA3">
      <w:pPr>
        <w:pStyle w:val="berschrift1"/>
      </w:pPr>
      <w:r>
        <w:t>Results and Discussion</w:t>
      </w:r>
    </w:p>
    <w:p w14:paraId="55FEA410" w14:textId="25E6616F" w:rsidR="00140C0C" w:rsidRDefault="00140C0C" w:rsidP="00225936">
      <w:pPr>
        <w:pStyle w:val="berschrift2"/>
      </w:pPr>
      <w:r>
        <w:t>Correlation Coefficients</w:t>
      </w:r>
    </w:p>
    <w:p w14:paraId="689A890C" w14:textId="6C9CCA02" w:rsidR="00225936" w:rsidRDefault="001F4FA3" w:rsidP="00140C0C">
      <w:pPr>
        <w:pStyle w:val="berschrift3"/>
      </w:pPr>
      <w:r>
        <w:t xml:space="preserve">SA </w:t>
      </w:r>
      <w:r w:rsidR="0057624A">
        <w:t xml:space="preserve">inter-period </w:t>
      </w:r>
      <w:r>
        <w:t>Correlation</w:t>
      </w:r>
      <w:r w:rsidR="0057624A">
        <w:t>s</w:t>
      </w:r>
    </w:p>
    <w:p w14:paraId="18B59AE3" w14:textId="56DFF3D8" w:rsidR="001F4FA3" w:rsidRDefault="001F4FA3" w:rsidP="00225936">
      <w:r>
        <w:t>similar to:</w:t>
      </w:r>
    </w:p>
    <w:p w14:paraId="41459702" w14:textId="550745D6" w:rsidR="001F4FA3" w:rsidRDefault="001F4FA3" w:rsidP="001F4FA3">
      <w:pPr>
        <w:rPr>
          <w:lang w:val="en-GB"/>
        </w:rPr>
      </w:pPr>
      <w:r w:rsidRPr="001F4FA3">
        <w:rPr>
          <w:lang w:val="en-GB"/>
        </w:rPr>
        <w:drawing>
          <wp:inline distT="0" distB="0" distL="0" distR="0" wp14:anchorId="130EFD09" wp14:editId="555E9F65">
            <wp:extent cx="4400550" cy="2752770"/>
            <wp:effectExtent l="0" t="0" r="0" b="9525"/>
            <wp:docPr id="2998621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2175" name=""/>
                    <pic:cNvPicPr/>
                  </pic:nvPicPr>
                  <pic:blipFill>
                    <a:blip r:embed="rId7"/>
                    <a:stretch>
                      <a:fillRect/>
                    </a:stretch>
                  </pic:blipFill>
                  <pic:spPr>
                    <a:xfrm>
                      <a:off x="0" y="0"/>
                      <a:ext cx="4420723" cy="2765389"/>
                    </a:xfrm>
                    <a:prstGeom prst="rect">
                      <a:avLst/>
                    </a:prstGeom>
                  </pic:spPr>
                </pic:pic>
              </a:graphicData>
            </a:graphic>
          </wp:inline>
        </w:drawing>
      </w:r>
    </w:p>
    <w:p w14:paraId="6A3D7412" w14:textId="339B6EEB" w:rsidR="001F4FA3" w:rsidRDefault="001F4FA3" w:rsidP="001F4FA3">
      <w:pPr>
        <w:pStyle w:val="Listenabsatz"/>
        <w:numPr>
          <w:ilvl w:val="0"/>
          <w:numId w:val="9"/>
        </w:numPr>
        <w:rPr>
          <w:lang w:val="en-GB"/>
        </w:rPr>
      </w:pPr>
      <w:r>
        <w:rPr>
          <w:lang w:val="en-GB"/>
        </w:rPr>
        <w:lastRenderedPageBreak/>
        <w:t>Results compared to other studies</w:t>
      </w:r>
    </w:p>
    <w:p w14:paraId="089E1732" w14:textId="2DA789AF" w:rsidR="001F4FA3" w:rsidRPr="001F4FA3" w:rsidRDefault="001F4FA3" w:rsidP="001F4FA3">
      <w:pPr>
        <w:pStyle w:val="Listenabsatz"/>
        <w:numPr>
          <w:ilvl w:val="1"/>
          <w:numId w:val="9"/>
        </w:numPr>
        <w:rPr>
          <w:lang w:val="en-GB"/>
        </w:rPr>
      </w:pPr>
      <w:r>
        <w:rPr>
          <w:lang w:val="en-GB"/>
        </w:rPr>
        <w:t>SA. Matches HTG20 nicely which uses ESM records for Italy only. Significantly higher correlations than widely used models like BJ08 and BB17. ASO24/BJ08/BB17 use NGA-West 1/2 records. AKK14 uses RESORCE Records (European but a different set)</w:t>
      </w:r>
    </w:p>
    <w:p w14:paraId="74AC9BA8" w14:textId="3DC6E343" w:rsidR="001F4FA3" w:rsidRPr="001F4FA3" w:rsidRDefault="001F4FA3" w:rsidP="001F4FA3">
      <w:pPr>
        <w:rPr>
          <w:lang w:val="en-GB"/>
        </w:rPr>
      </w:pPr>
      <w:r w:rsidRPr="001F4FA3">
        <w:rPr>
          <w:lang w:val="en-GB"/>
        </w:rPr>
        <w:drawing>
          <wp:inline distT="0" distB="0" distL="0" distR="0" wp14:anchorId="12095902" wp14:editId="62A99274">
            <wp:extent cx="5760720" cy="3388360"/>
            <wp:effectExtent l="0" t="0" r="0" b="2540"/>
            <wp:docPr id="9080441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44194" name=""/>
                    <pic:cNvPicPr/>
                  </pic:nvPicPr>
                  <pic:blipFill>
                    <a:blip r:embed="rId8"/>
                    <a:stretch>
                      <a:fillRect/>
                    </a:stretch>
                  </pic:blipFill>
                  <pic:spPr>
                    <a:xfrm>
                      <a:off x="0" y="0"/>
                      <a:ext cx="5760720" cy="3388360"/>
                    </a:xfrm>
                    <a:prstGeom prst="rect">
                      <a:avLst/>
                    </a:prstGeom>
                  </pic:spPr>
                </pic:pic>
              </a:graphicData>
            </a:graphic>
          </wp:inline>
        </w:drawing>
      </w:r>
    </w:p>
    <w:p w14:paraId="3C289740" w14:textId="5EEC4B9A" w:rsidR="00A13EEB" w:rsidRPr="0057624A" w:rsidRDefault="001F4FA3" w:rsidP="00225936">
      <w:pPr>
        <w:pStyle w:val="Listenabsatz"/>
        <w:numPr>
          <w:ilvl w:val="0"/>
          <w:numId w:val="9"/>
        </w:numPr>
        <w:rPr>
          <w:lang w:val="en-GB"/>
        </w:rPr>
      </w:pPr>
      <w:r w:rsidRPr="0057624A">
        <w:rPr>
          <w:lang w:val="en-GB"/>
        </w:rPr>
        <w:t>Subduction Slab/Interface and Vrancea deep seismic zone</w:t>
      </w:r>
    </w:p>
    <w:p w14:paraId="65AF6F0D" w14:textId="1A9D3D9C" w:rsidR="00217CC0" w:rsidRDefault="00217CC0" w:rsidP="00217CC0">
      <w:pPr>
        <w:pStyle w:val="Listenabsatz"/>
        <w:numPr>
          <w:ilvl w:val="1"/>
          <w:numId w:val="9"/>
        </w:numPr>
        <w:rPr>
          <w:lang w:val="en-GB"/>
        </w:rPr>
      </w:pPr>
      <w:r>
        <w:rPr>
          <w:lang w:val="en-GB"/>
        </w:rPr>
        <w:t>Our results are somewhat higher than the other studies. Particularly for short short periods although to longer periods or interface model is not far off interface models of CAN20 and JC19. In all cases our models are very different from the NGA-Sub project and AGA16</w:t>
      </w:r>
    </w:p>
    <w:p w14:paraId="7EE9239A" w14:textId="708AE3D6" w:rsidR="001F4FA3" w:rsidRDefault="001F4FA3" w:rsidP="001F4FA3">
      <w:pPr>
        <w:rPr>
          <w:lang w:val="en-GB"/>
        </w:rPr>
      </w:pPr>
      <w:r w:rsidRPr="001F4FA3">
        <w:rPr>
          <w:lang w:val="en-GB"/>
        </w:rPr>
        <w:drawing>
          <wp:inline distT="0" distB="0" distL="0" distR="0" wp14:anchorId="1B53881F" wp14:editId="13BAC2DC">
            <wp:extent cx="5191125" cy="3017284"/>
            <wp:effectExtent l="0" t="0" r="0" b="0"/>
            <wp:docPr id="15912394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39485" name=""/>
                    <pic:cNvPicPr/>
                  </pic:nvPicPr>
                  <pic:blipFill>
                    <a:blip r:embed="rId9"/>
                    <a:stretch>
                      <a:fillRect/>
                    </a:stretch>
                  </pic:blipFill>
                  <pic:spPr>
                    <a:xfrm>
                      <a:off x="0" y="0"/>
                      <a:ext cx="5204484" cy="3025049"/>
                    </a:xfrm>
                    <a:prstGeom prst="rect">
                      <a:avLst/>
                    </a:prstGeom>
                  </pic:spPr>
                </pic:pic>
              </a:graphicData>
            </a:graphic>
          </wp:inline>
        </w:drawing>
      </w:r>
    </w:p>
    <w:p w14:paraId="51ADC062" w14:textId="5D47F9B4" w:rsidR="00217CC0" w:rsidRDefault="00217CC0" w:rsidP="00140C0C">
      <w:pPr>
        <w:pStyle w:val="berschrift3"/>
      </w:pPr>
      <w:r>
        <w:lastRenderedPageBreak/>
        <w:t>PGA and RSD595 with</w:t>
      </w:r>
      <w:r w:rsidR="00225936">
        <w:t xml:space="preserve"> </w:t>
      </w:r>
      <w:r w:rsidR="00225936">
        <w:t>SA(T1)</w:t>
      </w:r>
    </w:p>
    <w:p w14:paraId="53A55374" w14:textId="62223098" w:rsidR="00225936" w:rsidRDefault="00225936" w:rsidP="00217CC0">
      <w:pPr>
        <w:pStyle w:val="Listenabsatz"/>
        <w:numPr>
          <w:ilvl w:val="1"/>
          <w:numId w:val="9"/>
        </w:numPr>
        <w:rPr>
          <w:lang w:val="en-GB"/>
        </w:rPr>
      </w:pPr>
      <w:r>
        <w:rPr>
          <w:lang w:val="en-GB"/>
        </w:rPr>
        <w:t>PGA: Correlation with PGA is higher than for BB17 for active shallow crust. It is ~ the same as HTG20 up to a period of about 1s and then it deviates. The subduction and Vrancea correlations are much stronger than the NGA-Sub database.</w:t>
      </w:r>
    </w:p>
    <w:p w14:paraId="6AEFB40A" w14:textId="65143796" w:rsidR="00217CC0" w:rsidRPr="00225936" w:rsidRDefault="00225936" w:rsidP="00217CC0">
      <w:pPr>
        <w:pStyle w:val="Listenabsatz"/>
        <w:numPr>
          <w:ilvl w:val="1"/>
          <w:numId w:val="9"/>
        </w:numPr>
        <w:rPr>
          <w:lang w:val="en-GB"/>
        </w:rPr>
      </w:pPr>
      <w:r>
        <w:rPr>
          <w:lang w:val="en-GB"/>
        </w:rPr>
        <w:t xml:space="preserve">RSD595: </w:t>
      </w:r>
      <w:r w:rsidR="00217CC0" w:rsidRPr="00225936">
        <w:rPr>
          <w:lang w:val="en-GB"/>
        </w:rPr>
        <w:t>ASC, SSlab, and Sinter all seem to fall within the bounds of other published models.</w:t>
      </w:r>
      <w:r>
        <w:rPr>
          <w:lang w:val="en-GB"/>
        </w:rPr>
        <w:t xml:space="preserve"> </w:t>
      </w:r>
      <w:r w:rsidR="00217CC0" w:rsidRPr="00225936">
        <w:rPr>
          <w:lang w:val="en-GB"/>
        </w:rPr>
        <w:t>Vrancea looks very differ</w:t>
      </w:r>
      <w:r w:rsidRPr="00225936">
        <w:rPr>
          <w:lang w:val="en-GB"/>
        </w:rPr>
        <w:t>ent and the correlation does not v</w:t>
      </w:r>
      <w:r>
        <w:rPr>
          <w:lang w:val="en-GB"/>
        </w:rPr>
        <w:t>ary much at all -0.3 to -0.4</w:t>
      </w:r>
    </w:p>
    <w:p w14:paraId="6BC1D746" w14:textId="31623979" w:rsidR="00217CC0" w:rsidRPr="00217CC0" w:rsidRDefault="00217CC0" w:rsidP="00217CC0">
      <w:pPr>
        <w:ind w:left="360"/>
        <w:rPr>
          <w:lang w:val="en-GB"/>
        </w:rPr>
      </w:pPr>
      <w:r w:rsidRPr="00217CC0">
        <w:rPr>
          <w:lang w:val="en-GB"/>
        </w:rPr>
        <w:drawing>
          <wp:inline distT="0" distB="0" distL="0" distR="0" wp14:anchorId="51B444FF" wp14:editId="614B5296">
            <wp:extent cx="2628900" cy="1985273"/>
            <wp:effectExtent l="0" t="0" r="0" b="0"/>
            <wp:docPr id="15573331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33134" name=""/>
                    <pic:cNvPicPr/>
                  </pic:nvPicPr>
                  <pic:blipFill>
                    <a:blip r:embed="rId10"/>
                    <a:stretch>
                      <a:fillRect/>
                    </a:stretch>
                  </pic:blipFill>
                  <pic:spPr>
                    <a:xfrm>
                      <a:off x="0" y="0"/>
                      <a:ext cx="2649117" cy="2000540"/>
                    </a:xfrm>
                    <a:prstGeom prst="rect">
                      <a:avLst/>
                    </a:prstGeom>
                  </pic:spPr>
                </pic:pic>
              </a:graphicData>
            </a:graphic>
          </wp:inline>
        </w:drawing>
      </w:r>
      <w:r w:rsidRPr="00217CC0">
        <w:rPr>
          <w:noProof/>
        </w:rPr>
        <w:t xml:space="preserve"> </w:t>
      </w:r>
      <w:r w:rsidRPr="00217CC0">
        <w:rPr>
          <w:lang w:val="en-GB"/>
        </w:rPr>
        <w:drawing>
          <wp:inline distT="0" distB="0" distL="0" distR="0" wp14:anchorId="71AC7915" wp14:editId="3DA68E16">
            <wp:extent cx="2657475" cy="1942521"/>
            <wp:effectExtent l="0" t="0" r="0" b="635"/>
            <wp:docPr id="8364755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75598" name=""/>
                    <pic:cNvPicPr/>
                  </pic:nvPicPr>
                  <pic:blipFill>
                    <a:blip r:embed="rId11"/>
                    <a:stretch>
                      <a:fillRect/>
                    </a:stretch>
                  </pic:blipFill>
                  <pic:spPr>
                    <a:xfrm>
                      <a:off x="0" y="0"/>
                      <a:ext cx="2681029" cy="1959738"/>
                    </a:xfrm>
                    <a:prstGeom prst="rect">
                      <a:avLst/>
                    </a:prstGeom>
                  </pic:spPr>
                </pic:pic>
              </a:graphicData>
            </a:graphic>
          </wp:inline>
        </w:drawing>
      </w:r>
    </w:p>
    <w:p w14:paraId="358F141F" w14:textId="6DA2C507" w:rsidR="007E4692" w:rsidRDefault="00225936" w:rsidP="00140C0C">
      <w:pPr>
        <w:pStyle w:val="berschrift3"/>
      </w:pPr>
      <w:r>
        <w:t>AvgSA[0,3] and AvgSA[0,6] with SA(T1)</w:t>
      </w:r>
    </w:p>
    <w:p w14:paraId="55B2D4F4" w14:textId="1DC8678F" w:rsidR="00225936" w:rsidRDefault="00225936" w:rsidP="00225936">
      <w:pPr>
        <w:pStyle w:val="Listenabsatz"/>
        <w:numPr>
          <w:ilvl w:val="1"/>
          <w:numId w:val="9"/>
        </w:numPr>
        <w:rPr>
          <w:lang w:val="en-GB"/>
        </w:rPr>
      </w:pPr>
      <w:r>
        <w:rPr>
          <w:lang w:val="en-GB"/>
        </w:rPr>
        <w:t xml:space="preserve">New results </w:t>
      </w:r>
      <w:r w:rsidRPr="00225936">
        <w:rPr>
          <w:lang w:val="en-GB"/>
        </w:rPr>
        <w:sym w:font="Wingdings" w:char="F0E0"/>
      </w:r>
      <w:r>
        <w:rPr>
          <w:lang w:val="en-GB"/>
        </w:rPr>
        <w:t xml:space="preserve"> no comparison. ASO24 uses a different definition and can’t really be compared. Although the shape is similar</w:t>
      </w:r>
    </w:p>
    <w:p w14:paraId="7A44B2AD" w14:textId="2B75E50B" w:rsidR="00225936" w:rsidRPr="00225936" w:rsidRDefault="00225936" w:rsidP="00225936">
      <w:pPr>
        <w:ind w:left="360"/>
        <w:rPr>
          <w:lang w:val="en-GB"/>
        </w:rPr>
      </w:pPr>
      <w:r w:rsidRPr="00225936">
        <w:rPr>
          <w:lang w:val="en-GB"/>
        </w:rPr>
        <w:drawing>
          <wp:inline distT="0" distB="0" distL="0" distR="0" wp14:anchorId="452BB466" wp14:editId="2CA9D01C">
            <wp:extent cx="2714625" cy="2050010"/>
            <wp:effectExtent l="0" t="0" r="0" b="7620"/>
            <wp:docPr id="6988297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9771" name=""/>
                    <pic:cNvPicPr/>
                  </pic:nvPicPr>
                  <pic:blipFill>
                    <a:blip r:embed="rId12"/>
                    <a:stretch>
                      <a:fillRect/>
                    </a:stretch>
                  </pic:blipFill>
                  <pic:spPr>
                    <a:xfrm>
                      <a:off x="0" y="0"/>
                      <a:ext cx="2723921" cy="2057030"/>
                    </a:xfrm>
                    <a:prstGeom prst="rect">
                      <a:avLst/>
                    </a:prstGeom>
                  </pic:spPr>
                </pic:pic>
              </a:graphicData>
            </a:graphic>
          </wp:inline>
        </w:drawing>
      </w:r>
      <w:r w:rsidRPr="00225936">
        <w:rPr>
          <w:noProof/>
        </w:rPr>
        <w:t xml:space="preserve"> </w:t>
      </w:r>
      <w:r w:rsidRPr="00225936">
        <w:rPr>
          <w:lang w:val="en-GB"/>
        </w:rPr>
        <w:drawing>
          <wp:inline distT="0" distB="0" distL="0" distR="0" wp14:anchorId="02698446" wp14:editId="728BD4FB">
            <wp:extent cx="2714625" cy="2050010"/>
            <wp:effectExtent l="0" t="0" r="0" b="7620"/>
            <wp:docPr id="8407239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23989" name=""/>
                    <pic:cNvPicPr/>
                  </pic:nvPicPr>
                  <pic:blipFill>
                    <a:blip r:embed="rId13"/>
                    <a:stretch>
                      <a:fillRect/>
                    </a:stretch>
                  </pic:blipFill>
                  <pic:spPr>
                    <a:xfrm>
                      <a:off x="0" y="0"/>
                      <a:ext cx="2737691" cy="2067429"/>
                    </a:xfrm>
                    <a:prstGeom prst="rect">
                      <a:avLst/>
                    </a:prstGeom>
                  </pic:spPr>
                </pic:pic>
              </a:graphicData>
            </a:graphic>
          </wp:inline>
        </w:drawing>
      </w:r>
    </w:p>
    <w:p w14:paraId="42D31F93" w14:textId="19D79A4D" w:rsidR="0057624A" w:rsidRDefault="0057624A" w:rsidP="00140C0C">
      <w:pPr>
        <w:pStyle w:val="berschrift3"/>
      </w:pPr>
      <w:r>
        <w:t>Other Correlations</w:t>
      </w:r>
    </w:p>
    <w:p w14:paraId="57AB9BE7" w14:textId="5699C47A" w:rsidR="007E4692" w:rsidRDefault="00225936" w:rsidP="00225936">
      <w:pPr>
        <w:pStyle w:val="Listenabsatz"/>
        <w:numPr>
          <w:ilvl w:val="0"/>
          <w:numId w:val="9"/>
        </w:numPr>
        <w:rPr>
          <w:lang w:val="en-GB"/>
        </w:rPr>
      </w:pPr>
      <w:r>
        <w:rPr>
          <w:lang w:val="en-GB"/>
        </w:rPr>
        <w:t>Table of correlation values for all the remaining combinations that are don’t use the period.</w:t>
      </w:r>
    </w:p>
    <w:p w14:paraId="6109D528" w14:textId="7DA28D41" w:rsidR="0057624A" w:rsidRPr="00760DDD" w:rsidRDefault="00140C0C" w:rsidP="00140C0C">
      <w:pPr>
        <w:pStyle w:val="berschrift2"/>
        <w:rPr>
          <w:highlight w:val="yellow"/>
        </w:rPr>
      </w:pPr>
      <w:r w:rsidRPr="00760DDD">
        <w:rPr>
          <w:highlight w:val="yellow"/>
        </w:rPr>
        <w:t>Impact of Correlation Coefficients on Conditional Spectra</w:t>
      </w:r>
    </w:p>
    <w:p w14:paraId="3E62D415" w14:textId="4C52CCC2" w:rsidR="00140C0C" w:rsidRDefault="00140C0C" w:rsidP="00140C0C">
      <w:pPr>
        <w:pStyle w:val="Listenabsatz"/>
        <w:numPr>
          <w:ilvl w:val="0"/>
          <w:numId w:val="9"/>
        </w:numPr>
        <w:rPr>
          <w:lang w:val="en-GB"/>
        </w:rPr>
      </w:pPr>
      <w:r>
        <w:rPr>
          <w:lang w:val="en-GB"/>
        </w:rPr>
        <w:t>The results of the previous section show that there are substantial differences in the correlation models between studies. It may suggest as JC19 that region specific may indeed be the way to go…</w:t>
      </w:r>
    </w:p>
    <w:p w14:paraId="75640CCD" w14:textId="52DB01D8" w:rsidR="00140C0C" w:rsidRDefault="00140C0C" w:rsidP="00140C0C">
      <w:pPr>
        <w:pStyle w:val="Listenabsatz"/>
        <w:numPr>
          <w:ilvl w:val="0"/>
          <w:numId w:val="9"/>
        </w:numPr>
        <w:rPr>
          <w:lang w:val="en-GB"/>
        </w:rPr>
      </w:pPr>
      <w:r>
        <w:rPr>
          <w:lang w:val="en-GB"/>
        </w:rPr>
        <w:lastRenderedPageBreak/>
        <w:t>But what practical effect do the varying correlation coefficients have on conditional spectra.</w:t>
      </w:r>
      <w:r w:rsidR="00760DDD">
        <w:rPr>
          <w:lang w:val="en-GB"/>
        </w:rPr>
        <w:t xml:space="preserve"> </w:t>
      </w:r>
      <w:r w:rsidR="00760DDD" w:rsidRPr="00760DDD">
        <w:rPr>
          <w:lang w:val="en-GB"/>
        </w:rPr>
        <w:sym w:font="Wingdings" w:char="F0E0"/>
      </w:r>
      <w:r w:rsidR="00760DDD">
        <w:rPr>
          <w:lang w:val="en-GB"/>
        </w:rPr>
        <w:t xml:space="preserve"> </w:t>
      </w:r>
      <w:r w:rsidR="005E7F7B">
        <w:rPr>
          <w:lang w:val="en-GB"/>
        </w:rPr>
        <w:t>like</w:t>
      </w:r>
      <w:r w:rsidR="00760DDD">
        <w:rPr>
          <w:lang w:val="en-GB"/>
        </w:rPr>
        <w:t xml:space="preserve"> Baker and Bradley [2017]</w:t>
      </w:r>
    </w:p>
    <w:p w14:paraId="2CD4CD86" w14:textId="0D337A73" w:rsidR="00552CE8" w:rsidRDefault="00140C0C" w:rsidP="00552CE8">
      <w:pPr>
        <w:pStyle w:val="Listenabsatz"/>
        <w:numPr>
          <w:ilvl w:val="1"/>
          <w:numId w:val="9"/>
        </w:numPr>
        <w:rPr>
          <w:lang w:val="en-GB"/>
        </w:rPr>
      </w:pPr>
      <w:r>
        <w:rPr>
          <w:lang w:val="en-GB"/>
        </w:rPr>
        <w:t>Using each of my correlation models and a selection of other models for several different earthquake scenarios and several different conditioning periods</w:t>
      </w:r>
    </w:p>
    <w:p w14:paraId="4C721ED6" w14:textId="704F6B3E" w:rsidR="00552CE8" w:rsidRDefault="00552CE8" w:rsidP="00552CE8">
      <w:pPr>
        <w:pStyle w:val="Listenabsatz"/>
        <w:numPr>
          <w:ilvl w:val="1"/>
          <w:numId w:val="9"/>
        </w:numPr>
        <w:rPr>
          <w:lang w:val="en-GB"/>
        </w:rPr>
      </w:pPr>
      <w:r>
        <w:rPr>
          <w:lang w:val="en-GB"/>
        </w:rPr>
        <w:t>Compare the results. Are they significantly different? If yes then region and tectonic-specific correlation models are needed and our work is valuable because we clearly show that there is a difference between ESM records and global or other regional sets. If not then it probably doesn’t matter much what model you use.</w:t>
      </w:r>
    </w:p>
    <w:p w14:paraId="5227D321" w14:textId="5112D1D2" w:rsidR="00760DDD" w:rsidRPr="00760DDD" w:rsidRDefault="00760DDD" w:rsidP="00760DDD">
      <w:pPr>
        <w:pStyle w:val="berschrift2"/>
        <w:rPr>
          <w:highlight w:val="cyan"/>
        </w:rPr>
      </w:pPr>
      <w:r w:rsidRPr="00760DDD">
        <w:rPr>
          <w:highlight w:val="cyan"/>
        </w:rPr>
        <w:t>Dependence on Magnitude and Distance</w:t>
      </w:r>
    </w:p>
    <w:p w14:paraId="0A5C1BCD" w14:textId="443CB7CB" w:rsidR="00760DDD" w:rsidRPr="00760DDD" w:rsidRDefault="00760DDD" w:rsidP="00760DDD">
      <w:pPr>
        <w:pStyle w:val="Listenabsatz"/>
        <w:numPr>
          <w:ilvl w:val="0"/>
          <w:numId w:val="11"/>
        </w:numPr>
        <w:rPr>
          <w:lang w:val="en-GB"/>
        </w:rPr>
      </w:pPr>
      <w:r>
        <w:rPr>
          <w:lang w:val="en-GB"/>
        </w:rPr>
        <w:t xml:space="preserve">Not done and I would try to avoid it because we need to redo the calculations on different subsets of the data. Although it would be useful new information for </w:t>
      </w:r>
      <w:r w:rsidR="005E7F7B">
        <w:rPr>
          <w:lang w:val="en-GB"/>
        </w:rPr>
        <w:t xml:space="preserve">our </w:t>
      </w:r>
      <w:r>
        <w:rPr>
          <w:lang w:val="en-GB"/>
        </w:rPr>
        <w:t xml:space="preserve">subduction dataset </w:t>
      </w:r>
      <w:r w:rsidR="005E7F7B">
        <w:rPr>
          <w:lang w:val="en-GB"/>
        </w:rPr>
        <w:t>and could be compared to the NGA-Sub database coefficients</w:t>
      </w:r>
    </w:p>
    <w:p w14:paraId="67834BB6" w14:textId="0E54209C" w:rsidR="00552CE8" w:rsidRDefault="00552CE8" w:rsidP="00552CE8">
      <w:pPr>
        <w:pStyle w:val="berschrift1"/>
      </w:pPr>
      <w:r>
        <w:t>Conclusion</w:t>
      </w:r>
    </w:p>
    <w:p w14:paraId="0C999594" w14:textId="77777777" w:rsidR="00552CE8" w:rsidRDefault="00552CE8" w:rsidP="00552CE8">
      <w:pPr>
        <w:rPr>
          <w:lang w:val="en-GB"/>
        </w:rPr>
      </w:pPr>
    </w:p>
    <w:p w14:paraId="15014A3E" w14:textId="40925DBA" w:rsidR="00552CE8" w:rsidRPr="00552CE8" w:rsidRDefault="00552CE8" w:rsidP="00552CE8">
      <w:pPr>
        <w:pStyle w:val="berschrift1"/>
      </w:pPr>
      <w:r>
        <w:t>References</w:t>
      </w:r>
    </w:p>
    <w:p w14:paraId="492140FA" w14:textId="6A1BED79" w:rsidR="00552CE8" w:rsidRPr="00552CE8" w:rsidRDefault="00552CE8" w:rsidP="00552CE8">
      <w:pPr>
        <w:ind w:left="1080"/>
        <w:rPr>
          <w:lang w:val="en-GB"/>
        </w:rPr>
      </w:pPr>
      <w:r w:rsidRPr="00552CE8">
        <w:rPr>
          <w:lang w:val="en-GB"/>
        </w:rPr>
        <w:t xml:space="preserve"> </w:t>
      </w:r>
    </w:p>
    <w:sectPr w:rsidR="00552CE8" w:rsidRPr="00552C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427B"/>
    <w:multiLevelType w:val="hybridMultilevel"/>
    <w:tmpl w:val="70F28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ABD7093"/>
    <w:multiLevelType w:val="hybridMultilevel"/>
    <w:tmpl w:val="CFB6282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A7F7E5F"/>
    <w:multiLevelType w:val="hybridMultilevel"/>
    <w:tmpl w:val="937C75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B0C15C4"/>
    <w:multiLevelType w:val="multilevel"/>
    <w:tmpl w:val="51A0F02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2B2A2D79"/>
    <w:multiLevelType w:val="hybridMultilevel"/>
    <w:tmpl w:val="4DFC2F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F5C1BDB"/>
    <w:multiLevelType w:val="multilevel"/>
    <w:tmpl w:val="FEEA01BE"/>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E6E42AB"/>
    <w:multiLevelType w:val="hybridMultilevel"/>
    <w:tmpl w:val="BF34DF6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D1B5905"/>
    <w:multiLevelType w:val="hybridMultilevel"/>
    <w:tmpl w:val="9B7A392A"/>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46B2818"/>
    <w:multiLevelType w:val="hybridMultilevel"/>
    <w:tmpl w:val="9A5E7F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DEF3695"/>
    <w:multiLevelType w:val="hybridMultilevel"/>
    <w:tmpl w:val="9878C7F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84E1567"/>
    <w:multiLevelType w:val="hybridMultilevel"/>
    <w:tmpl w:val="74C63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78477612">
    <w:abstractNumId w:val="5"/>
  </w:num>
  <w:num w:numId="2" w16cid:durableId="1058013287">
    <w:abstractNumId w:val="3"/>
  </w:num>
  <w:num w:numId="3" w16cid:durableId="1854176740">
    <w:abstractNumId w:val="8"/>
  </w:num>
  <w:num w:numId="4" w16cid:durableId="1733314120">
    <w:abstractNumId w:val="9"/>
  </w:num>
  <w:num w:numId="5" w16cid:durableId="381176073">
    <w:abstractNumId w:val="0"/>
  </w:num>
  <w:num w:numId="6" w16cid:durableId="941453110">
    <w:abstractNumId w:val="6"/>
  </w:num>
  <w:num w:numId="7" w16cid:durableId="1633487125">
    <w:abstractNumId w:val="2"/>
  </w:num>
  <w:num w:numId="8" w16cid:durableId="1527061791">
    <w:abstractNumId w:val="10"/>
  </w:num>
  <w:num w:numId="9" w16cid:durableId="502622622">
    <w:abstractNumId w:val="1"/>
  </w:num>
  <w:num w:numId="10" w16cid:durableId="748036673">
    <w:abstractNumId w:val="7"/>
  </w:num>
  <w:num w:numId="11" w16cid:durableId="1311326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B9"/>
    <w:rsid w:val="000B267A"/>
    <w:rsid w:val="00140C0C"/>
    <w:rsid w:val="001F4FA3"/>
    <w:rsid w:val="00217CC0"/>
    <w:rsid w:val="00225936"/>
    <w:rsid w:val="002E1896"/>
    <w:rsid w:val="00482B83"/>
    <w:rsid w:val="00552CE8"/>
    <w:rsid w:val="0057624A"/>
    <w:rsid w:val="005E7F7B"/>
    <w:rsid w:val="006C2EB6"/>
    <w:rsid w:val="006C6412"/>
    <w:rsid w:val="00760DDD"/>
    <w:rsid w:val="007C62B9"/>
    <w:rsid w:val="007E4692"/>
    <w:rsid w:val="00A13EEB"/>
    <w:rsid w:val="00A246F6"/>
    <w:rsid w:val="00B433C3"/>
    <w:rsid w:val="00B57B4B"/>
    <w:rsid w:val="00B75327"/>
    <w:rsid w:val="00BF01E4"/>
    <w:rsid w:val="00D25BF5"/>
    <w:rsid w:val="00D60BCC"/>
    <w:rsid w:val="00E66A7E"/>
    <w:rsid w:val="00F511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26DB"/>
  <w15:chartTrackingRefBased/>
  <w15:docId w15:val="{30DFC7E8-896C-4961-8B48-77E9D57FA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62B9"/>
    <w:pPr>
      <w:keepNext/>
      <w:keepLines/>
      <w:numPr>
        <w:numId w:val="2"/>
      </w:numPr>
      <w:spacing w:before="360" w:after="80"/>
      <w:outlineLvl w:val="0"/>
    </w:pPr>
    <w:rPr>
      <w:rFonts w:asciiTheme="majorHAnsi" w:eastAsiaTheme="majorEastAsia" w:hAnsiTheme="majorHAnsi" w:cstheme="majorBidi"/>
      <w:b/>
      <w:bCs/>
      <w:sz w:val="32"/>
      <w:szCs w:val="32"/>
      <w:lang w:val="en-GB"/>
    </w:rPr>
  </w:style>
  <w:style w:type="paragraph" w:styleId="berschrift2">
    <w:name w:val="heading 2"/>
    <w:basedOn w:val="Standard"/>
    <w:next w:val="Standard"/>
    <w:link w:val="berschrift2Zchn"/>
    <w:uiPriority w:val="9"/>
    <w:unhideWhenUsed/>
    <w:qFormat/>
    <w:rsid w:val="007C62B9"/>
    <w:pPr>
      <w:keepNext/>
      <w:keepLines/>
      <w:numPr>
        <w:ilvl w:val="1"/>
        <w:numId w:val="2"/>
      </w:numPr>
      <w:spacing w:before="160" w:after="80"/>
      <w:outlineLvl w:val="1"/>
    </w:pPr>
    <w:rPr>
      <w:rFonts w:asciiTheme="majorHAnsi" w:eastAsiaTheme="majorEastAsia" w:hAnsiTheme="majorHAnsi" w:cstheme="majorBidi"/>
      <w:b/>
      <w:bCs/>
      <w:sz w:val="28"/>
      <w:szCs w:val="28"/>
      <w:lang w:val="en-GB"/>
    </w:rPr>
  </w:style>
  <w:style w:type="paragraph" w:styleId="berschrift3">
    <w:name w:val="heading 3"/>
    <w:basedOn w:val="Standard"/>
    <w:next w:val="Standard"/>
    <w:link w:val="berschrift3Zchn"/>
    <w:uiPriority w:val="9"/>
    <w:unhideWhenUsed/>
    <w:qFormat/>
    <w:rsid w:val="007C62B9"/>
    <w:pPr>
      <w:keepNext/>
      <w:keepLines/>
      <w:numPr>
        <w:ilvl w:val="2"/>
        <w:numId w:val="2"/>
      </w:numPr>
      <w:spacing w:before="160" w:after="80"/>
      <w:outlineLvl w:val="2"/>
    </w:pPr>
    <w:rPr>
      <w:rFonts w:eastAsiaTheme="majorEastAsia" w:cstheme="majorBidi"/>
      <w:b/>
      <w:bCs/>
      <w:lang w:val="en-GB"/>
    </w:rPr>
  </w:style>
  <w:style w:type="paragraph" w:styleId="berschrift4">
    <w:name w:val="heading 4"/>
    <w:basedOn w:val="Standard"/>
    <w:next w:val="Standard"/>
    <w:link w:val="berschrift4Zchn"/>
    <w:uiPriority w:val="9"/>
    <w:semiHidden/>
    <w:unhideWhenUsed/>
    <w:qFormat/>
    <w:rsid w:val="007C62B9"/>
    <w:pPr>
      <w:keepNext/>
      <w:keepLines/>
      <w:numPr>
        <w:ilvl w:val="3"/>
        <w:numId w:val="2"/>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62B9"/>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62B9"/>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62B9"/>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62B9"/>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62B9"/>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62B9"/>
    <w:rPr>
      <w:rFonts w:asciiTheme="majorHAnsi" w:eastAsiaTheme="majorEastAsia" w:hAnsiTheme="majorHAnsi" w:cstheme="majorBidi"/>
      <w:b/>
      <w:bCs/>
      <w:sz w:val="32"/>
      <w:szCs w:val="32"/>
      <w:lang w:val="en-GB"/>
    </w:rPr>
  </w:style>
  <w:style w:type="character" w:customStyle="1" w:styleId="berschrift2Zchn">
    <w:name w:val="Überschrift 2 Zchn"/>
    <w:basedOn w:val="Absatz-Standardschriftart"/>
    <w:link w:val="berschrift2"/>
    <w:uiPriority w:val="9"/>
    <w:rsid w:val="007C62B9"/>
    <w:rPr>
      <w:rFonts w:asciiTheme="majorHAnsi" w:eastAsiaTheme="majorEastAsia" w:hAnsiTheme="majorHAnsi" w:cstheme="majorBidi"/>
      <w:b/>
      <w:bCs/>
      <w:sz w:val="28"/>
      <w:szCs w:val="28"/>
      <w:lang w:val="en-GB"/>
    </w:rPr>
  </w:style>
  <w:style w:type="character" w:customStyle="1" w:styleId="berschrift3Zchn">
    <w:name w:val="Überschrift 3 Zchn"/>
    <w:basedOn w:val="Absatz-Standardschriftart"/>
    <w:link w:val="berschrift3"/>
    <w:uiPriority w:val="9"/>
    <w:rsid w:val="007C62B9"/>
    <w:rPr>
      <w:rFonts w:eastAsiaTheme="majorEastAsia" w:cstheme="majorBidi"/>
      <w:b/>
      <w:bCs/>
      <w:lang w:val="en-GB"/>
    </w:rPr>
  </w:style>
  <w:style w:type="character" w:customStyle="1" w:styleId="berschrift4Zchn">
    <w:name w:val="Überschrift 4 Zchn"/>
    <w:basedOn w:val="Absatz-Standardschriftart"/>
    <w:link w:val="berschrift4"/>
    <w:uiPriority w:val="9"/>
    <w:semiHidden/>
    <w:rsid w:val="007C62B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62B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62B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62B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62B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62B9"/>
    <w:rPr>
      <w:rFonts w:eastAsiaTheme="majorEastAsia" w:cstheme="majorBidi"/>
      <w:color w:val="272727" w:themeColor="text1" w:themeTint="D8"/>
    </w:rPr>
  </w:style>
  <w:style w:type="paragraph" w:styleId="Titel">
    <w:name w:val="Title"/>
    <w:basedOn w:val="Standard"/>
    <w:next w:val="Standard"/>
    <w:link w:val="TitelZchn"/>
    <w:uiPriority w:val="10"/>
    <w:qFormat/>
    <w:rsid w:val="007C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62B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62B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62B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62B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62B9"/>
    <w:rPr>
      <w:i/>
      <w:iCs/>
      <w:color w:val="404040" w:themeColor="text1" w:themeTint="BF"/>
    </w:rPr>
  </w:style>
  <w:style w:type="paragraph" w:styleId="Listenabsatz">
    <w:name w:val="List Paragraph"/>
    <w:basedOn w:val="Standard"/>
    <w:uiPriority w:val="34"/>
    <w:qFormat/>
    <w:rsid w:val="007C62B9"/>
    <w:pPr>
      <w:ind w:left="720"/>
      <w:contextualSpacing/>
    </w:pPr>
  </w:style>
  <w:style w:type="character" w:styleId="IntensiveHervorhebung">
    <w:name w:val="Intense Emphasis"/>
    <w:basedOn w:val="Absatz-Standardschriftart"/>
    <w:uiPriority w:val="21"/>
    <w:qFormat/>
    <w:rsid w:val="007C62B9"/>
    <w:rPr>
      <w:i/>
      <w:iCs/>
      <w:color w:val="0F4761" w:themeColor="accent1" w:themeShade="BF"/>
    </w:rPr>
  </w:style>
  <w:style w:type="paragraph" w:styleId="IntensivesZitat">
    <w:name w:val="Intense Quote"/>
    <w:basedOn w:val="Standard"/>
    <w:next w:val="Standard"/>
    <w:link w:val="IntensivesZitatZchn"/>
    <w:uiPriority w:val="30"/>
    <w:qFormat/>
    <w:rsid w:val="007C6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62B9"/>
    <w:rPr>
      <w:i/>
      <w:iCs/>
      <w:color w:val="0F4761" w:themeColor="accent1" w:themeShade="BF"/>
    </w:rPr>
  </w:style>
  <w:style w:type="character" w:styleId="IntensiverVerweis">
    <w:name w:val="Intense Reference"/>
    <w:basedOn w:val="Absatz-Standardschriftart"/>
    <w:uiPriority w:val="32"/>
    <w:qFormat/>
    <w:rsid w:val="007C6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749</Words>
  <Characters>4722</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Aaron Clemett</dc:creator>
  <cp:keywords/>
  <dc:description/>
  <cp:lastModifiedBy>Nicholas Aaron Clemett</cp:lastModifiedBy>
  <cp:revision>3</cp:revision>
  <dcterms:created xsi:type="dcterms:W3CDTF">2026-10-01T11:19:00Z</dcterms:created>
  <dcterms:modified xsi:type="dcterms:W3CDTF">2026-10-01T11:47:00Z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d2079b-6d85-4185-8122-5cca51dad164_Enabled">
    <vt:lpwstr>true</vt:lpwstr>
  </property>
  <property fmtid="{D5CDD505-2E9C-101B-9397-08002B2CF9AE}" pid="3" name="MSIP_Label_8fd2079b-6d85-4185-8122-5cca51dad164_SetDate">
    <vt:lpwstr>2026-10-01T08:36:30Z</vt:lpwstr>
  </property>
  <property fmtid="{D5CDD505-2E9C-101B-9397-08002B2CF9AE}" pid="4" name="MSIP_Label_8fd2079b-6d85-4185-8122-5cca51dad164_Method">
    <vt:lpwstr>Standard</vt:lpwstr>
  </property>
  <property fmtid="{D5CDD505-2E9C-101B-9397-08002B2CF9AE}" pid="5" name="MSIP_Label_8fd2079b-6d85-4185-8122-5cca51dad164_Name">
    <vt:lpwstr>Öffentlich</vt:lpwstr>
  </property>
  <property fmtid="{D5CDD505-2E9C-101B-9397-08002B2CF9AE}" pid="6" name="MSIP_Label_8fd2079b-6d85-4185-8122-5cca51dad164_SiteId">
    <vt:lpwstr>5832f73f-b0fa-45a0-80d9-7e32bd7fa822</vt:lpwstr>
  </property>
  <property fmtid="{D5CDD505-2E9C-101B-9397-08002B2CF9AE}" pid="7" name="MSIP_Label_8fd2079b-6d85-4185-8122-5cca51dad164_ActionId">
    <vt:lpwstr>667a7a4d-1183-4c09-90f2-8811bb5bb5d4</vt:lpwstr>
  </property>
  <property fmtid="{D5CDD505-2E9C-101B-9397-08002B2CF9AE}" pid="8" name="MSIP_Label_8fd2079b-6d85-4185-8122-5cca51dad164_ContentBits">
    <vt:lpwstr>0</vt:lpwstr>
  </property>
  <property fmtid="{D5CDD505-2E9C-101B-9397-08002B2CF9AE}" pid="9" name="MSIP_Label_8fd2079b-6d85-4185-8122-5cca51dad164_Tag">
    <vt:lpwstr>10, 3, 0, 1</vt:lpwstr>
  </property>
</Properties>
</file>