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77E0" w14:textId="1A592CB3" w:rsidR="007C62B9" w:rsidRPr="007C62B9" w:rsidRDefault="007C62B9" w:rsidP="007C62B9">
      <w:pPr>
        <w:rPr>
          <w:b/>
          <w:bCs/>
          <w:sz w:val="36"/>
          <w:szCs w:val="36"/>
          <w:lang w:val="en-GB"/>
        </w:rPr>
      </w:pPr>
      <w:r w:rsidRPr="007C62B9">
        <w:rPr>
          <w:b/>
          <w:bCs/>
          <w:sz w:val="36"/>
          <w:szCs w:val="36"/>
          <w:lang w:val="en-GB"/>
        </w:rPr>
        <w:t xml:space="preserve">Paper </w:t>
      </w:r>
      <w:r w:rsidR="002E5FC9">
        <w:rPr>
          <w:b/>
          <w:bCs/>
          <w:sz w:val="36"/>
          <w:szCs w:val="36"/>
          <w:lang w:val="en-GB"/>
        </w:rPr>
        <w:t>3</w:t>
      </w:r>
      <w:r w:rsidRPr="007C62B9">
        <w:rPr>
          <w:b/>
          <w:bCs/>
          <w:sz w:val="36"/>
          <w:szCs w:val="36"/>
          <w:lang w:val="en-GB"/>
        </w:rPr>
        <w:t xml:space="preserve">: </w:t>
      </w:r>
      <w:r w:rsidR="002E5FC9">
        <w:rPr>
          <w:b/>
          <w:bCs/>
          <w:sz w:val="36"/>
          <w:szCs w:val="36"/>
          <w:lang w:val="en-GB"/>
        </w:rPr>
        <w:t>EU Verified Record Set</w:t>
      </w:r>
    </w:p>
    <w:p w14:paraId="79B8BA22" w14:textId="20108B46" w:rsidR="000B267A" w:rsidRDefault="000B267A" w:rsidP="00C1514D">
      <w:pPr>
        <w:pStyle w:val="berschrift1"/>
      </w:pPr>
      <w:r>
        <w:t>Introduction / Motivation</w:t>
      </w:r>
    </w:p>
    <w:p w14:paraId="51D8D255" w14:textId="14CB9BDC" w:rsidR="00C1514D" w:rsidRDefault="00C1514D" w:rsidP="00C1514D">
      <w:pPr>
        <w:pStyle w:val="Listenabsatz"/>
        <w:numPr>
          <w:ilvl w:val="0"/>
          <w:numId w:val="12"/>
        </w:numPr>
        <w:rPr>
          <w:lang w:val="en-GB"/>
        </w:rPr>
      </w:pPr>
      <w:r>
        <w:rPr>
          <w:lang w:val="en-GB"/>
        </w:rPr>
        <w:t>Risk/Reliability-based design conceptual idea</w:t>
      </w:r>
    </w:p>
    <w:p w14:paraId="0E5AD5F8" w14:textId="6F79B847" w:rsidR="00C1514D" w:rsidRDefault="00C1514D" w:rsidP="00C1514D">
      <w:pPr>
        <w:pStyle w:val="Listenabsatz"/>
        <w:numPr>
          <w:ilvl w:val="1"/>
          <w:numId w:val="12"/>
        </w:numPr>
        <w:rPr>
          <w:lang w:val="en-GB"/>
        </w:rPr>
      </w:pPr>
      <w:r>
        <w:rPr>
          <w:lang w:val="en-GB"/>
        </w:rPr>
        <w:t xml:space="preserve">Iterate to find a suitable median and dispersion for the fragility curve of your structure </w:t>
      </w:r>
    </w:p>
    <w:p w14:paraId="778B62DA" w14:textId="31B070F5" w:rsidR="00D1586C" w:rsidRDefault="00D1586C" w:rsidP="00D1586C">
      <w:pPr>
        <w:pStyle w:val="Listenabsatz"/>
        <w:numPr>
          <w:ilvl w:val="0"/>
          <w:numId w:val="12"/>
        </w:numPr>
        <w:rPr>
          <w:lang w:val="en-GB"/>
        </w:rPr>
      </w:pPr>
      <w:r>
        <w:rPr>
          <w:lang w:val="en-GB"/>
        </w:rPr>
        <w:t>Determining the fragility parameters of your structure</w:t>
      </w:r>
    </w:p>
    <w:p w14:paraId="3BA7F765" w14:textId="3FD13714" w:rsidR="00D1586C" w:rsidRDefault="00D1586C" w:rsidP="00C1514D">
      <w:pPr>
        <w:pStyle w:val="Listenabsatz"/>
        <w:numPr>
          <w:ilvl w:val="1"/>
          <w:numId w:val="12"/>
        </w:numPr>
        <w:rPr>
          <w:lang w:val="en-GB"/>
        </w:rPr>
      </w:pPr>
      <w:r>
        <w:rPr>
          <w:lang w:val="en-GB"/>
        </w:rPr>
        <w:t>In the most general sense, the structure is analysed using a set of records to determine its fragility parameters. These analyses can take the form of either an IDA or MSA (cloud analysis is also an option…)</w:t>
      </w:r>
    </w:p>
    <w:p w14:paraId="0D3C9584" w14:textId="1A9DFCC9" w:rsidR="00D1586C" w:rsidRDefault="00D1586C" w:rsidP="00D1586C">
      <w:pPr>
        <w:pStyle w:val="Listenabsatz"/>
        <w:numPr>
          <w:ilvl w:val="2"/>
          <w:numId w:val="12"/>
        </w:numPr>
        <w:rPr>
          <w:lang w:val="en-GB"/>
        </w:rPr>
      </w:pPr>
      <w:r>
        <w:rPr>
          <w:lang w:val="en-GB"/>
        </w:rPr>
        <w:t>IDA continuous scaling of a single set of records delivers a capacity distribution</w:t>
      </w:r>
    </w:p>
    <w:p w14:paraId="3E5322FB" w14:textId="77777777" w:rsidR="00D1586C" w:rsidRDefault="00D1586C" w:rsidP="00D1586C">
      <w:pPr>
        <w:pStyle w:val="Listenabsatz"/>
        <w:numPr>
          <w:ilvl w:val="2"/>
          <w:numId w:val="12"/>
        </w:numPr>
        <w:rPr>
          <w:lang w:val="en-GB"/>
        </w:rPr>
      </w:pPr>
      <w:r>
        <w:rPr>
          <w:lang w:val="en-GB"/>
        </w:rPr>
        <w:t>MSA analyses a set of records at discrete intensity levels and fits a lognormal fragility curve that best matches the collapse ratios observed at each IML.</w:t>
      </w:r>
    </w:p>
    <w:p w14:paraId="356330BB" w14:textId="77777777" w:rsidR="00D1586C" w:rsidRDefault="00D1586C" w:rsidP="00D1586C">
      <w:pPr>
        <w:pStyle w:val="Listenabsatz"/>
        <w:numPr>
          <w:ilvl w:val="1"/>
          <w:numId w:val="12"/>
        </w:numPr>
        <w:rPr>
          <w:lang w:val="en-GB"/>
        </w:rPr>
      </w:pPr>
      <w:r>
        <w:rPr>
          <w:lang w:val="en-GB"/>
        </w:rPr>
        <w:t>Advantage of IDA is that it usually uses a predefined set of ground motion records e.g. FEMA P695, and no record selection is required.</w:t>
      </w:r>
    </w:p>
    <w:p w14:paraId="63F388A8" w14:textId="166E32A4" w:rsidR="00D1586C" w:rsidRDefault="00D1586C" w:rsidP="00D1586C">
      <w:pPr>
        <w:pStyle w:val="Listenabsatz"/>
        <w:numPr>
          <w:ilvl w:val="1"/>
          <w:numId w:val="12"/>
        </w:numPr>
        <w:rPr>
          <w:lang w:val="en-GB"/>
        </w:rPr>
      </w:pPr>
      <w:r>
        <w:rPr>
          <w:lang w:val="en-GB"/>
        </w:rPr>
        <w:t xml:space="preserve">In contrast MSA through the conditional spectrum or GCIM </w:t>
      </w:r>
      <w:r w:rsidR="00BE00AF">
        <w:rPr>
          <w:lang w:val="en-GB"/>
        </w:rPr>
        <w:t xml:space="preserve">selection </w:t>
      </w:r>
      <w:r>
        <w:rPr>
          <w:lang w:val="en-GB"/>
        </w:rPr>
        <w:t xml:space="preserve">methods utilises multiple sets of records that have been specifically selected so that they represent the expected hazard characteristics a site for a given intensity level. </w:t>
      </w:r>
    </w:p>
    <w:p w14:paraId="6346DAA9" w14:textId="7F9A8665" w:rsidR="00BE00AF" w:rsidRDefault="00BE00AF" w:rsidP="00BE00AF">
      <w:pPr>
        <w:pStyle w:val="Listenabsatz"/>
        <w:numPr>
          <w:ilvl w:val="0"/>
          <w:numId w:val="12"/>
        </w:numPr>
        <w:rPr>
          <w:lang w:val="en-GB"/>
        </w:rPr>
      </w:pPr>
      <w:r>
        <w:rPr>
          <w:lang w:val="en-GB"/>
        </w:rPr>
        <w:t>Modification of IDA fragility results to improve agreement with MSA</w:t>
      </w:r>
    </w:p>
    <w:p w14:paraId="6B8DD041" w14:textId="5FC33DCD" w:rsidR="00BE00AF" w:rsidRDefault="00BE00AF" w:rsidP="00BE00AF">
      <w:pPr>
        <w:pStyle w:val="Listenabsatz"/>
        <w:numPr>
          <w:ilvl w:val="1"/>
          <w:numId w:val="12"/>
        </w:numPr>
        <w:rPr>
          <w:lang w:val="en-GB"/>
        </w:rPr>
      </w:pPr>
      <w:r>
        <w:rPr>
          <w:lang w:val="en-GB"/>
        </w:rPr>
        <w:t>Although MSA with GCIM record selection is generally considered the gold-standard for seismic performance assessment, due to the complex nature of the record selection, seismic assessment guidelines such as FEMA-P695 have proposed the use of a single-set of preselected records within an IDA. The propose a spectral shape correction factor to adjust the median collapse capacity to account for this difference.</w:t>
      </w:r>
    </w:p>
    <w:p w14:paraId="4A0950EE" w14:textId="01E7337B" w:rsidR="00BE00AF" w:rsidRPr="00143282" w:rsidRDefault="00BE00AF" w:rsidP="00BE00AF">
      <w:pPr>
        <w:pStyle w:val="Listenabsatz"/>
        <w:numPr>
          <w:ilvl w:val="1"/>
          <w:numId w:val="12"/>
        </w:numPr>
        <w:rPr>
          <w:highlight w:val="yellow"/>
          <w:lang w:val="en-GB"/>
        </w:rPr>
      </w:pPr>
      <w:r w:rsidRPr="00143282">
        <w:rPr>
          <w:highlight w:val="yellow"/>
          <w:lang w:val="en-GB"/>
        </w:rPr>
        <w:t>Include review of studies that have proposed different IDA correction methods including SAF-IDA from (Zhong et al. 2021)</w:t>
      </w:r>
    </w:p>
    <w:p w14:paraId="779259BB" w14:textId="45EA5157" w:rsidR="00BE00AF" w:rsidRDefault="00143282" w:rsidP="00143282">
      <w:pPr>
        <w:pStyle w:val="Listenabsatz"/>
        <w:numPr>
          <w:ilvl w:val="1"/>
          <w:numId w:val="12"/>
        </w:numPr>
        <w:rPr>
          <w:lang w:val="en-GB"/>
        </w:rPr>
      </w:pPr>
      <w:r>
        <w:rPr>
          <w:lang w:val="en-GB"/>
        </w:rPr>
        <w:t xml:space="preserve">Set up the need for our method </w:t>
      </w:r>
      <w:r w:rsidRPr="00143282">
        <w:rPr>
          <w:lang w:val="en-GB"/>
        </w:rPr>
        <w:sym w:font="Wingdings" w:char="F0E0"/>
      </w:r>
      <w:r>
        <w:rPr>
          <w:lang w:val="en-GB"/>
        </w:rPr>
        <w:t xml:space="preserve"> no special record selection. More efficient IM (AvgSA vs SA(T1)) used for the IDAs. Correction includes duration which is has been shown to be an important considering in determining the collapse capacity (</w:t>
      </w:r>
      <w:proofErr w:type="spellStart"/>
      <w:r>
        <w:rPr>
          <w:lang w:val="en-GB"/>
        </w:rPr>
        <w:t>Chandrohman</w:t>
      </w:r>
      <w:proofErr w:type="spellEnd"/>
      <w:r>
        <w:rPr>
          <w:lang w:val="en-GB"/>
        </w:rPr>
        <w:t xml:space="preserve"> et al. 2016, Otarola et al. 2021?)</w:t>
      </w:r>
    </w:p>
    <w:p w14:paraId="3F5FEB7D" w14:textId="5B22AFDE" w:rsidR="00143282" w:rsidRDefault="00143282" w:rsidP="00143282">
      <w:pPr>
        <w:pStyle w:val="Listenabsatz"/>
        <w:numPr>
          <w:ilvl w:val="1"/>
          <w:numId w:val="12"/>
        </w:numPr>
        <w:rPr>
          <w:lang w:val="en-GB"/>
        </w:rPr>
      </w:pPr>
      <w:r>
        <w:rPr>
          <w:lang w:val="en-GB"/>
        </w:rPr>
        <w:t>The most used predefined record set is FEMA-P695 which primarily reflects ground-motions typical of California</w:t>
      </w:r>
    </w:p>
    <w:p w14:paraId="11635050" w14:textId="656682A7" w:rsidR="00143282" w:rsidRPr="00143282" w:rsidRDefault="00024FC3" w:rsidP="00143282">
      <w:pPr>
        <w:pStyle w:val="Listenabsatz"/>
        <w:numPr>
          <w:ilvl w:val="1"/>
          <w:numId w:val="12"/>
        </w:numPr>
        <w:rPr>
          <w:lang w:val="en-GB"/>
        </w:rPr>
      </w:pPr>
      <w:r>
        <w:rPr>
          <w:lang w:val="en-GB"/>
        </w:rPr>
        <w:t xml:space="preserve">Most of the correction factor studies have been carried out in the US context. </w:t>
      </w:r>
      <w:r w:rsidR="00143282">
        <w:rPr>
          <w:lang w:val="en-GB"/>
        </w:rPr>
        <w:t>Correction factors are naturally site-specific</w:t>
      </w:r>
      <w:r>
        <w:rPr>
          <w:lang w:val="en-GB"/>
        </w:rPr>
        <w:t xml:space="preserve"> and depend strongly </w:t>
      </w:r>
      <w:r>
        <w:rPr>
          <w:lang w:val="en-GB"/>
        </w:rPr>
        <w:lastRenderedPageBreak/>
        <w:t xml:space="preserve">on the tectonic setting of the site. Europe has a large variation in tectonic settings (ASC, </w:t>
      </w:r>
      <w:proofErr w:type="spellStart"/>
      <w:r>
        <w:rPr>
          <w:lang w:val="en-GB"/>
        </w:rPr>
        <w:t>SSlab</w:t>
      </w:r>
      <w:proofErr w:type="spellEnd"/>
      <w:r>
        <w:rPr>
          <w:lang w:val="en-GB"/>
        </w:rPr>
        <w:t xml:space="preserve">, Sinter, Volcanic, </w:t>
      </w:r>
      <w:proofErr w:type="spellStart"/>
      <w:r>
        <w:rPr>
          <w:lang w:val="en-GB"/>
        </w:rPr>
        <w:t>Vrancea</w:t>
      </w:r>
      <w:proofErr w:type="spellEnd"/>
      <w:r>
        <w:rPr>
          <w:lang w:val="en-GB"/>
        </w:rPr>
        <w:t xml:space="preserve">, …) </w:t>
      </w:r>
    </w:p>
    <w:p w14:paraId="72831207" w14:textId="20E064FB" w:rsidR="00C1514D" w:rsidRDefault="00024FC3" w:rsidP="00024FC3">
      <w:pPr>
        <w:pStyle w:val="Listenabsatz"/>
        <w:numPr>
          <w:ilvl w:val="0"/>
          <w:numId w:val="12"/>
        </w:numPr>
        <w:rPr>
          <w:lang w:val="en-GB"/>
        </w:rPr>
      </w:pPr>
      <w:r>
        <w:rPr>
          <w:lang w:val="en-GB"/>
        </w:rPr>
        <w:t xml:space="preserve">This study investigates the relationship between the fragility parameters of European steel concentrically braced frames determine from IDA using a pre-determined set of ground motions and the those determined through detailed site-specific seismic hazard assessment. </w:t>
      </w:r>
    </w:p>
    <w:p w14:paraId="2439D270" w14:textId="77777777" w:rsidR="000305B6" w:rsidRDefault="00024FC3" w:rsidP="00024FC3">
      <w:pPr>
        <w:pStyle w:val="Listenabsatz"/>
        <w:numPr>
          <w:ilvl w:val="0"/>
          <w:numId w:val="12"/>
        </w:numPr>
        <w:rPr>
          <w:lang w:val="en-GB"/>
        </w:rPr>
      </w:pPr>
      <w:r>
        <w:rPr>
          <w:lang w:val="en-GB"/>
        </w:rPr>
        <w:t xml:space="preserve">The results of this study will have implications on the use of tools such as SPO-2-IDA or other </w:t>
      </w:r>
      <w:r w:rsidR="000305B6">
        <w:rPr>
          <w:lang w:val="en-GB"/>
        </w:rPr>
        <w:t>design strength to collapse capacity models that are based on IDA.</w:t>
      </w:r>
    </w:p>
    <w:p w14:paraId="7F668778" w14:textId="4EF93513" w:rsidR="00EE6342" w:rsidRPr="00EE6342" w:rsidRDefault="00EE6342" w:rsidP="00EE6342">
      <w:pPr>
        <w:pStyle w:val="berschrift1"/>
      </w:pPr>
      <w:r>
        <w:t>Site-Specific Correction Factor</w:t>
      </w:r>
    </w:p>
    <w:p w14:paraId="7DFF72B4" w14:textId="570CA32F" w:rsidR="00EE6342" w:rsidRDefault="00EE6342" w:rsidP="00EE6342">
      <w:pPr>
        <w:pStyle w:val="Listenabsatz"/>
        <w:numPr>
          <w:ilvl w:val="0"/>
          <w:numId w:val="21"/>
        </w:numPr>
        <w:rPr>
          <w:lang w:val="en-GB"/>
        </w:rPr>
      </w:pPr>
      <w:r>
        <w:rPr>
          <w:lang w:val="en-GB"/>
        </w:rPr>
        <w:t>Form of the equation of the correction factor and how it is applied to the results of an IDA fragility to get a more realistic site specific one.</w:t>
      </w:r>
    </w:p>
    <w:p w14:paraId="6B4DB879" w14:textId="02CEE804" w:rsidR="00F40B36" w:rsidRDefault="00F40B36" w:rsidP="004B606D">
      <w:pPr>
        <w:pStyle w:val="Listenabsatz"/>
        <w:numPr>
          <w:ilvl w:val="0"/>
          <w:numId w:val="20"/>
        </w:numPr>
        <w:rPr>
          <w:lang w:val="en-GB"/>
        </w:rPr>
      </w:pPr>
      <w:r>
        <w:rPr>
          <w:lang w:val="en-GB"/>
        </w:rPr>
        <w:t>Explain how the model was derived (methodological overview)</w:t>
      </w:r>
    </w:p>
    <w:p w14:paraId="784BCC3D" w14:textId="4B0399F3" w:rsidR="004B606D" w:rsidRDefault="004B606D" w:rsidP="00F40B36">
      <w:pPr>
        <w:pStyle w:val="Listenabsatz"/>
        <w:numPr>
          <w:ilvl w:val="1"/>
          <w:numId w:val="20"/>
        </w:numPr>
        <w:rPr>
          <w:lang w:val="en-GB"/>
        </w:rPr>
      </w:pPr>
      <w:r>
        <w:rPr>
          <w:lang w:val="en-GB"/>
        </w:rPr>
        <w:t>For a range of sites across Europe in a variety of tectonic settings compare the fragility parameters of several site-specific structures obtained from MSA-SS</w:t>
      </w:r>
      <w:r w:rsidR="00F40B36">
        <w:rPr>
          <w:lang w:val="en-GB"/>
        </w:rPr>
        <w:t xml:space="preserve">, MSA-FX, and </w:t>
      </w:r>
      <w:r>
        <w:rPr>
          <w:lang w:val="en-GB"/>
        </w:rPr>
        <w:t>IDA-FX.</w:t>
      </w:r>
    </w:p>
    <w:p w14:paraId="1B366D04" w14:textId="73225506" w:rsidR="004B606D" w:rsidRDefault="004B606D" w:rsidP="00F40B36">
      <w:pPr>
        <w:pStyle w:val="Listenabsatz"/>
        <w:numPr>
          <w:ilvl w:val="1"/>
          <w:numId w:val="20"/>
        </w:numPr>
        <w:rPr>
          <w:lang w:val="en-GB"/>
        </w:rPr>
      </w:pPr>
      <w:r>
        <w:rPr>
          <w:lang w:val="en-GB"/>
        </w:rPr>
        <w:t>Using statistical procedures to account for estimation uncertainty in the determination of the fragility parameters.</w:t>
      </w:r>
    </w:p>
    <w:p w14:paraId="27192256" w14:textId="1631DDD9" w:rsidR="004B606D" w:rsidRDefault="004B606D" w:rsidP="00F40B36">
      <w:pPr>
        <w:pStyle w:val="Listenabsatz"/>
        <w:numPr>
          <w:ilvl w:val="2"/>
          <w:numId w:val="20"/>
        </w:numPr>
        <w:rPr>
          <w:lang w:val="en-GB"/>
        </w:rPr>
      </w:pPr>
      <w:r>
        <w:rPr>
          <w:lang w:val="en-GB"/>
        </w:rPr>
        <w:t>Explain the role of bootstrapping</w:t>
      </w:r>
    </w:p>
    <w:p w14:paraId="53504C69" w14:textId="4C7D12F1" w:rsidR="004B606D" w:rsidRDefault="004B606D" w:rsidP="00F40B36">
      <w:pPr>
        <w:pStyle w:val="Listenabsatz"/>
        <w:numPr>
          <w:ilvl w:val="2"/>
          <w:numId w:val="20"/>
        </w:numPr>
        <w:rPr>
          <w:lang w:val="en-GB"/>
        </w:rPr>
      </w:pPr>
      <w:r>
        <w:rPr>
          <w:lang w:val="en-GB"/>
        </w:rPr>
        <w:t>Explain the concept of the Meta-Regression</w:t>
      </w:r>
    </w:p>
    <w:p w14:paraId="74EF8CCE" w14:textId="05AFD961" w:rsidR="00F40B36" w:rsidRDefault="00F40B36" w:rsidP="00F40B36">
      <w:pPr>
        <w:pStyle w:val="Listenabsatz"/>
        <w:numPr>
          <w:ilvl w:val="0"/>
          <w:numId w:val="20"/>
        </w:numPr>
        <w:rPr>
          <w:lang w:val="en-GB"/>
        </w:rPr>
      </w:pPr>
      <w:r>
        <w:rPr>
          <w:lang w:val="en-GB"/>
        </w:rPr>
        <w:t>The remainder of this article details the development and validation of the model described above.</w:t>
      </w:r>
    </w:p>
    <w:p w14:paraId="588A779D" w14:textId="3B881DBD" w:rsidR="000305B6" w:rsidRDefault="000305B6" w:rsidP="000305B6">
      <w:pPr>
        <w:pStyle w:val="berschrift1"/>
      </w:pPr>
      <w:r>
        <w:t>Site Selection</w:t>
      </w:r>
    </w:p>
    <w:p w14:paraId="06C644F8" w14:textId="60CC449A" w:rsidR="000305B6" w:rsidRDefault="000305B6" w:rsidP="000305B6">
      <w:pPr>
        <w:pStyle w:val="berschrift1"/>
      </w:pPr>
      <w:r>
        <w:t>Case-study Structures</w:t>
      </w:r>
    </w:p>
    <w:p w14:paraId="271FF2C0" w14:textId="7052C6B0" w:rsidR="000305B6" w:rsidRDefault="000305B6" w:rsidP="000305B6">
      <w:pPr>
        <w:pStyle w:val="berschrift2"/>
      </w:pPr>
      <w:r>
        <w:t>Structural Typologies</w:t>
      </w:r>
    </w:p>
    <w:p w14:paraId="610261EA" w14:textId="5D819125" w:rsidR="00DE48F2" w:rsidRDefault="00DE48F2" w:rsidP="00DE48F2">
      <w:pPr>
        <w:pStyle w:val="Listenabsatz"/>
        <w:numPr>
          <w:ilvl w:val="0"/>
          <w:numId w:val="14"/>
        </w:numPr>
        <w:rPr>
          <w:lang w:val="en-GB"/>
        </w:rPr>
      </w:pPr>
      <w:r>
        <w:rPr>
          <w:lang w:val="en-GB"/>
        </w:rPr>
        <w:t>3s, 5s, and maybe 7s structures</w:t>
      </w:r>
    </w:p>
    <w:p w14:paraId="71E1B3E8" w14:textId="7FFDB02E" w:rsidR="00DE48F2" w:rsidRPr="00DE48F2" w:rsidRDefault="00DE48F2" w:rsidP="00DE48F2">
      <w:pPr>
        <w:pStyle w:val="Listenabsatz"/>
        <w:numPr>
          <w:ilvl w:val="0"/>
          <w:numId w:val="14"/>
        </w:numPr>
        <w:rPr>
          <w:lang w:val="en-GB"/>
        </w:rPr>
      </w:pPr>
      <w:r>
        <w:rPr>
          <w:lang w:val="en-GB"/>
        </w:rPr>
        <w:t>Typical design features shown in a figure</w:t>
      </w:r>
    </w:p>
    <w:p w14:paraId="6B72DDC1" w14:textId="3F888328" w:rsidR="000305B6" w:rsidRDefault="000305B6" w:rsidP="000305B6">
      <w:pPr>
        <w:pStyle w:val="berschrift2"/>
      </w:pPr>
      <w:r>
        <w:t>Design Methodology</w:t>
      </w:r>
    </w:p>
    <w:p w14:paraId="250ECAF8" w14:textId="35DE0325" w:rsidR="000305B6" w:rsidRDefault="000305B6" w:rsidP="000305B6">
      <w:pPr>
        <w:pStyle w:val="Listenabsatz"/>
        <w:numPr>
          <w:ilvl w:val="0"/>
          <w:numId w:val="13"/>
        </w:numPr>
        <w:rPr>
          <w:lang w:val="en-GB"/>
        </w:rPr>
      </w:pPr>
      <w:r>
        <w:rPr>
          <w:lang w:val="en-GB"/>
        </w:rPr>
        <w:t>EC8 gen2</w:t>
      </w:r>
      <w:r w:rsidR="00DE48F2">
        <w:rPr>
          <w:lang w:val="en-GB"/>
        </w:rPr>
        <w:t xml:space="preserve"> – irregularity (in vertical stiffness) allowed</w:t>
      </w:r>
    </w:p>
    <w:p w14:paraId="141F2AE9" w14:textId="67F2310D" w:rsidR="000305B6" w:rsidRDefault="000305B6" w:rsidP="000305B6">
      <w:pPr>
        <w:pStyle w:val="Listenabsatz"/>
        <w:numPr>
          <w:ilvl w:val="0"/>
          <w:numId w:val="13"/>
        </w:numPr>
        <w:rPr>
          <w:lang w:val="en-GB"/>
        </w:rPr>
      </w:pPr>
      <w:r>
        <w:rPr>
          <w:lang w:val="en-GB"/>
        </w:rPr>
        <w:t>Summarise the algorithm heuristically + with a flow chart</w:t>
      </w:r>
    </w:p>
    <w:p w14:paraId="1F47B6A5" w14:textId="498C5C8A" w:rsidR="000305B6" w:rsidRDefault="000305B6" w:rsidP="000305B6">
      <w:pPr>
        <w:pStyle w:val="Listenabsatz"/>
        <w:numPr>
          <w:ilvl w:val="0"/>
          <w:numId w:val="13"/>
        </w:numPr>
        <w:rPr>
          <w:lang w:val="en-GB"/>
        </w:rPr>
      </w:pPr>
      <w:r>
        <w:rPr>
          <w:lang w:val="en-GB"/>
        </w:rPr>
        <w:t>Provide additional details in an electronic supplement</w:t>
      </w:r>
    </w:p>
    <w:p w14:paraId="579DE60C" w14:textId="7691B292" w:rsidR="00DE48F2" w:rsidRDefault="00DE48F2" w:rsidP="00DE48F2">
      <w:pPr>
        <w:pStyle w:val="berschrift2"/>
      </w:pPr>
      <w:r>
        <w:t>Summary of Designs</w:t>
      </w:r>
    </w:p>
    <w:p w14:paraId="1886D769" w14:textId="47F7FAA9" w:rsidR="00DE48F2" w:rsidRDefault="00DE48F2" w:rsidP="00DE48F2">
      <w:pPr>
        <w:pStyle w:val="Listenabsatz"/>
        <w:numPr>
          <w:ilvl w:val="0"/>
          <w:numId w:val="15"/>
        </w:numPr>
        <w:rPr>
          <w:lang w:val="en-GB"/>
        </w:rPr>
      </w:pPr>
      <w:r>
        <w:rPr>
          <w:lang w:val="en-GB"/>
        </w:rPr>
        <w:t>Number of unique designs etc</w:t>
      </w:r>
    </w:p>
    <w:p w14:paraId="3D8896BD" w14:textId="67D33C4C" w:rsidR="00DE48F2" w:rsidRDefault="00DE48F2" w:rsidP="00DE48F2">
      <w:pPr>
        <w:pStyle w:val="Listenabsatz"/>
        <w:numPr>
          <w:ilvl w:val="0"/>
          <w:numId w:val="15"/>
        </w:numPr>
        <w:rPr>
          <w:lang w:val="en-GB"/>
        </w:rPr>
      </w:pPr>
      <w:r>
        <w:rPr>
          <w:lang w:val="en-GB"/>
        </w:rPr>
        <w:t>Figure of the crossed nature of the dataset</w:t>
      </w:r>
    </w:p>
    <w:p w14:paraId="48C44215" w14:textId="3200DD50" w:rsidR="00DE48F2" w:rsidRDefault="00DE48F2" w:rsidP="00DE48F2">
      <w:pPr>
        <w:pStyle w:val="berschrift2"/>
      </w:pPr>
      <w:r>
        <w:lastRenderedPageBreak/>
        <w:t>Nonlinear Modelling</w:t>
      </w:r>
    </w:p>
    <w:p w14:paraId="698B0CB6" w14:textId="34573954" w:rsidR="00DE48F2" w:rsidRDefault="00DE48F2" w:rsidP="00DE48F2">
      <w:pPr>
        <w:pStyle w:val="Listenabsatz"/>
        <w:numPr>
          <w:ilvl w:val="0"/>
          <w:numId w:val="16"/>
        </w:numPr>
        <w:rPr>
          <w:lang w:val="en-GB"/>
        </w:rPr>
      </w:pPr>
      <w:r>
        <w:rPr>
          <w:lang w:val="en-GB"/>
        </w:rPr>
        <w:t>Summary of the nonlinear modelling</w:t>
      </w:r>
    </w:p>
    <w:p w14:paraId="18E1CF25" w14:textId="4416EEDB" w:rsidR="00DE48F2" w:rsidRDefault="00DE48F2" w:rsidP="00DE48F2">
      <w:pPr>
        <w:pStyle w:val="Listenabsatz"/>
        <w:numPr>
          <w:ilvl w:val="0"/>
          <w:numId w:val="16"/>
        </w:numPr>
        <w:rPr>
          <w:lang w:val="en-GB"/>
        </w:rPr>
      </w:pPr>
      <w:r>
        <w:rPr>
          <w:lang w:val="en-GB"/>
        </w:rPr>
        <w:t>Examples of cyclic pushover analyses</w:t>
      </w:r>
    </w:p>
    <w:p w14:paraId="3A4A3B04" w14:textId="5B41B321" w:rsidR="00DE48F2" w:rsidRDefault="00DE48F2" w:rsidP="00DE48F2">
      <w:pPr>
        <w:pStyle w:val="Listenabsatz"/>
        <w:numPr>
          <w:ilvl w:val="1"/>
          <w:numId w:val="16"/>
        </w:numPr>
        <w:rPr>
          <w:lang w:val="en-GB"/>
        </w:rPr>
      </w:pPr>
      <w:r>
        <w:rPr>
          <w:lang w:val="en-GB"/>
        </w:rPr>
        <w:t xml:space="preserve">Results of ductility, overstrength, </w:t>
      </w:r>
      <w:proofErr w:type="spellStart"/>
      <w:r>
        <w:rPr>
          <w:lang w:val="en-GB"/>
        </w:rPr>
        <w:t>usw</w:t>
      </w:r>
      <w:proofErr w:type="spellEnd"/>
      <w:r>
        <w:rPr>
          <w:lang w:val="en-GB"/>
        </w:rPr>
        <w:t>.</w:t>
      </w:r>
    </w:p>
    <w:p w14:paraId="2EF699C4" w14:textId="223FACFF" w:rsidR="00F40B36" w:rsidRDefault="00F40B36" w:rsidP="00F40B36">
      <w:pPr>
        <w:pStyle w:val="berschrift1"/>
      </w:pPr>
      <w:r>
        <w:t>Fragility Analysis</w:t>
      </w:r>
    </w:p>
    <w:p w14:paraId="49B5A51F" w14:textId="38B045F2" w:rsidR="00F40B36" w:rsidRDefault="00F40B36" w:rsidP="00F40B36">
      <w:pPr>
        <w:pStyle w:val="berschrift2"/>
      </w:pPr>
      <w:r>
        <w:t>IDA-FX</w:t>
      </w:r>
    </w:p>
    <w:p w14:paraId="3ADF31B6" w14:textId="70AEB901" w:rsidR="00BC4271" w:rsidRPr="00BC4271" w:rsidRDefault="00BC4271" w:rsidP="00BC4271">
      <w:pPr>
        <w:rPr>
          <w:lang w:val="en-GB"/>
        </w:rPr>
      </w:pPr>
      <w:r>
        <w:rPr>
          <w:lang w:val="en-GB"/>
        </w:rPr>
        <w:t xml:space="preserve">IDA capacity is dependent on the choice of the collapse </w:t>
      </w:r>
      <w:proofErr w:type="spellStart"/>
      <w:r>
        <w:rPr>
          <w:lang w:val="en-GB"/>
        </w:rPr>
        <w:t>iml</w:t>
      </w:r>
      <w:proofErr w:type="spellEnd"/>
      <w:r>
        <w:rPr>
          <w:lang w:val="en-GB"/>
        </w:rPr>
        <w:t>. Lower, average, upper</w:t>
      </w:r>
    </w:p>
    <w:p w14:paraId="661F59DD" w14:textId="46FA95D9" w:rsidR="00F40B36" w:rsidRDefault="00F40B36" w:rsidP="00F40B36">
      <w:pPr>
        <w:pStyle w:val="berschrift2"/>
      </w:pPr>
      <w:r>
        <w:t>MSA-FX</w:t>
      </w:r>
    </w:p>
    <w:p w14:paraId="1AA96E6E" w14:textId="399A838E" w:rsidR="00F40B36" w:rsidRPr="00F40B36" w:rsidRDefault="00F40B36" w:rsidP="00F40B36">
      <w:pPr>
        <w:pStyle w:val="berschrift2"/>
      </w:pPr>
      <w:r>
        <w:t>MSA-SS</w:t>
      </w:r>
    </w:p>
    <w:p w14:paraId="1D2D0519" w14:textId="77777777" w:rsidR="00DE48F2" w:rsidRDefault="00DE48F2" w:rsidP="00F40B36">
      <w:pPr>
        <w:pStyle w:val="berschrift3"/>
      </w:pPr>
      <w:r>
        <w:t>Ground Motion Selection</w:t>
      </w:r>
    </w:p>
    <w:p w14:paraId="54385639" w14:textId="45C07A24" w:rsidR="00DE48F2" w:rsidRPr="002E5FC9" w:rsidRDefault="00DE48F2" w:rsidP="00F40B36">
      <w:pPr>
        <w:pStyle w:val="berschrift4"/>
        <w:rPr>
          <w:lang w:val="en-GB"/>
        </w:rPr>
      </w:pPr>
      <w:r w:rsidRPr="002E5FC9">
        <w:rPr>
          <w:lang w:val="en-GB"/>
        </w:rPr>
        <w:t>Intensity Measures and Ground Motion Models</w:t>
      </w:r>
    </w:p>
    <w:p w14:paraId="557AFF2C" w14:textId="4F7EF652" w:rsidR="00DE48F2" w:rsidRDefault="00DE48F2" w:rsidP="00F40B36">
      <w:pPr>
        <w:pStyle w:val="Listenabsatz"/>
        <w:numPr>
          <w:ilvl w:val="0"/>
          <w:numId w:val="19"/>
        </w:numPr>
        <w:rPr>
          <w:lang w:val="en-GB"/>
        </w:rPr>
      </w:pPr>
      <w:proofErr w:type="gramStart"/>
      <w:r>
        <w:rPr>
          <w:lang w:val="en-GB"/>
        </w:rPr>
        <w:t>AvgSA[</w:t>
      </w:r>
      <w:proofErr w:type="gramEnd"/>
      <w:r>
        <w:rPr>
          <w:lang w:val="en-GB"/>
        </w:rPr>
        <w:t>0,3] used as th</w:t>
      </w:r>
      <w:r w:rsidR="004B606D">
        <w:rPr>
          <w:lang w:val="en-GB"/>
        </w:rPr>
        <w:t>e conditioning intensity measure</w:t>
      </w:r>
    </w:p>
    <w:p w14:paraId="5E4D1497" w14:textId="00F43D21" w:rsidR="004B606D" w:rsidRPr="004B606D" w:rsidRDefault="004B606D" w:rsidP="00F40B36">
      <w:pPr>
        <w:pStyle w:val="Listenabsatz"/>
        <w:numPr>
          <w:ilvl w:val="0"/>
          <w:numId w:val="19"/>
        </w:numPr>
        <w:rPr>
          <w:lang w:val="en-GB"/>
        </w:rPr>
      </w:pPr>
      <w:r w:rsidRPr="004B606D">
        <w:rPr>
          <w:lang w:val="en-GB"/>
        </w:rPr>
        <w:t>Significant Duration, PGA, and SA(T1) over</w:t>
      </w:r>
      <w:r>
        <w:rPr>
          <w:lang w:val="en-GB"/>
        </w:rPr>
        <w:t xml:space="preserve"> 20 periods also considered</w:t>
      </w:r>
    </w:p>
    <w:p w14:paraId="061A0BB4" w14:textId="5FD80472" w:rsidR="00DE48F2" w:rsidRDefault="00DE48F2" w:rsidP="00F40B36">
      <w:pPr>
        <w:pStyle w:val="berschrift4"/>
      </w:pPr>
      <w:r>
        <w:t>Hazard Model</w:t>
      </w:r>
    </w:p>
    <w:p w14:paraId="21CB1A93" w14:textId="222EA447" w:rsidR="00DE48F2" w:rsidRDefault="00DE48F2" w:rsidP="00F40B36">
      <w:pPr>
        <w:pStyle w:val="Listenabsatz"/>
        <w:numPr>
          <w:ilvl w:val="0"/>
          <w:numId w:val="18"/>
        </w:numPr>
        <w:rPr>
          <w:lang w:val="en-GB"/>
        </w:rPr>
      </w:pPr>
      <w:r>
        <w:rPr>
          <w:lang w:val="en-GB"/>
        </w:rPr>
        <w:t>ESHM20 simplified to the mean GMM branch.</w:t>
      </w:r>
    </w:p>
    <w:p w14:paraId="0D8B9C85" w14:textId="1A1F3D87" w:rsidR="004B606D" w:rsidRPr="00DE48F2" w:rsidRDefault="004B606D" w:rsidP="00F40B36">
      <w:pPr>
        <w:pStyle w:val="Listenabsatz"/>
        <w:numPr>
          <w:ilvl w:val="0"/>
          <w:numId w:val="18"/>
        </w:numPr>
        <w:rPr>
          <w:lang w:val="en-GB"/>
        </w:rPr>
      </w:pPr>
      <w:r>
        <w:rPr>
          <w:lang w:val="en-GB"/>
        </w:rPr>
        <w:t>Disaggregation parameters</w:t>
      </w:r>
    </w:p>
    <w:p w14:paraId="3AD9591E" w14:textId="77777777" w:rsidR="00DE48F2" w:rsidRDefault="00DE48F2" w:rsidP="00F40B36">
      <w:pPr>
        <w:pStyle w:val="berschrift4"/>
      </w:pPr>
      <w:proofErr w:type="spellStart"/>
      <w:r>
        <w:t>Selection</w:t>
      </w:r>
      <w:proofErr w:type="spellEnd"/>
      <w:r>
        <w:t xml:space="preserve"> </w:t>
      </w:r>
      <w:proofErr w:type="spellStart"/>
      <w:r>
        <w:t>Procedure</w:t>
      </w:r>
      <w:proofErr w:type="spellEnd"/>
    </w:p>
    <w:p w14:paraId="0BC5CA01" w14:textId="32F7638D" w:rsidR="00024FC3" w:rsidRDefault="00DE48F2" w:rsidP="00F40B36">
      <w:pPr>
        <w:pStyle w:val="Listenabsatz"/>
        <w:numPr>
          <w:ilvl w:val="0"/>
          <w:numId w:val="17"/>
        </w:numPr>
      </w:pPr>
      <w:r>
        <w:t>GCIM</w:t>
      </w:r>
    </w:p>
    <w:p w14:paraId="43FD57F1" w14:textId="03C56575" w:rsidR="00F40B36" w:rsidRDefault="00F40B36" w:rsidP="00F40B36">
      <w:pPr>
        <w:pStyle w:val="berschrift2"/>
      </w:pPr>
      <w:r>
        <w:t>Results</w:t>
      </w:r>
    </w:p>
    <w:p w14:paraId="5ADC9253" w14:textId="237E5452" w:rsidR="007F41E0" w:rsidRPr="007F41E0" w:rsidRDefault="007F41E0" w:rsidP="007F41E0">
      <w:pPr>
        <w:pStyle w:val="Listenabsatz"/>
        <w:numPr>
          <w:ilvl w:val="0"/>
          <w:numId w:val="17"/>
        </w:numPr>
        <w:rPr>
          <w:lang w:val="en-GB"/>
        </w:rPr>
      </w:pPr>
      <w:r>
        <w:rPr>
          <w:lang w:val="en-GB"/>
        </w:rPr>
        <w:t>Summary of the estimates of the fragility parameters obtained from the different analyses</w:t>
      </w:r>
    </w:p>
    <w:p w14:paraId="7EAB28C8" w14:textId="71F5DDA1" w:rsidR="00F40B36" w:rsidRDefault="00F40B36" w:rsidP="00F40B36">
      <w:pPr>
        <w:pStyle w:val="berschrift1"/>
      </w:pPr>
      <w:r>
        <w:t>Statistical Analysis</w:t>
      </w:r>
    </w:p>
    <w:p w14:paraId="57BD8955" w14:textId="16003862" w:rsidR="00F40B36" w:rsidRDefault="00F40B36" w:rsidP="00F40B36">
      <w:pPr>
        <w:pStyle w:val="berschrift2"/>
      </w:pPr>
      <w:r>
        <w:t>Estimation Uncertainty</w:t>
      </w:r>
    </w:p>
    <w:p w14:paraId="75D653F1" w14:textId="61AACA6C" w:rsidR="007F41E0" w:rsidRPr="007F41E0" w:rsidRDefault="007F41E0" w:rsidP="007F41E0">
      <w:pPr>
        <w:pStyle w:val="Listenabsatz"/>
        <w:numPr>
          <w:ilvl w:val="0"/>
          <w:numId w:val="17"/>
        </w:numPr>
        <w:rPr>
          <w:lang w:val="en-GB"/>
        </w:rPr>
      </w:pPr>
      <w:r>
        <w:rPr>
          <w:lang w:val="en-GB"/>
        </w:rPr>
        <w:t>Bootstrapping</w:t>
      </w:r>
    </w:p>
    <w:p w14:paraId="3EA883E0" w14:textId="2B73D5F5" w:rsidR="00F40B36" w:rsidRDefault="00F40B36" w:rsidP="00F40B36">
      <w:pPr>
        <w:pStyle w:val="berschrift2"/>
      </w:pPr>
      <w:r>
        <w:t>Meta-analysis and Meta-regression</w:t>
      </w:r>
    </w:p>
    <w:p w14:paraId="4752AEBC" w14:textId="3E4BFACF" w:rsidR="007F41E0" w:rsidRPr="007F41E0" w:rsidRDefault="007F41E0" w:rsidP="007F41E0">
      <w:pPr>
        <w:pStyle w:val="berschrift3"/>
      </w:pPr>
      <w:r>
        <w:t>Overview of Meta-Analyses (if not done in §2)</w:t>
      </w:r>
    </w:p>
    <w:p w14:paraId="5C00F099" w14:textId="036A48B2" w:rsidR="007F41E0" w:rsidRPr="007F41E0" w:rsidRDefault="007F41E0" w:rsidP="007F41E0">
      <w:pPr>
        <w:pStyle w:val="berschrift3"/>
        <w:rPr>
          <w:highlight w:val="yellow"/>
        </w:rPr>
      </w:pPr>
      <w:r w:rsidRPr="007F41E0">
        <w:rPr>
          <w:highlight w:val="yellow"/>
        </w:rPr>
        <w:t>Regression Covariates</w:t>
      </w:r>
    </w:p>
    <w:p w14:paraId="30BE81C8" w14:textId="1A761F5A" w:rsidR="007F41E0" w:rsidRPr="007F41E0" w:rsidRDefault="007F41E0" w:rsidP="007F41E0">
      <w:pPr>
        <w:pStyle w:val="berschrift2"/>
        <w:rPr>
          <w:highlight w:val="yellow"/>
        </w:rPr>
      </w:pPr>
      <w:r w:rsidRPr="007F41E0">
        <w:rPr>
          <w:highlight w:val="yellow"/>
        </w:rPr>
        <w:t>Results</w:t>
      </w:r>
    </w:p>
    <w:p w14:paraId="59BB06E2" w14:textId="7150D215" w:rsidR="007F41E0" w:rsidRPr="007F41E0" w:rsidRDefault="007F41E0" w:rsidP="007F41E0">
      <w:pPr>
        <w:pStyle w:val="Listenabsatz"/>
        <w:numPr>
          <w:ilvl w:val="0"/>
          <w:numId w:val="17"/>
        </w:numPr>
        <w:rPr>
          <w:highlight w:val="yellow"/>
          <w:lang w:val="en-GB"/>
        </w:rPr>
      </w:pPr>
      <w:r w:rsidRPr="007F41E0">
        <w:rPr>
          <w:highlight w:val="yellow"/>
          <w:lang w:val="en-GB"/>
        </w:rPr>
        <w:t xml:space="preserve">Summary of the most useful </w:t>
      </w:r>
      <w:r w:rsidR="008558A4">
        <w:rPr>
          <w:highlight w:val="yellow"/>
          <w:lang w:val="en-GB"/>
        </w:rPr>
        <w:t xml:space="preserve">statistical </w:t>
      </w:r>
      <w:r w:rsidRPr="007F41E0">
        <w:rPr>
          <w:highlight w:val="yellow"/>
          <w:lang w:val="en-GB"/>
        </w:rPr>
        <w:t>comparisons</w:t>
      </w:r>
      <w:r w:rsidR="008558A4">
        <w:rPr>
          <w:highlight w:val="yellow"/>
          <w:lang w:val="en-GB"/>
        </w:rPr>
        <w:t xml:space="preserve"> that I did and interpretation of the results</w:t>
      </w:r>
    </w:p>
    <w:p w14:paraId="79768225" w14:textId="18157A3B" w:rsidR="007F41E0" w:rsidRPr="007F41E0" w:rsidRDefault="007F41E0" w:rsidP="007F41E0">
      <w:pPr>
        <w:pStyle w:val="berschrift1"/>
        <w:rPr>
          <w:highlight w:val="yellow"/>
        </w:rPr>
      </w:pPr>
      <w:r w:rsidRPr="007F41E0">
        <w:rPr>
          <w:highlight w:val="yellow"/>
        </w:rPr>
        <w:lastRenderedPageBreak/>
        <w:t>Model Validation</w:t>
      </w:r>
    </w:p>
    <w:p w14:paraId="449AAC67" w14:textId="752A7740" w:rsidR="007F41E0" w:rsidRPr="007F41E0" w:rsidRDefault="007F41E0" w:rsidP="007F41E0">
      <w:pPr>
        <w:pStyle w:val="Listenabsatz"/>
        <w:numPr>
          <w:ilvl w:val="0"/>
          <w:numId w:val="17"/>
        </w:numPr>
        <w:rPr>
          <w:highlight w:val="yellow"/>
          <w:lang w:val="en-GB"/>
        </w:rPr>
      </w:pPr>
      <w:r w:rsidRPr="007F41E0">
        <w:rPr>
          <w:highlight w:val="yellow"/>
          <w:lang w:val="en-GB"/>
        </w:rPr>
        <w:t xml:space="preserve">Leave-One-Out Validation </w:t>
      </w:r>
      <w:r w:rsidRPr="007F41E0">
        <w:rPr>
          <w:highlight w:val="yellow"/>
          <w:lang w:val="en-GB"/>
        </w:rPr>
        <w:sym w:font="Wingdings" w:char="F0E0"/>
      </w:r>
      <w:r w:rsidRPr="007F41E0">
        <w:rPr>
          <w:highlight w:val="yellow"/>
          <w:lang w:val="en-GB"/>
        </w:rPr>
        <w:t xml:space="preserve"> how sensitive is the model to having each site left out of the fitting</w:t>
      </w:r>
    </w:p>
    <w:p w14:paraId="55124EF5" w14:textId="74ECCCA3" w:rsidR="007F41E0" w:rsidRDefault="007F41E0" w:rsidP="007F41E0">
      <w:pPr>
        <w:pStyle w:val="Listenabsatz"/>
        <w:numPr>
          <w:ilvl w:val="0"/>
          <w:numId w:val="17"/>
        </w:numPr>
        <w:rPr>
          <w:highlight w:val="yellow"/>
          <w:lang w:val="en-GB"/>
        </w:rPr>
      </w:pPr>
      <w:r w:rsidRPr="007F41E0">
        <w:rPr>
          <w:highlight w:val="yellow"/>
          <w:lang w:val="en-GB"/>
        </w:rPr>
        <w:t>How large is the prediction interval for a new site</w:t>
      </w:r>
      <w:r>
        <w:rPr>
          <w:highlight w:val="yellow"/>
          <w:lang w:val="en-GB"/>
        </w:rPr>
        <w:t xml:space="preserve"> </w:t>
      </w:r>
      <w:r w:rsidRPr="007F41E0">
        <w:rPr>
          <w:highlight w:val="yellow"/>
          <w:lang w:val="en-GB"/>
        </w:rPr>
        <w:sym w:font="Wingdings" w:char="F0E0"/>
      </w:r>
      <w:r>
        <w:rPr>
          <w:highlight w:val="yellow"/>
          <w:lang w:val="en-GB"/>
        </w:rPr>
        <w:t xml:space="preserve"> what effect does this have on the result</w:t>
      </w:r>
      <w:r w:rsidR="008558A4">
        <w:rPr>
          <w:highlight w:val="yellow"/>
          <w:lang w:val="en-GB"/>
        </w:rPr>
        <w:t>ing collapse risk calculation</w:t>
      </w:r>
    </w:p>
    <w:p w14:paraId="2432B0B8" w14:textId="55FEADCF" w:rsidR="008558A4" w:rsidRPr="007F41E0" w:rsidRDefault="008558A4" w:rsidP="007F41E0">
      <w:pPr>
        <w:pStyle w:val="Listenabsatz"/>
        <w:numPr>
          <w:ilvl w:val="0"/>
          <w:numId w:val="17"/>
        </w:numPr>
        <w:rPr>
          <w:highlight w:val="yellow"/>
          <w:lang w:val="en-GB"/>
        </w:rPr>
      </w:pPr>
      <w:r>
        <w:rPr>
          <w:highlight w:val="yellow"/>
          <w:lang w:val="en-GB"/>
        </w:rPr>
        <w:t>Comparing the Joint theta / beta model with the individual models not considering the correlation of theta and beta.</w:t>
      </w:r>
    </w:p>
    <w:p w14:paraId="78F1E28D" w14:textId="1C438314" w:rsidR="00216B93" w:rsidRDefault="00216B93" w:rsidP="007F41E0">
      <w:pPr>
        <w:pStyle w:val="berschrift1"/>
        <w:rPr>
          <w:highlight w:val="yellow"/>
        </w:rPr>
      </w:pPr>
      <w:r>
        <w:rPr>
          <w:highlight w:val="yellow"/>
        </w:rPr>
        <w:t>Discussion / Implications of this Work</w:t>
      </w:r>
    </w:p>
    <w:p w14:paraId="09AE7373" w14:textId="7C469D3E" w:rsidR="00216B93" w:rsidRDefault="00216B93" w:rsidP="00216B93">
      <w:pPr>
        <w:rPr>
          <w:highlight w:val="yellow"/>
          <w:lang w:val="en-GB"/>
        </w:rPr>
      </w:pPr>
      <w:r>
        <w:rPr>
          <w:highlight w:val="yellow"/>
          <w:lang w:val="en-GB"/>
        </w:rPr>
        <w:t>What can people use this work for. What influence would it have on the development of Eurocodes, applications to IDAs in the future. SPO2IDA</w:t>
      </w:r>
    </w:p>
    <w:p w14:paraId="7E82977F" w14:textId="0E5E6484" w:rsidR="00216B93" w:rsidRPr="00216B93" w:rsidRDefault="00216B93" w:rsidP="00216B93">
      <w:pPr>
        <w:rPr>
          <w:highlight w:val="yellow"/>
          <w:lang w:val="en-GB"/>
        </w:rPr>
      </w:pPr>
      <w:r>
        <w:rPr>
          <w:highlight w:val="yellow"/>
          <w:lang w:val="en-GB"/>
        </w:rPr>
        <w:t>Future work based on this</w:t>
      </w:r>
    </w:p>
    <w:p w14:paraId="3C2CA728" w14:textId="342E8D5C" w:rsidR="007F41E0" w:rsidRPr="007F41E0" w:rsidRDefault="007F41E0" w:rsidP="007F41E0">
      <w:pPr>
        <w:pStyle w:val="berschrift1"/>
        <w:rPr>
          <w:highlight w:val="yellow"/>
        </w:rPr>
      </w:pPr>
      <w:r w:rsidRPr="007F41E0">
        <w:rPr>
          <w:highlight w:val="yellow"/>
        </w:rPr>
        <w:t>Summary and Conclusions</w:t>
      </w:r>
    </w:p>
    <w:p w14:paraId="2C8EADBE" w14:textId="2E787815" w:rsidR="007F41E0" w:rsidRPr="007F41E0" w:rsidRDefault="007F41E0" w:rsidP="007F41E0">
      <w:pPr>
        <w:pStyle w:val="berschrift1"/>
      </w:pPr>
      <w:r>
        <w:t>References</w:t>
      </w:r>
    </w:p>
    <w:p w14:paraId="09E0AFD5" w14:textId="77777777" w:rsidR="007F41E0" w:rsidRPr="007F41E0" w:rsidRDefault="007F41E0" w:rsidP="007F41E0">
      <w:pPr>
        <w:rPr>
          <w:lang w:val="en-GB"/>
        </w:rPr>
      </w:pPr>
    </w:p>
    <w:p w14:paraId="219677C8" w14:textId="77777777" w:rsidR="00F40B36" w:rsidRPr="00F40B36" w:rsidRDefault="00F40B36" w:rsidP="00F40B36">
      <w:pPr>
        <w:rPr>
          <w:lang w:val="en-GB"/>
        </w:rPr>
      </w:pPr>
    </w:p>
    <w:p w14:paraId="4C54641E" w14:textId="77777777" w:rsidR="004B606D" w:rsidRPr="00F40B36" w:rsidRDefault="004B606D" w:rsidP="004B606D">
      <w:pPr>
        <w:rPr>
          <w:lang w:val="en-GB"/>
        </w:rPr>
      </w:pPr>
    </w:p>
    <w:sectPr w:rsidR="004B606D" w:rsidRPr="00F40B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5271"/>
    <w:multiLevelType w:val="hybridMultilevel"/>
    <w:tmpl w:val="DAD247EE"/>
    <w:lvl w:ilvl="0" w:tplc="04070001">
      <w:start w:val="1"/>
      <w:numFmt w:val="bullet"/>
      <w:lvlText w:val=""/>
      <w:lvlJc w:val="left"/>
      <w:pPr>
        <w:ind w:left="765" w:hanging="360"/>
      </w:pPr>
      <w:rPr>
        <w:rFonts w:ascii="Symbol" w:hAnsi="Symbol" w:hint="default"/>
      </w:rPr>
    </w:lvl>
    <w:lvl w:ilvl="1" w:tplc="04070003" w:tentative="1">
      <w:start w:val="1"/>
      <w:numFmt w:val="bullet"/>
      <w:lvlText w:val="o"/>
      <w:lvlJc w:val="left"/>
      <w:pPr>
        <w:ind w:left="1485" w:hanging="360"/>
      </w:pPr>
      <w:rPr>
        <w:rFonts w:ascii="Courier New" w:hAnsi="Courier New" w:cs="Courier New" w:hint="default"/>
      </w:rPr>
    </w:lvl>
    <w:lvl w:ilvl="2" w:tplc="04070005" w:tentative="1">
      <w:start w:val="1"/>
      <w:numFmt w:val="bullet"/>
      <w:lvlText w:val=""/>
      <w:lvlJc w:val="left"/>
      <w:pPr>
        <w:ind w:left="2205" w:hanging="360"/>
      </w:pPr>
      <w:rPr>
        <w:rFonts w:ascii="Wingdings" w:hAnsi="Wingdings" w:hint="default"/>
      </w:rPr>
    </w:lvl>
    <w:lvl w:ilvl="3" w:tplc="04070001" w:tentative="1">
      <w:start w:val="1"/>
      <w:numFmt w:val="bullet"/>
      <w:lvlText w:val=""/>
      <w:lvlJc w:val="left"/>
      <w:pPr>
        <w:ind w:left="2925" w:hanging="360"/>
      </w:pPr>
      <w:rPr>
        <w:rFonts w:ascii="Symbol" w:hAnsi="Symbol" w:hint="default"/>
      </w:rPr>
    </w:lvl>
    <w:lvl w:ilvl="4" w:tplc="04070003" w:tentative="1">
      <w:start w:val="1"/>
      <w:numFmt w:val="bullet"/>
      <w:lvlText w:val="o"/>
      <w:lvlJc w:val="left"/>
      <w:pPr>
        <w:ind w:left="3645" w:hanging="360"/>
      </w:pPr>
      <w:rPr>
        <w:rFonts w:ascii="Courier New" w:hAnsi="Courier New" w:cs="Courier New" w:hint="default"/>
      </w:rPr>
    </w:lvl>
    <w:lvl w:ilvl="5" w:tplc="04070005" w:tentative="1">
      <w:start w:val="1"/>
      <w:numFmt w:val="bullet"/>
      <w:lvlText w:val=""/>
      <w:lvlJc w:val="left"/>
      <w:pPr>
        <w:ind w:left="4365" w:hanging="360"/>
      </w:pPr>
      <w:rPr>
        <w:rFonts w:ascii="Wingdings" w:hAnsi="Wingdings" w:hint="default"/>
      </w:rPr>
    </w:lvl>
    <w:lvl w:ilvl="6" w:tplc="04070001" w:tentative="1">
      <w:start w:val="1"/>
      <w:numFmt w:val="bullet"/>
      <w:lvlText w:val=""/>
      <w:lvlJc w:val="left"/>
      <w:pPr>
        <w:ind w:left="5085" w:hanging="360"/>
      </w:pPr>
      <w:rPr>
        <w:rFonts w:ascii="Symbol" w:hAnsi="Symbol" w:hint="default"/>
      </w:rPr>
    </w:lvl>
    <w:lvl w:ilvl="7" w:tplc="04070003" w:tentative="1">
      <w:start w:val="1"/>
      <w:numFmt w:val="bullet"/>
      <w:lvlText w:val="o"/>
      <w:lvlJc w:val="left"/>
      <w:pPr>
        <w:ind w:left="5805" w:hanging="360"/>
      </w:pPr>
      <w:rPr>
        <w:rFonts w:ascii="Courier New" w:hAnsi="Courier New" w:cs="Courier New" w:hint="default"/>
      </w:rPr>
    </w:lvl>
    <w:lvl w:ilvl="8" w:tplc="04070005" w:tentative="1">
      <w:start w:val="1"/>
      <w:numFmt w:val="bullet"/>
      <w:lvlText w:val=""/>
      <w:lvlJc w:val="left"/>
      <w:pPr>
        <w:ind w:left="6525" w:hanging="360"/>
      </w:pPr>
      <w:rPr>
        <w:rFonts w:ascii="Wingdings" w:hAnsi="Wingdings" w:hint="default"/>
      </w:rPr>
    </w:lvl>
  </w:abstractNum>
  <w:abstractNum w:abstractNumId="1" w15:restartNumberingAfterBreak="0">
    <w:nsid w:val="153715E9"/>
    <w:multiLevelType w:val="hybridMultilevel"/>
    <w:tmpl w:val="7416FC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719427B"/>
    <w:multiLevelType w:val="hybridMultilevel"/>
    <w:tmpl w:val="70F28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BD7093"/>
    <w:multiLevelType w:val="hybridMultilevel"/>
    <w:tmpl w:val="CFB6282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5A1CD5"/>
    <w:multiLevelType w:val="hybridMultilevel"/>
    <w:tmpl w:val="B6DA47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7F7E5F"/>
    <w:multiLevelType w:val="hybridMultilevel"/>
    <w:tmpl w:val="937C75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B0C15C4"/>
    <w:multiLevelType w:val="multilevel"/>
    <w:tmpl w:val="51A0F024"/>
    <w:lvl w:ilvl="0">
      <w:start w:val="1"/>
      <w:numFmt w:val="decimal"/>
      <w:pStyle w:val="berschrift1"/>
      <w:lvlText w:val="%1"/>
      <w:lvlJc w:val="left"/>
      <w:pPr>
        <w:ind w:left="432" w:hanging="432"/>
      </w:pPr>
    </w:lvl>
    <w:lvl w:ilvl="1">
      <w:start w:val="1"/>
      <w:numFmt w:val="decimal"/>
      <w:pStyle w:val="berschrift2"/>
      <w:lvlText w:val="%1.%2"/>
      <w:lvlJc w:val="left"/>
      <w:pPr>
        <w:ind w:left="1853"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2B2A2D79"/>
    <w:multiLevelType w:val="hybridMultilevel"/>
    <w:tmpl w:val="4DFC2F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F5C1BDB"/>
    <w:multiLevelType w:val="multilevel"/>
    <w:tmpl w:val="FEEA01BE"/>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FFF0A76"/>
    <w:multiLevelType w:val="hybridMultilevel"/>
    <w:tmpl w:val="249855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E6E42AB"/>
    <w:multiLevelType w:val="hybridMultilevel"/>
    <w:tmpl w:val="BF34DF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00A0E0F"/>
    <w:multiLevelType w:val="hybridMultilevel"/>
    <w:tmpl w:val="7C7412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720" w:hanging="360"/>
      </w:pPr>
      <w:rPr>
        <w:rFonts w:ascii="Courier New" w:hAnsi="Courier New" w:cs="Courier New" w:hint="default"/>
      </w:rPr>
    </w:lvl>
    <w:lvl w:ilvl="2" w:tplc="04070005" w:tentative="1">
      <w:start w:val="1"/>
      <w:numFmt w:val="bullet"/>
      <w:lvlText w:val=""/>
      <w:lvlJc w:val="left"/>
      <w:pPr>
        <w:ind w:left="1440" w:hanging="360"/>
      </w:pPr>
      <w:rPr>
        <w:rFonts w:ascii="Wingdings" w:hAnsi="Wingdings" w:hint="default"/>
      </w:rPr>
    </w:lvl>
    <w:lvl w:ilvl="3" w:tplc="04070001" w:tentative="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12" w15:restartNumberingAfterBreak="0">
    <w:nsid w:val="4D1B5905"/>
    <w:multiLevelType w:val="hybridMultilevel"/>
    <w:tmpl w:val="9B7A392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C242299"/>
    <w:multiLevelType w:val="hybridMultilevel"/>
    <w:tmpl w:val="039CEB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2785C09"/>
    <w:multiLevelType w:val="hybridMultilevel"/>
    <w:tmpl w:val="DDACCB4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46B2818"/>
    <w:multiLevelType w:val="hybridMultilevel"/>
    <w:tmpl w:val="9A5E7F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52760C6"/>
    <w:multiLevelType w:val="hybridMultilevel"/>
    <w:tmpl w:val="D1985F1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9441D04"/>
    <w:multiLevelType w:val="hybridMultilevel"/>
    <w:tmpl w:val="B764F0A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DEF3695"/>
    <w:multiLevelType w:val="hybridMultilevel"/>
    <w:tmpl w:val="9878C7F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6BD0980"/>
    <w:multiLevelType w:val="hybridMultilevel"/>
    <w:tmpl w:val="2822F8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84E1567"/>
    <w:multiLevelType w:val="hybridMultilevel"/>
    <w:tmpl w:val="74C63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E46211A"/>
    <w:multiLevelType w:val="hybridMultilevel"/>
    <w:tmpl w:val="1234B0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78477612">
    <w:abstractNumId w:val="8"/>
  </w:num>
  <w:num w:numId="2" w16cid:durableId="1058013287">
    <w:abstractNumId w:val="6"/>
  </w:num>
  <w:num w:numId="3" w16cid:durableId="1854176740">
    <w:abstractNumId w:val="15"/>
  </w:num>
  <w:num w:numId="4" w16cid:durableId="1733314120">
    <w:abstractNumId w:val="18"/>
  </w:num>
  <w:num w:numId="5" w16cid:durableId="381176073">
    <w:abstractNumId w:val="2"/>
  </w:num>
  <w:num w:numId="6" w16cid:durableId="941453110">
    <w:abstractNumId w:val="10"/>
  </w:num>
  <w:num w:numId="7" w16cid:durableId="1633487125">
    <w:abstractNumId w:val="5"/>
  </w:num>
  <w:num w:numId="8" w16cid:durableId="1527061791">
    <w:abstractNumId w:val="20"/>
  </w:num>
  <w:num w:numId="9" w16cid:durableId="502622622">
    <w:abstractNumId w:val="3"/>
  </w:num>
  <w:num w:numId="10" w16cid:durableId="748036673">
    <w:abstractNumId w:val="12"/>
  </w:num>
  <w:num w:numId="11" w16cid:durableId="1311326973">
    <w:abstractNumId w:val="7"/>
  </w:num>
  <w:num w:numId="12" w16cid:durableId="405153499">
    <w:abstractNumId w:val="14"/>
  </w:num>
  <w:num w:numId="13" w16cid:durableId="1210413548">
    <w:abstractNumId w:val="11"/>
  </w:num>
  <w:num w:numId="14" w16cid:durableId="2008361792">
    <w:abstractNumId w:val="19"/>
  </w:num>
  <w:num w:numId="15" w16cid:durableId="35398635">
    <w:abstractNumId w:val="1"/>
  </w:num>
  <w:num w:numId="16" w16cid:durableId="34504694">
    <w:abstractNumId w:val="16"/>
  </w:num>
  <w:num w:numId="17" w16cid:durableId="574708228">
    <w:abstractNumId w:val="0"/>
  </w:num>
  <w:num w:numId="18" w16cid:durableId="688526259">
    <w:abstractNumId w:val="13"/>
  </w:num>
  <w:num w:numId="19" w16cid:durableId="30232418">
    <w:abstractNumId w:val="9"/>
  </w:num>
  <w:num w:numId="20" w16cid:durableId="1198080226">
    <w:abstractNumId w:val="17"/>
  </w:num>
  <w:num w:numId="21" w16cid:durableId="579214385">
    <w:abstractNumId w:val="4"/>
  </w:num>
  <w:num w:numId="22" w16cid:durableId="1188868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B9"/>
    <w:rsid w:val="00024FC3"/>
    <w:rsid w:val="000305B6"/>
    <w:rsid w:val="000B267A"/>
    <w:rsid w:val="00140C0C"/>
    <w:rsid w:val="00143282"/>
    <w:rsid w:val="001F4FA3"/>
    <w:rsid w:val="00216B93"/>
    <w:rsid w:val="00217CC0"/>
    <w:rsid w:val="00225936"/>
    <w:rsid w:val="002E1896"/>
    <w:rsid w:val="002E5FC9"/>
    <w:rsid w:val="0041173C"/>
    <w:rsid w:val="00482B83"/>
    <w:rsid w:val="004B606D"/>
    <w:rsid w:val="004F2317"/>
    <w:rsid w:val="00552CE8"/>
    <w:rsid w:val="0057624A"/>
    <w:rsid w:val="005E7F7B"/>
    <w:rsid w:val="006C2EB6"/>
    <w:rsid w:val="006C6412"/>
    <w:rsid w:val="00760DDD"/>
    <w:rsid w:val="007C62B9"/>
    <w:rsid w:val="007E4692"/>
    <w:rsid w:val="007F41E0"/>
    <w:rsid w:val="008558A4"/>
    <w:rsid w:val="00A13EEB"/>
    <w:rsid w:val="00A246F6"/>
    <w:rsid w:val="00B433C3"/>
    <w:rsid w:val="00B57B4B"/>
    <w:rsid w:val="00B75327"/>
    <w:rsid w:val="00BC4271"/>
    <w:rsid w:val="00BC6216"/>
    <w:rsid w:val="00BE00AF"/>
    <w:rsid w:val="00BF01E4"/>
    <w:rsid w:val="00C1514D"/>
    <w:rsid w:val="00D1586C"/>
    <w:rsid w:val="00D25BF5"/>
    <w:rsid w:val="00D60BCC"/>
    <w:rsid w:val="00DE48F2"/>
    <w:rsid w:val="00E66A7E"/>
    <w:rsid w:val="00EE6342"/>
    <w:rsid w:val="00F40B36"/>
    <w:rsid w:val="00F51122"/>
    <w:rsid w:val="00F76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26DB"/>
  <w15:chartTrackingRefBased/>
  <w15:docId w15:val="{30DFC7E8-896C-4961-8B48-77E9D57F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62B9"/>
    <w:pPr>
      <w:keepNext/>
      <w:keepLines/>
      <w:numPr>
        <w:numId w:val="2"/>
      </w:numPr>
      <w:spacing w:before="360" w:after="80"/>
      <w:outlineLvl w:val="0"/>
    </w:pPr>
    <w:rPr>
      <w:rFonts w:asciiTheme="majorHAnsi" w:eastAsiaTheme="majorEastAsia" w:hAnsiTheme="majorHAnsi" w:cstheme="majorBidi"/>
      <w:b/>
      <w:bCs/>
      <w:sz w:val="32"/>
      <w:szCs w:val="32"/>
      <w:lang w:val="en-GB"/>
    </w:rPr>
  </w:style>
  <w:style w:type="paragraph" w:styleId="berschrift2">
    <w:name w:val="heading 2"/>
    <w:basedOn w:val="Standard"/>
    <w:next w:val="Standard"/>
    <w:link w:val="berschrift2Zchn"/>
    <w:uiPriority w:val="9"/>
    <w:unhideWhenUsed/>
    <w:qFormat/>
    <w:rsid w:val="007C62B9"/>
    <w:pPr>
      <w:keepNext/>
      <w:keepLines/>
      <w:numPr>
        <w:ilvl w:val="1"/>
        <w:numId w:val="2"/>
      </w:numPr>
      <w:spacing w:before="160" w:after="80"/>
      <w:ind w:left="576"/>
      <w:outlineLvl w:val="1"/>
    </w:pPr>
    <w:rPr>
      <w:rFonts w:asciiTheme="majorHAnsi" w:eastAsiaTheme="majorEastAsia" w:hAnsiTheme="majorHAnsi" w:cstheme="majorBidi"/>
      <w:b/>
      <w:bCs/>
      <w:sz w:val="28"/>
      <w:szCs w:val="28"/>
      <w:lang w:val="en-GB"/>
    </w:rPr>
  </w:style>
  <w:style w:type="paragraph" w:styleId="berschrift3">
    <w:name w:val="heading 3"/>
    <w:basedOn w:val="Standard"/>
    <w:next w:val="Standard"/>
    <w:link w:val="berschrift3Zchn"/>
    <w:uiPriority w:val="9"/>
    <w:unhideWhenUsed/>
    <w:qFormat/>
    <w:rsid w:val="007C62B9"/>
    <w:pPr>
      <w:keepNext/>
      <w:keepLines/>
      <w:numPr>
        <w:ilvl w:val="2"/>
        <w:numId w:val="2"/>
      </w:numPr>
      <w:spacing w:before="160" w:after="80"/>
      <w:outlineLvl w:val="2"/>
    </w:pPr>
    <w:rPr>
      <w:rFonts w:eastAsiaTheme="majorEastAsia" w:cstheme="majorBidi"/>
      <w:b/>
      <w:bCs/>
      <w:lang w:val="en-GB"/>
    </w:rPr>
  </w:style>
  <w:style w:type="paragraph" w:styleId="berschrift4">
    <w:name w:val="heading 4"/>
    <w:basedOn w:val="Standard"/>
    <w:next w:val="Standard"/>
    <w:link w:val="berschrift4Zchn"/>
    <w:uiPriority w:val="9"/>
    <w:unhideWhenUsed/>
    <w:qFormat/>
    <w:rsid w:val="00F40B36"/>
    <w:pPr>
      <w:keepNext/>
      <w:keepLines/>
      <w:spacing w:before="80" w:after="40"/>
      <w:ind w:left="864" w:hanging="864"/>
      <w:outlineLvl w:val="3"/>
    </w:pPr>
    <w:rPr>
      <w:rFonts w:eastAsiaTheme="majorEastAsia" w:cstheme="majorBidi"/>
      <w:b/>
      <w:bCs/>
      <w:i/>
      <w:iCs/>
    </w:rPr>
  </w:style>
  <w:style w:type="paragraph" w:styleId="berschrift5">
    <w:name w:val="heading 5"/>
    <w:basedOn w:val="Standard"/>
    <w:next w:val="Standard"/>
    <w:link w:val="berschrift5Zchn"/>
    <w:uiPriority w:val="9"/>
    <w:unhideWhenUsed/>
    <w:qFormat/>
    <w:rsid w:val="007C62B9"/>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62B9"/>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62B9"/>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62B9"/>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62B9"/>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62B9"/>
    <w:rPr>
      <w:rFonts w:asciiTheme="majorHAnsi" w:eastAsiaTheme="majorEastAsia" w:hAnsiTheme="majorHAnsi" w:cstheme="majorBidi"/>
      <w:b/>
      <w:bCs/>
      <w:sz w:val="32"/>
      <w:szCs w:val="32"/>
      <w:lang w:val="en-GB"/>
    </w:rPr>
  </w:style>
  <w:style w:type="character" w:customStyle="1" w:styleId="berschrift2Zchn">
    <w:name w:val="Überschrift 2 Zchn"/>
    <w:basedOn w:val="Absatz-Standardschriftart"/>
    <w:link w:val="berschrift2"/>
    <w:uiPriority w:val="9"/>
    <w:rsid w:val="007C62B9"/>
    <w:rPr>
      <w:rFonts w:asciiTheme="majorHAnsi" w:eastAsiaTheme="majorEastAsia" w:hAnsiTheme="majorHAnsi" w:cstheme="majorBidi"/>
      <w:b/>
      <w:bCs/>
      <w:sz w:val="28"/>
      <w:szCs w:val="28"/>
      <w:lang w:val="en-GB"/>
    </w:rPr>
  </w:style>
  <w:style w:type="character" w:customStyle="1" w:styleId="berschrift3Zchn">
    <w:name w:val="Überschrift 3 Zchn"/>
    <w:basedOn w:val="Absatz-Standardschriftart"/>
    <w:link w:val="berschrift3"/>
    <w:uiPriority w:val="9"/>
    <w:rsid w:val="007C62B9"/>
    <w:rPr>
      <w:rFonts w:eastAsiaTheme="majorEastAsia" w:cstheme="majorBidi"/>
      <w:b/>
      <w:bCs/>
      <w:lang w:val="en-GB"/>
    </w:rPr>
  </w:style>
  <w:style w:type="character" w:customStyle="1" w:styleId="berschrift4Zchn">
    <w:name w:val="Überschrift 4 Zchn"/>
    <w:basedOn w:val="Absatz-Standardschriftart"/>
    <w:link w:val="berschrift4"/>
    <w:uiPriority w:val="9"/>
    <w:rsid w:val="00F40B36"/>
    <w:rPr>
      <w:rFonts w:eastAsiaTheme="majorEastAsia" w:cstheme="majorBidi"/>
      <w:b/>
      <w:bCs/>
      <w:i/>
      <w:iCs/>
    </w:rPr>
  </w:style>
  <w:style w:type="character" w:customStyle="1" w:styleId="berschrift5Zchn">
    <w:name w:val="Überschrift 5 Zchn"/>
    <w:basedOn w:val="Absatz-Standardschriftart"/>
    <w:link w:val="berschrift5"/>
    <w:uiPriority w:val="9"/>
    <w:rsid w:val="007C62B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62B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62B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62B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62B9"/>
    <w:rPr>
      <w:rFonts w:eastAsiaTheme="majorEastAsia" w:cstheme="majorBidi"/>
      <w:color w:val="272727" w:themeColor="text1" w:themeTint="D8"/>
    </w:rPr>
  </w:style>
  <w:style w:type="paragraph" w:styleId="Titel">
    <w:name w:val="Title"/>
    <w:basedOn w:val="Standard"/>
    <w:next w:val="Standard"/>
    <w:link w:val="TitelZchn"/>
    <w:uiPriority w:val="10"/>
    <w:qFormat/>
    <w:rsid w:val="007C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62B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62B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62B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62B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62B9"/>
    <w:rPr>
      <w:i/>
      <w:iCs/>
      <w:color w:val="404040" w:themeColor="text1" w:themeTint="BF"/>
    </w:rPr>
  </w:style>
  <w:style w:type="paragraph" w:styleId="Listenabsatz">
    <w:name w:val="List Paragraph"/>
    <w:basedOn w:val="Standard"/>
    <w:uiPriority w:val="34"/>
    <w:qFormat/>
    <w:rsid w:val="007C62B9"/>
    <w:pPr>
      <w:ind w:left="720"/>
      <w:contextualSpacing/>
    </w:pPr>
  </w:style>
  <w:style w:type="character" w:styleId="IntensiveHervorhebung">
    <w:name w:val="Intense Emphasis"/>
    <w:basedOn w:val="Absatz-Standardschriftart"/>
    <w:uiPriority w:val="21"/>
    <w:qFormat/>
    <w:rsid w:val="007C62B9"/>
    <w:rPr>
      <w:i/>
      <w:iCs/>
      <w:color w:val="0F4761" w:themeColor="accent1" w:themeShade="BF"/>
    </w:rPr>
  </w:style>
  <w:style w:type="paragraph" w:styleId="IntensivesZitat">
    <w:name w:val="Intense Quote"/>
    <w:basedOn w:val="Standard"/>
    <w:next w:val="Standard"/>
    <w:link w:val="IntensivesZitatZchn"/>
    <w:uiPriority w:val="30"/>
    <w:qFormat/>
    <w:rsid w:val="007C6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62B9"/>
    <w:rPr>
      <w:i/>
      <w:iCs/>
      <w:color w:val="0F4761" w:themeColor="accent1" w:themeShade="BF"/>
    </w:rPr>
  </w:style>
  <w:style w:type="character" w:styleId="IntensiverVerweis">
    <w:name w:val="Intense Reference"/>
    <w:basedOn w:val="Absatz-Standardschriftart"/>
    <w:uiPriority w:val="32"/>
    <w:qFormat/>
    <w:rsid w:val="007C6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742</Words>
  <Characters>4680</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Aaron Clemett</dc:creator>
  <cp:keywords/>
  <dc:description/>
  <cp:lastModifiedBy>Nicholas Aaron Clemett</cp:lastModifiedBy>
  <cp:revision>7</cp:revision>
  <dcterms:created xsi:type="dcterms:W3CDTF">2026-10-01T11:48:00Z</dcterms:created>
  <dcterms:modified xsi:type="dcterms:W3CDTF">2026-10-02T13:14:00Z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d2079b-6d85-4185-8122-5cca51dad164_Enabled">
    <vt:lpwstr>true</vt:lpwstr>
  </property>
  <property fmtid="{D5CDD505-2E9C-101B-9397-08002B2CF9AE}" pid="3" name="MSIP_Label_8fd2079b-6d85-4185-8122-5cca51dad164_SetDate">
    <vt:lpwstr>2026-10-01T08:36:30Z</vt:lpwstr>
  </property>
  <property fmtid="{D5CDD505-2E9C-101B-9397-08002B2CF9AE}" pid="4" name="MSIP_Label_8fd2079b-6d85-4185-8122-5cca51dad164_Method">
    <vt:lpwstr>Standard</vt:lpwstr>
  </property>
  <property fmtid="{D5CDD505-2E9C-101B-9397-08002B2CF9AE}" pid="5" name="MSIP_Label_8fd2079b-6d85-4185-8122-5cca51dad164_Name">
    <vt:lpwstr>Öffentlich</vt:lpwstr>
  </property>
  <property fmtid="{D5CDD505-2E9C-101B-9397-08002B2CF9AE}" pid="6" name="MSIP_Label_8fd2079b-6d85-4185-8122-5cca51dad164_SiteId">
    <vt:lpwstr>5832f73f-b0fa-45a0-80d9-7e32bd7fa822</vt:lpwstr>
  </property>
  <property fmtid="{D5CDD505-2E9C-101B-9397-08002B2CF9AE}" pid="7" name="MSIP_Label_8fd2079b-6d85-4185-8122-5cca51dad164_ActionId">
    <vt:lpwstr>667a7a4d-1183-4c09-90f2-8811bb5bb5d4</vt:lpwstr>
  </property>
  <property fmtid="{D5CDD505-2E9C-101B-9397-08002B2CF9AE}" pid="8" name="MSIP_Label_8fd2079b-6d85-4185-8122-5cca51dad164_ContentBits">
    <vt:lpwstr>0</vt:lpwstr>
  </property>
  <property fmtid="{D5CDD505-2E9C-101B-9397-08002B2CF9AE}" pid="9" name="MSIP_Label_8fd2079b-6d85-4185-8122-5cca51dad164_Tag">
    <vt:lpwstr>10, 3, 0, 1</vt:lpwstr>
  </property>
</Properties>
</file>