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Phase 4 Retrospective Synthesis for Business Lead</w:t>
      </w:r>
    </w:p>
    <w:p>
      <w:r>
        <w:t xml:space="preserve">Date: 2026-02-26</w:t>
      </w:r>
    </w:p>
    <w:p>
      <w:r>
        <w:t xml:space="preserve">Source set: 13 role retrospective reviews from retrospective/*.md</w:t>
      </w:r>
    </w:p>
    <w:p/>
    <w:p>
      <w:r>
        <w:t xml:space="preserve">Purpose</w:t>
      </w:r>
    </w:p>
    <w:p>
      <w:r>
        <w:t xml:space="preserve">This document consolidates all role retrospectives into business-level insights focused on delivery reliability, risk exposure, governance quality, and investment priorities.</w:t>
      </w:r>
    </w:p>
    <w:p/>
    <w:p>
      <w:r>
        <w:t xml:space="preserve">Executive Readout</w:t>
      </w:r>
    </w:p>
    <w:p>
      <w:r>
        <w:t xml:space="preserve">- Delivery discipline improved when decisions were tied to objective release evidence (same-cycle gate runs and explicit signoffs).</w:t>
      </w:r>
    </w:p>
    <w:p>
      <w:r>
        <w:t xml:space="preserve">- The largest friction came from governance misalignment, not core feature implementation speed.</w:t>
      </w:r>
    </w:p>
    <w:p>
      <w:r>
        <w:t xml:space="preserve">- Contract and terminology drift created late-cycle rework with direct schedule impact.</w:t>
      </w:r>
    </w:p>
    <w:p>
      <w:r>
        <w:t xml:space="preserve">- Evidence quality and traceability were strong once immutable references and run IDs were enforced.</w:t>
      </w:r>
    </w:p>
    <w:p>
      <w:r>
        <w:t xml:space="preserve">- Future value is unlocked by earlier policy alignment and stricter signoff semantics.</w:t>
      </w:r>
    </w:p>
    <w:p/>
    <w:p>
      <w:r>
        <w:t xml:space="preserve">What Worked (Business-Relevant)</w:t>
      </w:r>
    </w:p>
    <w:p>
      <w:r>
        <w:t xml:space="preserve">- Evidence-driven release decisions reduced subjective escalation and shortened final decision loops.</w:t>
      </w:r>
    </w:p>
    <w:p>
      <w:r>
        <w:t xml:space="preserve">- Clear error traceability and deterministic test behavior improved confidence in defect triage.</w:t>
      </w:r>
    </w:p>
    <w:p>
      <w:r>
        <w:t xml:space="preserve">- Cross-role remediation ownership improved once advice and tracking artifacts were explicit.</w:t>
      </w:r>
    </w:p>
    <w:p>
      <w:r>
        <w:t xml:space="preserve">- Governance artifacts made go/no-go rationale auditable for leadership review.</w:t>
      </w:r>
    </w:p>
    <w:p/>
    <w:p>
      <w:r>
        <w:t xml:space="preserve">What Hurt Delivery</w:t>
      </w:r>
    </w:p>
    <w:p>
      <w:r>
        <w:t xml:space="preserve">- Signoff-state inconsistency across documents created avoidable stop-start release motion.</w:t>
      </w:r>
    </w:p>
    <w:p>
      <w:r>
        <w:t xml:space="preserve">- Policy language inconsistency (for example, acknowledged versus formal GO signoff) delayed closure.</w:t>
      </w:r>
    </w:p>
    <w:p>
      <w:r>
        <w:t xml:space="preserve">- Late discovery of contract-runtime mismatch increased remediation cost.</w:t>
      </w:r>
    </w:p>
    <w:p>
      <w:r>
        <w:t xml:space="preserve">- Multiple valid test cycles without one locked decision cycle increased decision overhead.</w:t>
      </w:r>
    </w:p>
    <w:p/>
    <w:p>
      <w:r>
        <w:t xml:space="preserve">Business Risks to Monitor</w:t>
      </w:r>
    </w:p>
    <w:p>
      <w:r>
        <w:t xml:space="preserve">- Contract drift between specification and runtime behavior affecting external predictability.</w:t>
      </w:r>
    </w:p>
    <w:p>
      <w:r>
        <w:t xml:space="preserve">- Idempotency ambiguity creating duplicate-side-effect financial risk.</w:t>
      </w:r>
    </w:p>
    <w:p>
      <w:r>
        <w:t xml:space="preserve">- Retrieval-key and UUID edge-case usability risks affecting operational support load.</w:t>
      </w:r>
    </w:p>
    <w:p>
      <w:r>
        <w:t xml:space="preserve">- RBAC drift and access-policy inconsistency across services.</w:t>
      </w:r>
    </w:p>
    <w:p/>
    <w:p>
      <w:r>
        <w:t xml:space="preserve">Recommended Leadership Actions (Next Quarter)</w:t>
      </w:r>
    </w:p>
    <w:p>
      <w:r>
        <w:t xml:space="preserve">- Fund a hard-gate conformance pipeline (OpenAPI, runtime behavior, and test evidence parity checks).</w:t>
      </w:r>
    </w:p>
    <w:p>
      <w:r>
        <w:t xml:space="preserve">- Mandate a single decision-cycle lock per release candidate.</w:t>
      </w:r>
    </w:p>
    <w:p>
      <w:r>
        <w:t xml:space="preserve">- Standardize signoff schema across all roles and release packs.</w:t>
      </w:r>
    </w:p>
    <w:p>
      <w:r>
        <w:t xml:space="preserve">- Treat terminology/glossary governance as release-critical, not documentation hygiene.</w:t>
      </w:r>
    </w:p>
    <w:p>
      <w:r>
        <w:t xml:space="preserve">- Require boundary-specific release statements (local readiness versus production promotion).</w:t>
      </w:r>
    </w:p>
    <w:p/>
    <w:p>
      <w:r>
        <w:t xml:space="preserve">Role Coverage Included</w:t>
      </w:r>
    </w:p>
    <w:p>
      <w:r>
        <w:t xml:space="preserve">- Architect: contract clarity, boundaries, cohesion, enforcement timing</w:t>
      </w:r>
    </w:p>
    <w:p>
      <w:r>
        <w:t xml:space="preserve">- Business Analyst: requirement clarity, acceptance precision, edge-case coverage</w:t>
      </w:r>
    </w:p>
    <w:p>
      <w:r>
        <w:t xml:space="preserve">- Code Builder: implementation correctness, contract enforcement, defensive coding</w:t>
      </w:r>
    </w:p>
    <w:p>
      <w:r>
        <w:t xml:space="preserve">- Coding Optimizer: maintainability, performance, missed optimization opportunities</w:t>
      </w:r>
    </w:p>
    <w:p>
      <w:r>
        <w:t xml:space="preserve">- Critical Reviewer: review depth, blind spots, escalation quality</w:t>
      </w:r>
    </w:p>
    <w:p>
      <w:r>
        <w:t xml:space="preserve">- Database Architect: schema safety, query resilience, migration validation</w:t>
      </w:r>
    </w:p>
    <w:p>
      <w:r>
        <w:t xml:space="preserve">- Designer: design-to-implementation drift, component consistency</w:t>
      </w:r>
    </w:p>
    <w:p>
      <w:r>
        <w:t xml:space="preserve">- DevOps: environment parity, deployment safety, CI gate strength</w:t>
      </w:r>
    </w:p>
    <w:p>
      <w:r>
        <w:t xml:space="preserve">- Frontend Developer: route logic correctness, validation gaps, state clarity</w:t>
      </w:r>
    </w:p>
    <w:p>
      <w:r>
        <w:t xml:space="preserve">- product-owner: role-specific focus captured in review</w:t>
      </w:r>
    </w:p>
    <w:p>
      <w:r>
        <w:t xml:space="preserve">- Test Manager: regression sufficiency, prioritization, scenario detection</w:t>
      </w:r>
    </w:p>
    <w:p>
      <w:r>
        <w:t xml:space="preserve">- Tester: edge-case discovery, reproducibility, mismatch detection</w:t>
      </w:r>
    </w:p>
    <w:p>
      <w:r>
        <w:t xml:space="preserve">- UX Designer: interaction clarity, stage transparency, gating correctness</w:t>
      </w:r>
    </w:p>
    <w:p/>
    <w:p>
      <w:r>
        <w:t xml:space="preserve">Bottom Line for Business Lead</w:t>
      </w:r>
    </w:p>
    <w:p>
      <w:r>
        <w:t xml:space="preserve">Release quality is improving, but governance rigor must be shifted earlier in the lifecycle. The highest ROI change is turning advisory conformance checks into mandatory CI release gates tied to formal signoff completeness.</w:t>
      </w:r>
    </w:p>
    <w:sectPr>
      <w:pgSz w:w="12240" w:h="15840"/>
      <w:pgMar w:top="1440" w:right="1440" w:bottom="1440" w:left="1440" w:header="708" w:footer="708" w:gutter="0"/>
    </w:sectPr>
  </w:body>
</w:document>
</file>