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Phase 4 Retrospective Synthesis for Enterprise Architect</w:t>
      </w:r>
    </w:p>
    <w:p>
      <w:r>
        <w:t xml:space="preserve">Date: 2026-02-26</w:t>
      </w:r>
    </w:p>
    <w:p>
      <w:r>
        <w:t xml:space="preserve">Source set: 13 role retrospective reviews from retrospective/*.md</w:t>
      </w:r>
    </w:p>
    <w:p/>
    <w:p>
      <w:r>
        <w:t xml:space="preserve">Purpose</w:t>
      </w:r>
    </w:p>
    <w:p>
      <w:r>
        <w:t xml:space="preserve">This synthesis frames cross-role retrospective input as architecture-governance outcomes: boundary control, contract integrity, operational safety, and decision traceability.</w:t>
      </w:r>
    </w:p>
    <w:p/>
    <w:p>
      <w:r>
        <w:t xml:space="preserve">Architecture Signals</w:t>
      </w:r>
    </w:p>
    <w:p>
      <w:r>
        <w:t xml:space="preserve">- Boundary clarity is the strongest determinant of release stability.</w:t>
      </w:r>
    </w:p>
    <w:p>
      <w:r>
        <w:t xml:space="preserve">- Contract-runtime drift remains the primary systemic fault pattern.</w:t>
      </w:r>
    </w:p>
    <w:p>
      <w:r>
        <w:t xml:space="preserve">- Governance succeeded where controls were executable (same-cycle gates, immutable evidence IDs).</w:t>
      </w:r>
    </w:p>
    <w:p>
      <w:r>
        <w:t xml:space="preserve">- Governance failed where semantics were prose-only or status labels were ambiguous.</w:t>
      </w:r>
    </w:p>
    <w:p/>
    <w:p>
      <w:r>
        <w:t xml:space="preserve">Key Systemic Findings</w:t>
      </w:r>
    </w:p>
    <w:p>
      <w:r>
        <w:t xml:space="preserve">- Conformance checks were initially advisory rather than hard merge/release controls.</w:t>
      </w:r>
    </w:p>
    <w:p>
      <w:r>
        <w:t xml:space="preserve">- Ownership for cross-cutting semantics (idempotency, terminology, duplicate-path behavior) was diffused.</w:t>
      </w:r>
    </w:p>
    <w:p>
      <w:r>
        <w:t xml:space="preserve">- Service-level integration verification lagged domain-level confidence in early cycles.</w:t>
      </w:r>
    </w:p>
    <w:p>
      <w:r>
        <w:t xml:space="preserve">- Create-to-read retrieval ergonomics were not consistently treated as contract quality criteria.</w:t>
      </w:r>
    </w:p>
    <w:p/>
    <w:p>
      <w:r>
        <w:t xml:space="preserve">Architectural Root Causes</w:t>
      </w:r>
    </w:p>
    <w:p>
      <w:r>
        <w:t xml:space="preserve">- Missing policy-to-pipeline binding: architecture rules not always codified as enforceable gates.</w:t>
      </w:r>
    </w:p>
    <w:p>
      <w:r>
        <w:t xml:space="preserve">- Weak canonicalization: insufficient single source of truth for state labels and contract semantics.</w:t>
      </w:r>
    </w:p>
    <w:p>
      <w:r>
        <w:t xml:space="preserve">- Late lifecycle contract validation: parity checks happened too close to release decision time.</w:t>
      </w:r>
    </w:p>
    <w:p/>
    <w:p>
      <w:r>
        <w:t xml:space="preserve">Target Guardrails</w:t>
      </w:r>
    </w:p>
    <w:p>
      <w:r>
        <w:t xml:space="preserve">- Enforce architecture conformance gates in CI: OpenAPI required fields, handler behavior, error envelope policy, and idempotency outcomes.</w:t>
      </w:r>
    </w:p>
    <w:p>
      <w:r>
        <w:t xml:space="preserve">- Require explicit behavior tables for retry, duplicate, conflict, and no-op semantics per service.</w:t>
      </w:r>
    </w:p>
    <w:p>
      <w:r>
        <w:t xml:space="preserve">- Mandate one canonical release cycle ID for decisioning artifacts.</w:t>
      </w:r>
    </w:p>
    <w:p>
      <w:r>
        <w:t xml:space="preserve">- Introduce architecture-level controlled vocabulary validation for critical enums and statuses.</w:t>
      </w:r>
    </w:p>
    <w:p>
      <w:r>
        <w:t xml:space="preserve">- Gate release on signoff completeness with machine-readable schema.</w:t>
      </w:r>
    </w:p>
    <w:p/>
    <w:p>
      <w:r>
        <w:t xml:space="preserve">Enterprise Concerns</w:t>
      </w:r>
    </w:p>
    <w:p>
      <w:r>
        <w:t xml:space="preserve">- Audit defensibility depends on runtime proof, not schema intent.</w:t>
      </w:r>
    </w:p>
    <w:p>
      <w:r>
        <w:t xml:space="preserve">- RBAC consistency is an enterprise risk when gateway assumptions diverge from service enforcement.</w:t>
      </w:r>
    </w:p>
    <w:p>
      <w:r>
        <w:t xml:space="preserve">- Data/migration boundary exceptions must be explicitly scoped to non-production contexts.</w:t>
      </w:r>
    </w:p>
    <w:p/>
    <w:p>
      <w:r>
        <w:t xml:space="preserve">Recommended Architecture Workplan</w:t>
      </w:r>
    </w:p>
    <w:p>
      <w:r>
        <w:t xml:space="preserve">- 30 days: formalize contract parity checks as required gate policy.</w:t>
      </w:r>
    </w:p>
    <w:p>
      <w:r>
        <w:t xml:space="preserve">- 60 days: codify idempotency and duplicate-side-effect architecture standard with service test templates.</w:t>
      </w:r>
    </w:p>
    <w:p>
      <w:r>
        <w:t xml:space="preserve">- 90 days: deploy architecture governance linting for signoff schema, cycle consistency, and critical terminology.</w:t>
      </w:r>
    </w:p>
    <w:p/>
    <w:p>
      <w:r>
        <w:t xml:space="preserve">Role Coverage Included</w:t>
      </w:r>
    </w:p>
    <w:p>
      <w:r>
        <w:t xml:space="preserve">- Architect: contract clarity, boundaries, cohesion, enforcement timing</w:t>
      </w:r>
    </w:p>
    <w:p>
      <w:r>
        <w:t xml:space="preserve">- Business Analyst: requirement clarity, acceptance precision, edge-case coverage</w:t>
      </w:r>
    </w:p>
    <w:p>
      <w:r>
        <w:t xml:space="preserve">- Code Builder: implementation correctness, contract enforcement, defensive coding</w:t>
      </w:r>
    </w:p>
    <w:p>
      <w:r>
        <w:t xml:space="preserve">- Coding Optimizer: maintainability, performance, missed optimization opportunities</w:t>
      </w:r>
    </w:p>
    <w:p>
      <w:r>
        <w:t xml:space="preserve">- Critical Reviewer: review depth, blind spots, escalation quality</w:t>
      </w:r>
    </w:p>
    <w:p>
      <w:r>
        <w:t xml:space="preserve">- Database Architect: schema safety, query resilience, migration validation</w:t>
      </w:r>
    </w:p>
    <w:p>
      <w:r>
        <w:t xml:space="preserve">- Designer: design-to-implementation drift, component consistency</w:t>
      </w:r>
    </w:p>
    <w:p>
      <w:r>
        <w:t xml:space="preserve">- DevOps: environment parity, deployment safety, CI gate strength</w:t>
      </w:r>
    </w:p>
    <w:p>
      <w:r>
        <w:t xml:space="preserve">- Frontend Developer: route logic correctness, validation gaps, state clarity</w:t>
      </w:r>
    </w:p>
    <w:p>
      <w:r>
        <w:t xml:space="preserve">- product-owner: role-specific focus captured in review</w:t>
      </w:r>
    </w:p>
    <w:p>
      <w:r>
        <w:t xml:space="preserve">- Test Manager: regression sufficiency, prioritization, scenario detection</w:t>
      </w:r>
    </w:p>
    <w:p>
      <w:r>
        <w:t xml:space="preserve">- Tester: edge-case discovery, reproducibility, mismatch detection</w:t>
      </w:r>
    </w:p>
    <w:p>
      <w:r>
        <w:t xml:space="preserve">- UX Designer: interaction clarity, stage transparency, gating correctness</w:t>
      </w:r>
    </w:p>
    <w:p/>
    <w:p>
      <w:r>
        <w:t xml:space="preserve">Bottom Line for Enterprise Architect</w:t>
      </w:r>
    </w:p>
    <w:p>
      <w:r>
        <w:t xml:space="preserve">The architecture is viable, but governance controls must be treated as first-class architecture assets. The highest leverage action is binding architectural policy directly into CI/CD enforcement and release artifact validation.</w:t>
      </w:r>
    </w:p>
    <w:sectPr>
      <w:pgSz w:w="12240" w:h="15840"/>
      <w:pgMar w:top="1440" w:right="1440" w:bottom="1440" w:left="1440" w:header="708" w:footer="708" w:gutter="0"/>
    </w:sectPr>
  </w:body>
</w:document>
</file>