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Master Solution Requirements Document (Reusable Baseline)</w:t>
      </w:r>
    </w:p>
    <w:p/>
    <w:p>
      <w:r>
        <w:t xml:space="preserve">Version: 1.0  </w:t>
      </w:r>
    </w:p>
    <w:p>
      <w:r>
        <w:t xml:space="preserve">Date: 2026-02-27  </w:t>
      </w:r>
    </w:p>
    <w:p>
      <w:r>
        <w:t xml:space="preserve">Prepared for: Business and Delivery Leadership  </w:t>
      </w:r>
    </w:p>
    <w:p>
      <w:r>
        <w:t xml:space="preserve">Document intent: Human-readable requirement baseline that can be updated and reused as input to a new solution initiative.</w:t>
      </w:r>
    </w:p>
    <w:p/>
    <w:p>
      <w:r>
        <w:t xml:space="preserve">---</w:t>
      </w:r>
    </w:p>
    <w:p/>
    <w:p>
      <w:pPr>
        <w:pStyle w:val="Heading2"/>
      </w:pPr>
      <w:r>
        <w:t xml:space="preserve">1. How to Use This Document</w:t>
      </w:r>
    </w:p>
    <w:p/>
    <w:p>
      <w:r>
        <w:t xml:space="preserve">This document is designed as a reusable baseline for solution planning, delivery, and governance.  </w:t>
      </w:r>
    </w:p>
    <w:p>
      <w:r>
        <w:t xml:space="preserve">Use it in three ways:</w:t>
      </w:r>
    </w:p>
    <w:p/>
    <w:p>
      <w:r>
        <w:t xml:space="preserve">1. As a requirements source for new project initiation.</w:t>
      </w:r>
    </w:p>
    <w:p>
      <w:r>
        <w:t xml:space="preserve">2. As a release governance and acceptance reference.</w:t>
      </w:r>
    </w:p>
    <w:p>
      <w:r>
        <w:t xml:space="preserve">3. As a change-control artifact when scope or legal requirements evolve.</w:t>
      </w:r>
    </w:p>
    <w:p/>
    <w:p>
      <w:r>
        <w:t xml:space="preserve">Update protocol:</w:t>
      </w:r>
    </w:p>
    <w:p>
      <w:r>
        <w:t xml:space="preserve">- Keep section numbering stable.</w:t>
      </w:r>
    </w:p>
    <w:p>
      <w:r>
        <w:t xml:space="preserve">- Never delete requirement IDs; deprecate and mark superseded.</w:t>
      </w:r>
    </w:p>
    <w:p>
      <w:r>
        <w:t xml:space="preserve">- Record every major change in Section 18 (Change Log).</w:t>
      </w:r>
    </w:p>
    <w:p>
      <w:r>
        <w:t xml:space="preserve">- Keep assumptions and constraints explicit to prevent hidden scope drift.</w:t>
      </w:r>
    </w:p>
    <w:p/>
    <w:p>
      <w:r>
        <w:t xml:space="preserve">Reusable markers:</w:t>
      </w:r>
    </w:p>
    <w:p>
      <w:r>
        <w:t xml:space="preserve">- `[UPDATE FOR NEW SOLUTION: ...]` marks fields that should be reviewed and changed in a future reuse cycle.</w:t>
      </w:r>
    </w:p>
    <w:p/>
    <w:p>
      <w:r>
        <w:t xml:space="preserve">---</w:t>
      </w:r>
    </w:p>
    <w:p/>
    <w:p>
      <w:pPr>
        <w:pStyle w:val="Heading2"/>
      </w:pPr>
      <w:r>
        <w:t xml:space="preserve">2. Purpose and Problem Statement</w:t>
      </w:r>
    </w:p>
    <w:p/>
    <w:p>
      <w:r>
        <w:t xml:space="preserve">The solution must provide a deterministic, auditable VAT capability platform that supports core lifecycle processes (registration, obligation, filing, assessment, amendment, and claim orchestration) while enabling safe integration with existing enterprise and authority landscapes.</w:t>
      </w:r>
    </w:p>
    <w:p/>
    <w:p>
      <w:r>
        <w:t xml:space="preserve">Primary business problem:</w:t>
      </w:r>
    </w:p>
    <w:p>
      <w:r>
        <w:t xml:space="preserve">- VAT outcomes and compliance operations become costly and risky when contract behavior, legal interpretation, and delivery governance are inconsistent.</w:t>
      </w:r>
    </w:p>
    <w:p/>
    <w:p>
      <w:r>
        <w:t xml:space="preserve">Required business outcome:</w:t>
      </w:r>
    </w:p>
    <w:p>
      <w:r>
        <w:t xml:space="preserve">- Predictable legal-domain behavior, traceable decisions, and controlled release readiness with measurable evidence.</w:t>
      </w:r>
    </w:p>
    <w:p/>
    <w:p>
      <w:r>
        <w:t xml:space="preserve">---</w:t>
      </w:r>
    </w:p>
    <w:p/>
    <w:p>
      <w:pPr>
        <w:pStyle w:val="Heading2"/>
      </w:pPr>
      <w:r>
        <w:t xml:space="preserve">3. Business Objectives</w:t>
      </w:r>
    </w:p>
    <w:p/>
    <w:p>
      <w:r>
        <w:t xml:space="preserve">BO-001: Deliver deterministic VAT outcomes for in-scope scenarios.  </w:t>
      </w:r>
    </w:p>
    <w:p>
      <w:r>
        <w:t xml:space="preserve">BO-002: Maintain transparent audit trace from input to claim-related outcomes.  </w:t>
      </w:r>
    </w:p>
    <w:p>
      <w:r>
        <w:t xml:space="preserve">BO-003: Reduce release risk through objective gate evidence and formal signoff controls.  </w:t>
      </w:r>
    </w:p>
    <w:p>
      <w:r>
        <w:t xml:space="preserve">BO-004: Support phased capability growth without core semantic fragmentation.  </w:t>
      </w:r>
    </w:p>
    <w:p>
      <w:r>
        <w:t xml:space="preserve">BO-005: Enable coexistence with incumbent enterprise/authority systems through explicit integration contracts.</w:t>
      </w:r>
    </w:p>
    <w:p/>
    <w:p>
      <w:r>
        <w:t xml:space="preserve">[UPDATE FOR NEW SOLUTION: replace BO priorities and add target KPI values by quarter/year]</w:t>
      </w:r>
    </w:p>
    <w:p/>
    <w:p>
      <w:r>
        <w:t xml:space="preserve">---</w:t>
      </w:r>
    </w:p>
    <w:p/>
    <w:p>
      <w:pPr>
        <w:pStyle w:val="Heading2"/>
      </w:pPr>
      <w:r>
        <w:t xml:space="preserve">4. Scope Definition</w:t>
      </w:r>
    </w:p>
    <w:p/>
    <w:p>
      <w:r>
        <w:t xml:space="preserve">### 4.1 In Scope</w:t>
      </w:r>
    </w:p>
    <w:p/>
    <w:p>
      <w:r>
        <w:t xml:space="preserve">- VAT registration and obligation management.</w:t>
      </w:r>
    </w:p>
    <w:p>
      <w:r>
        <w:t xml:space="preserve">- VAT filing intake and deterministic validation.</w:t>
      </w:r>
    </w:p>
    <w:p>
      <w:r>
        <w:t xml:space="preserve">- Deterministic assessment and outcome classification.</w:t>
      </w:r>
    </w:p>
    <w:p>
      <w:r>
        <w:t xml:space="preserve">- Amendment lineage and versioned reassessment handling.</w:t>
      </w:r>
    </w:p>
    <w:p>
      <w:r>
        <w:t xml:space="preserve">- Claim orchestration integration boundary support.</w:t>
      </w:r>
    </w:p>
    <w:p>
      <w:r>
        <w:t xml:space="preserve">- Append-only audit evidence and traceability controls.</w:t>
      </w:r>
    </w:p>
    <w:p>
      <w:r>
        <w:t xml:space="preserve">- API-first delivery plus portal/BFF channel support.</w:t>
      </w:r>
    </w:p>
    <w:p/>
    <w:p>
      <w:r>
        <w:t xml:space="preserve">### 4.2 Out of Scope</w:t>
      </w:r>
    </w:p>
    <w:p/>
    <w:p>
      <w:r>
        <w:t xml:space="preserve">- Settlement/debt collection operations as full owned domain (integration boundary only unless explicitly funded).</w:t>
      </w:r>
    </w:p>
    <w:p>
      <w:r>
        <w:t xml:space="preserve">- Legal dispute adjudication workflows.</w:t>
      </w:r>
    </w:p>
    <w:p>
      <w:r>
        <w:t xml:space="preserve">- Non-tax enterprise domains (CRM, HR, general ledger, procurement).</w:t>
      </w:r>
    </w:p>
    <w:p/>
    <w:p>
      <w:r>
        <w:t xml:space="preserve">### 4.3 Conditional / Future Scope</w:t>
      </w:r>
    </w:p>
    <w:p/>
    <w:p>
      <w:r>
        <w:t xml:space="preserve">- Integration hardening (Phase 4A equivalent).</w:t>
      </w:r>
    </w:p>
    <w:p>
      <w:r>
        <w:t xml:space="preserve">- Advanced legal scenario modules (Phase 5 equivalent).</w:t>
      </w:r>
    </w:p>
    <w:p>
      <w:r>
        <w:t xml:space="preserve">- ViDA Step 1-3 production-depth controls (Phase 6 equivalent).</w:t>
      </w:r>
    </w:p>
    <w:p/>
    <w:p>
      <w:r>
        <w:t xml:space="preserve">[UPDATE FOR NEW SOLUTION: revise phase names, boundary wording, and in/out scope list]</w:t>
      </w:r>
    </w:p>
    <w:p/>
    <w:p>
      <w:r>
        <w:t xml:space="preserve">---</w:t>
      </w:r>
    </w:p>
    <w:p/>
    <w:p>
      <w:pPr>
        <w:pStyle w:val="Heading2"/>
      </w:pPr>
      <w:r>
        <w:t xml:space="preserve">5. Stakeholders and Ownership</w:t>
      </w:r>
    </w:p>
    <w:p/>
    <w:p>
      <w:r>
        <w:t xml:space="preserve">Required roles and decision rights:</w:t>
      </w:r>
    </w:p>
    <w:p>
      <w:r>
        <w:t xml:space="preserve">- Product Owner: final domain acceptance and release go/no-go.</w:t>
      </w:r>
    </w:p>
    <w:p>
      <w:r>
        <w:t xml:space="preserve">- Architect: architecture contract integrity and boundary governance.</w:t>
      </w:r>
    </w:p>
    <w:p>
      <w:r>
        <w:t xml:space="preserve">- Database Architect: migration and schema safety governance.</w:t>
      </w:r>
    </w:p>
    <w:p>
      <w:r>
        <w:t xml:space="preserve">- DevOps: pipeline evidence, environment parity, operational release controls.</w:t>
      </w:r>
    </w:p>
    <w:p>
      <w:r>
        <w:t xml:space="preserve">- Test Manager: test coverage governance and final test recommendation.</w:t>
      </w:r>
    </w:p>
    <w:p>
      <w:r>
        <w:t xml:space="preserve">- Tester: execution evidence and defect disposition quality.</w:t>
      </w:r>
    </w:p>
    <w:p>
      <w:r>
        <w:t xml:space="preserve">- Delivery Engineering Roles: implementation and contract conformance.</w:t>
      </w:r>
    </w:p>
    <w:p/>
    <w:p>
      <w:r>
        <w:t xml:space="preserve">Ownership principle:</w:t>
      </w:r>
    </w:p>
    <w:p>
      <w:r>
        <w:t xml:space="preserve">- Business accepts outcomes and risk posture; engineering owns implementation evidence.</w:t>
      </w:r>
    </w:p>
    <w:p/>
    <w:p>
      <w:r>
        <w:t xml:space="preserve">---</w:t>
      </w:r>
    </w:p>
    <w:p/>
    <w:p>
      <w:pPr>
        <w:pStyle w:val="Heading2"/>
      </w:pPr>
      <w:r>
        <w:t xml:space="preserve">6. Assumptions and Constraints</w:t>
      </w:r>
    </w:p>
    <w:p/>
    <w:p>
      <w:r>
        <w:t xml:space="preserve">### 6.1 Core Assumptions</w:t>
      </w:r>
    </w:p>
    <w:p/>
    <w:p>
      <w:r>
        <w:t xml:space="preserve">A-001: Core tax semantics remain non-optional across adoption variants.  </w:t>
      </w:r>
    </w:p>
    <w:p>
      <w:r>
        <w:t xml:space="preserve">A-002: Legal decisions remain deterministic-policy driven.  </w:t>
      </w:r>
    </w:p>
    <w:p>
      <w:r>
        <w:t xml:space="preserve">A-003: AI capabilities are assistive only and cannot issue legal decisions.  </w:t>
      </w:r>
    </w:p>
    <w:p>
      <w:r>
        <w:t xml:space="preserve">A-004: Incremental adoption/coexistence with incumbent systems is required.</w:t>
      </w:r>
    </w:p>
    <w:p/>
    <w:p>
      <w:r>
        <w:t xml:space="preserve">### 6.2 Constraints</w:t>
      </w:r>
    </w:p>
    <w:p/>
    <w:p>
      <w:r>
        <w:t xml:space="preserve">C-001: Open standards and contract-first integration model are required.  </w:t>
      </w:r>
    </w:p>
    <w:p>
      <w:r>
        <w:t xml:space="preserve">C-002: Effective-dated policy/rule behavior must be preserved for legal replay.  </w:t>
      </w:r>
    </w:p>
    <w:p>
      <w:r>
        <w:t xml:space="preserve">C-003: Append-only evidence controls must not be bypassed in release promotion.  </w:t>
      </w:r>
    </w:p>
    <w:p>
      <w:r>
        <w:t xml:space="preserve">C-004: Release decisions must be evidence-based, not intent-based.</w:t>
      </w:r>
    </w:p>
    <w:p/>
    <w:p>
      <w:r>
        <w:t xml:space="preserve">[UPDATE FOR NEW SOLUTION: validate legal/regulatory assumptions for target jurisdiction]</w:t>
      </w:r>
    </w:p>
    <w:p/>
    <w:p>
      <w:r>
        <w:t xml:space="preserve">---</w:t>
      </w:r>
    </w:p>
    <w:p/>
    <w:p>
      <w:pPr>
        <w:pStyle w:val="Heading2"/>
      </w:pPr>
      <w:r>
        <w:t xml:space="preserve">7. Functional Requirements</w:t>
      </w:r>
    </w:p>
    <w:p/>
    <w:p>
      <w:r>
        <w:t xml:space="preserve">### 7.1 Registration and Obligation</w:t>
      </w:r>
    </w:p>
    <w:p/>
    <w:p>
      <w:r>
        <w:t xml:space="preserve">FR-REG-001: The solution shall capture and maintain VAT registration status transitions.  </w:t>
      </w:r>
    </w:p>
    <w:p>
      <w:r>
        <w:t xml:space="preserve">FR-OBL-001: The solution shall generate filing obligations using effective-dated cadence policy.  </w:t>
      </w:r>
    </w:p>
    <w:p>
      <w:r>
        <w:t xml:space="preserve">FR-OBL-002: The solution shall track obligation states (`due`, `submitted`, `overdue`) with traceable transitions.</w:t>
      </w:r>
    </w:p>
    <w:p/>
    <w:p>
      <w:r>
        <w:t xml:space="preserve">### 7.2 Filing and Validation</w:t>
      </w:r>
    </w:p>
    <w:p/>
    <w:p>
      <w:r>
        <w:t xml:space="preserve">FR-FIL-001: The solution shall accept canonical VAT filing payloads through API-first ingress.  </w:t>
      </w:r>
    </w:p>
    <w:p>
      <w:r>
        <w:t xml:space="preserve">FR-VAL-001: The solution shall enforce identity, period, and amount integrity checks.  </w:t>
      </w:r>
    </w:p>
    <w:p>
      <w:r>
        <w:t xml:space="preserve">FR-VAL-002: The solution shall perform cross-field consistency checks for reverse-charge and related patterns.</w:t>
      </w:r>
    </w:p>
    <w:p/>
    <w:p>
      <w:r>
        <w:t xml:space="preserve">### 7.3 Assessment and Rule Processing</w:t>
      </w:r>
    </w:p>
    <w:p/>
    <w:p>
      <w:r>
        <w:t xml:space="preserve">FR-RULE-001: The solution shall evaluate filings using deterministic, effective-dated rules.  </w:t>
      </w:r>
    </w:p>
    <w:p>
      <w:r>
        <w:t xml:space="preserve">FR-ASM-001: The solution shall calculate net VAT using explicit staged derivation logic.  </w:t>
      </w:r>
    </w:p>
    <w:p>
      <w:r>
        <w:t xml:space="preserve">FR-ASM-002: The solution shall classify outcomes (`payable`, `refund`, `zero`) deterministically.</w:t>
      </w:r>
    </w:p>
    <w:p/>
    <w:p>
      <w:r>
        <w:t xml:space="preserve">### 7.4 Amendments and Lineage</w:t>
      </w:r>
    </w:p>
    <w:p/>
    <w:p>
      <w:r>
        <w:t xml:space="preserve">FR-AMD-001: The solution shall support amendment submissions linked to original filing context.  </w:t>
      </w:r>
    </w:p>
    <w:p>
      <w:r>
        <w:t xml:space="preserve">FR-AMD-002: The solution shall preserve amendment lineage and version history without overwriting legal records.</w:t>
      </w:r>
    </w:p>
    <w:p/>
    <w:p>
      <w:r>
        <w:t xml:space="preserve">### 7.5 Claims and Integration Boundaries</w:t>
      </w:r>
    </w:p>
    <w:p/>
    <w:p>
      <w:r>
        <w:t xml:space="preserve">FR-CLM-001: The solution shall produce claim-ready outputs with idempotency-safe behavior.  </w:t>
      </w:r>
    </w:p>
    <w:p>
      <w:r>
        <w:t xml:space="preserve">FR-INT-001: The solution shall expose explicit integration contracts for external systems and reconciliation flows.</w:t>
      </w:r>
    </w:p>
    <w:p/>
    <w:p>
      <w:r>
        <w:t xml:space="preserve">### 7.6 Audit and Evidence</w:t>
      </w:r>
    </w:p>
    <w:p/>
    <w:p>
      <w:r>
        <w:t xml:space="preserve">FR-AUD-001: The solution shall emit traceable evidence artifacts for key business and technical transitions.  </w:t>
      </w:r>
    </w:p>
    <w:p>
      <w:r>
        <w:t xml:space="preserve">FR-AUD-002: The solution shall preserve append-only evidence handling for legal defensibility.</w:t>
      </w:r>
    </w:p>
    <w:p/>
    <w:p>
      <w:r>
        <w:t xml:space="preserve">[UPDATE FOR NEW SOLUTION: add/remove functional requirement groups and IDs without renumbering existing IDs]</w:t>
      </w:r>
    </w:p>
    <w:p/>
    <w:p>
      <w:r>
        <w:t xml:space="preserve">---</w:t>
      </w:r>
    </w:p>
    <w:p/>
    <w:p>
      <w:pPr>
        <w:pStyle w:val="Heading2"/>
      </w:pPr>
      <w:r>
        <w:t xml:space="preserve">8. Non-Functional Requirements</w:t>
      </w:r>
    </w:p>
    <w:p/>
    <w:p>
      <w:r>
        <w:t xml:space="preserve">NFR-001 (Determinism): Same input + same rule version must produce the same output.  </w:t>
      </w:r>
    </w:p>
    <w:p>
      <w:r>
        <w:t xml:space="preserve">NFR-002 (Traceability): Every major domain decision must be linked to trace identifiers and evidence records.  </w:t>
      </w:r>
    </w:p>
    <w:p>
      <w:r>
        <w:t xml:space="preserve">NFR-003 (Reliability): Integration paths must support retry and failure isolation patterns.  </w:t>
      </w:r>
    </w:p>
    <w:p>
      <w:r>
        <w:t xml:space="preserve">NFR-004 (Security): RBAC and authentication boundary behavior must be explicit and testable.  </w:t>
      </w:r>
    </w:p>
    <w:p>
      <w:r>
        <w:t xml:space="preserve">NFR-005 (Maintainability): Rule and policy evolution must be manageable through versioned configuration patterns.  </w:t>
      </w:r>
    </w:p>
    <w:p>
      <w:r>
        <w:t xml:space="preserve">NFR-006 (Interoperability): APIs/events must remain contract-first and standards-aligned.  </w:t>
      </w:r>
    </w:p>
    <w:p>
      <w:r>
        <w:t xml:space="preserve">NFR-007 (Release Quality): Production promotion requires objective gate evidence and formal signoffs.</w:t>
      </w:r>
    </w:p>
    <w:p/>
    <w:p>
      <w:r>
        <w:t xml:space="preserve">---</w:t>
      </w:r>
    </w:p>
    <w:p/>
    <w:p>
      <w:pPr>
        <w:pStyle w:val="Heading2"/>
      </w:pPr>
      <w:r>
        <w:t xml:space="preserve">9. Data and Contract Requirements</w:t>
      </w:r>
    </w:p>
    <w:p/>
    <w:p>
      <w:r>
        <w:t xml:space="preserve">DCR-001: Canonical API contracts must be versioned and reviewed with runtime parity checks.  </w:t>
      </w:r>
    </w:p>
    <w:p>
      <w:r>
        <w:t xml:space="preserve">DCR-002: Required response/request fields must be consistent between specification and runtime behavior.  </w:t>
      </w:r>
    </w:p>
    <w:p>
      <w:r>
        <w:t xml:space="preserve">DCR-003: Data lineage from filing inputs to assessment outputs must be reconstructable.  </w:t>
      </w:r>
    </w:p>
    <w:p>
      <w:r>
        <w:t xml:space="preserve">DCR-004: Rule version identifiers and legal references must be retained for replay and audit.  </w:t>
      </w:r>
    </w:p>
    <w:p>
      <w:r>
        <w:t xml:space="preserve">DCR-005: Contract-breaking changes require explicit governance decision and migration plan.</w:t>
      </w:r>
    </w:p>
    <w:p/>
    <w:p>
      <w:r>
        <w:t xml:space="preserve">[UPDATE FOR NEW SOLUTION: include jurisdiction-specific field overlays and legal reference mappings]</w:t>
      </w:r>
    </w:p>
    <w:p/>
    <w:p>
      <w:r>
        <w:t xml:space="preserve">---</w:t>
      </w:r>
    </w:p>
    <w:p/>
    <w:p>
      <w:pPr>
        <w:pStyle w:val="Heading2"/>
      </w:pPr>
      <w:r>
        <w:t xml:space="preserve">10. Integration Requirements</w:t>
      </w:r>
    </w:p>
    <w:p/>
    <w:p>
      <w:r>
        <w:t xml:space="preserve">IR-001: The solution shall support API-first integration for upstream and downstream systems.  </w:t>
      </w:r>
    </w:p>
    <w:p>
      <w:r>
        <w:t xml:space="preserve">IR-002: Integration failures shall be observable and recoverable via defined retry/escalation semantics.  </w:t>
      </w:r>
    </w:p>
    <w:p>
      <w:r>
        <w:t xml:space="preserve">IR-003: External dependency boundaries shall be explicitly modeled with clear ownership.  </w:t>
      </w:r>
    </w:p>
    <w:p>
      <w:r>
        <w:t xml:space="preserve">IR-004: Reconciliation contracts shall exist for data/state divergence scenarios.</w:t>
      </w:r>
    </w:p>
    <w:p/>
    <w:p>
      <w:r>
        <w:t xml:space="preserve">---</w:t>
      </w:r>
    </w:p>
    <w:p/>
    <w:p>
      <w:pPr>
        <w:pStyle w:val="Heading2"/>
      </w:pPr>
      <w:r>
        <w:t xml:space="preserve">11. Security, Risk, and Compliance Requirements</w:t>
      </w:r>
    </w:p>
    <w:p/>
    <w:p>
      <w:r>
        <w:t xml:space="preserve">SRC-001: Unauthenticated and unauthorized behavior must be explicitly differentiated and tested.  </w:t>
      </w:r>
    </w:p>
    <w:p>
      <w:r>
        <w:t xml:space="preserve">SRC-002: Sensitive operational controls (keys, signing config, environment hardening) must fail fast when invalid.  </w:t>
      </w:r>
    </w:p>
    <w:p>
      <w:r>
        <w:t xml:space="preserve">SRC-003: Legal record handling must remain append-only where mandated.  </w:t>
      </w:r>
    </w:p>
    <w:p>
      <w:r>
        <w:t xml:space="preserve">SRC-004: Compliance-critical rules and controls must be covered by release-blocking test evidence.</w:t>
      </w:r>
    </w:p>
    <w:p/>
    <w:p>
      <w:r>
        <w:t xml:space="preserve">---</w:t>
      </w:r>
    </w:p>
    <w:p/>
    <w:p>
      <w:pPr>
        <w:pStyle w:val="Heading2"/>
      </w:pPr>
      <w:r>
        <w:t xml:space="preserve">12. Test and Acceptance Requirements</w:t>
      </w:r>
    </w:p>
    <w:p/>
    <w:p>
      <w:r>
        <w:t xml:space="preserve">TAR-001: Every critical requirement group must map to executable tests.  </w:t>
      </w:r>
    </w:p>
    <w:p>
      <w:r>
        <w:t xml:space="preserve">TAR-002: Scenario-to-requirement traceability must be maintained for release decisioning.  </w:t>
      </w:r>
    </w:p>
    <w:p>
      <w:r>
        <w:t xml:space="preserve">TAR-003: Evidence must include both positive and negative path behavior for critical controls.  </w:t>
      </w:r>
    </w:p>
    <w:p>
      <w:r>
        <w:t xml:space="preserve">TAR-004: Defect closure status must be linked to rerun evidence before release progression.</w:t>
      </w:r>
    </w:p>
    <w:p/>
    <w:p>
      <w:r>
        <w:t xml:space="preserve">Acceptance principle:</w:t>
      </w:r>
    </w:p>
    <w:p>
      <w:r>
        <w:t xml:space="preserve">- No final acceptance without objective evidence for mandatory command/gate coverage.</w:t>
      </w:r>
    </w:p>
    <w:p/>
    <w:p>
      <w:r>
        <w:t xml:space="preserve">---</w:t>
      </w:r>
    </w:p>
    <w:p/>
    <w:p>
      <w:pPr>
        <w:pStyle w:val="Heading2"/>
      </w:pPr>
      <w:r>
        <w:t xml:space="preserve">13. Release Governance Requirements</w:t>
      </w:r>
    </w:p>
    <w:p/>
    <w:p>
      <w:r>
        <w:t xml:space="preserve">RGR-001: Release readiness shall be determined by same-cycle mandatory gate evidence.  </w:t>
      </w:r>
    </w:p>
    <w:p>
      <w:r>
        <w:t xml:space="preserve">RGR-002: Evidence tracking shall be append-only; historical cycles must remain intact.  </w:t>
      </w:r>
    </w:p>
    <w:p>
      <w:r>
        <w:t xml:space="preserve">RGR-003: Required role signoffs must be complete before final GO decision.  </w:t>
      </w:r>
    </w:p>
    <w:p>
      <w:r>
        <w:t xml:space="preserve">RGR-004: Boundary statements (local verification vs production promotion) must be explicit in release evidence packs.  </w:t>
      </w:r>
    </w:p>
    <w:p>
      <w:r>
        <w:t xml:space="preserve">RGR-005: Any exception/deferral requires explicit risk acceptance with impact statement.</w:t>
      </w:r>
    </w:p>
    <w:p/>
    <w:p>
      <w:r>
        <w:t xml:space="preserve">---</w:t>
      </w:r>
    </w:p>
    <w:p/>
    <w:p>
      <w:pPr>
        <w:pStyle w:val="Heading2"/>
      </w:pPr>
      <w:r>
        <w:t xml:space="preserve">14. Traceability Matrix (Requirements to Capability)</w:t>
      </w:r>
    </w:p>
    <w:p/>
    <w:p>
      <w:r>
        <w:t xml:space="preserve">| Requirement Group | Primary Capability Area | Primary Evidence Type |</w:t>
      </w:r>
    </w:p>
    <w:p>
      <w:r>
        <w:t xml:space="preserve">|---|---|---|</w:t>
      </w:r>
    </w:p>
    <w:p>
      <w:r>
        <w:t xml:space="preserve">| FR-REG / FR-OBL | Registration and Obligation | API tests + lifecycle state evidence |</w:t>
      </w:r>
    </w:p>
    <w:p>
      <w:r>
        <w:t xml:space="preserve">| FR-FIL / FR-VAL | Filing and Validation | Contract tests + validation suites |</w:t>
      </w:r>
    </w:p>
    <w:p>
      <w:r>
        <w:t xml:space="preserve">| FR-RULE / FR-ASM | Rule and Assessment | Deterministic scenario tests |</w:t>
      </w:r>
    </w:p>
    <w:p>
      <w:r>
        <w:t xml:space="preserve">| FR-AMD | Amendment controls | lineage/version evidence + API tests |</w:t>
      </w:r>
    </w:p>
    <w:p>
      <w:r>
        <w:t xml:space="preserve">| FR-CLM / FR-INT | Claim and integration boundaries | integration tests + retry/failure logs |</w:t>
      </w:r>
    </w:p>
    <w:p>
      <w:r>
        <w:t xml:space="preserve">| FR-AUD | Audit and traceability | trace-linked evidence artifacts |</w:t>
      </w:r>
    </w:p>
    <w:p>
      <w:r>
        <w:t xml:space="preserve">| NFR-* | Cross-cutting quality | gate outcomes + quality reports |</w:t>
      </w:r>
    </w:p>
    <w:p>
      <w:r>
        <w:t xml:space="preserve">| RGR-* | Release governance | same-cycle evidence + signoff records |</w:t>
      </w:r>
    </w:p>
    <w:p/>
    <w:p>
      <w:r>
        <w:t xml:space="preserve">[UPDATE FOR NEW SOLUTION: add scenario IDs and business KPI linkage]</w:t>
      </w:r>
    </w:p>
    <w:p/>
    <w:p>
      <w:r>
        <w:t xml:space="preserve">---</w:t>
      </w:r>
    </w:p>
    <w:p/>
    <w:p>
      <w:pPr>
        <w:pStyle w:val="Heading2"/>
      </w:pPr>
      <w:r>
        <w:t xml:space="preserve">15. Delivery Roadmap Requirements View</w:t>
      </w:r>
    </w:p>
    <w:p/>
    <w:p>
      <w:r>
        <w:t xml:space="preserve">Recommended staged sequencing for reuse:</w:t>
      </w:r>
    </w:p>
    <w:p/>
    <w:p>
      <w:r>
        <w:t xml:space="preserve">Stage 1: Foundation and contract baseline (FR-FIL/VAL, NFR-Determinism, audit scaffolding).  </w:t>
      </w:r>
    </w:p>
    <w:p>
      <w:r>
        <w:t xml:space="preserve">Stage 2: Rule/assessment maturity and obligation lifecycle hardening.  </w:t>
      </w:r>
    </w:p>
    <w:p>
      <w:r>
        <w:t xml:space="preserve">Stage 3: Integration reliability and operational controls.  </w:t>
      </w:r>
    </w:p>
    <w:p>
      <w:r>
        <w:t xml:space="preserve">Stage 4: Amendments, transparency, and compliance analytics.  </w:t>
      </w:r>
    </w:p>
    <w:p>
      <w:r>
        <w:t xml:space="preserve">Stage 5+: Advanced legal modules and broader regulatory expansion.</w:t>
      </w:r>
    </w:p>
    <w:p/>
    <w:p>
      <w:r>
        <w:t xml:space="preserve">Roadmap rule:</w:t>
      </w:r>
    </w:p>
    <w:p>
      <w:r>
        <w:t xml:space="preserve">- New scope enters only when requirement IDs, acceptance criteria, and traceability are defined.</w:t>
      </w:r>
    </w:p>
    <w:p/>
    <w:p>
      <w:r>
        <w:t xml:space="preserve">---</w:t>
      </w:r>
    </w:p>
    <w:p/>
    <w:p>
      <w:pPr>
        <w:pStyle w:val="Heading2"/>
      </w:pPr>
      <w:r>
        <w:t xml:space="preserve">16. Reuse Checklist for New Solution Initialization</w:t>
      </w:r>
    </w:p>
    <w:p/>
    <w:p>
      <w:r>
        <w:t xml:space="preserve">Before reusing this document in a new initiative, complete:</w:t>
      </w:r>
    </w:p>
    <w:p/>
    <w:p>
      <w:r>
        <w:t xml:space="preserve">1. Replace business objective section with target-program goals and KPIs.</w:t>
      </w:r>
    </w:p>
    <w:p>
      <w:r>
        <w:t xml:space="preserve">2. Confirm jurisdiction/legal overlays and non-negotiable legal controls.</w:t>
      </w:r>
    </w:p>
    <w:p>
      <w:r>
        <w:t xml:space="preserve">3. Revalidate in-scope/out-of-scope boundaries.</w:t>
      </w:r>
    </w:p>
    <w:p>
      <w:r>
        <w:t xml:space="preserve">4. Review all requirement IDs; add new IDs without changing existing historical IDs.</w:t>
      </w:r>
    </w:p>
    <w:p>
      <w:r>
        <w:t xml:space="preserve">5. Map requirement groups to target architecture components and backlog.</w:t>
      </w:r>
    </w:p>
    <w:p>
      <w:r>
        <w:t xml:space="preserve">6. Define mandatory release evidence lanes and signoff model.</w:t>
      </w:r>
    </w:p>
    <w:p>
      <w:r>
        <w:t xml:space="preserve">7. Record known risks and deferred capabilities with explicit acceptance criteria.</w:t>
      </w:r>
    </w:p>
    <w:p>
      <w:r>
        <w:t xml:space="preserve">8. Approve baseline version and start change log for the new program.</w:t>
      </w:r>
    </w:p>
    <w:p/>
    <w:p>
      <w:r>
        <w:t xml:space="preserve">---</w:t>
      </w:r>
    </w:p>
    <w:p/>
    <w:p>
      <w:pPr>
        <w:pStyle w:val="Heading2"/>
      </w:pPr>
      <w:r>
        <w:t xml:space="preserve">17. Document Governance</w:t>
      </w:r>
    </w:p>
    <w:p/>
    <w:p>
      <w:r>
        <w:t xml:space="preserve">Document owner: Product Owner (business acceptance) + Architect (technical contract integrity).  </w:t>
      </w:r>
    </w:p>
    <w:p>
      <w:r>
        <w:t xml:space="preserve">Contributors: Database Architect, DevOps, Test Manager, Delivery Engineering.  </w:t>
      </w:r>
    </w:p>
    <w:p>
      <w:r>
        <w:t xml:space="preserve">Review cadence: at least once per release cycle or at major scope change.</w:t>
      </w:r>
    </w:p>
    <w:p/>
    <w:p>
      <w:r>
        <w:t xml:space="preserve">Governance rule:</w:t>
      </w:r>
    </w:p>
    <w:p>
      <w:r>
        <w:t xml:space="preserve">- If implementation behavior or release policy changes, this document must be updated in the same delivery cycle.</w:t>
      </w:r>
    </w:p>
    <w:p/>
    <w:p>
      <w:r>
        <w:t xml:space="preserve">---</w:t>
      </w:r>
    </w:p>
    <w:p/>
    <w:p>
      <w:pPr>
        <w:pStyle w:val="Heading2"/>
      </w:pPr>
      <w:r>
        <w:t xml:space="preserve">18. Change Log</w:t>
      </w:r>
    </w:p>
    <w:p/>
    <w:p>
      <w:r>
        <w:t xml:space="preserve">| Version | Date | Author/Owner | Summary of Change | Impacted Sections |</w:t>
      </w:r>
    </w:p>
    <w:p>
      <w:r>
        <w:t xml:space="preserve">|---|---|---|---|---|</w:t>
      </w:r>
    </w:p>
    <w:p>
      <w:r>
        <w:t xml:space="preserve">| 1.0 | 2026-02-27 | Product/Architecture baseline | Initial reusable master requirements document | All |</w:t>
      </w:r>
    </w:p>
    <w:p>
      <w:r>
        <w:t xml:space="preserve">| [UPDATE] | [DATE] | [NAME] | [CHANGE SUMMARY] | [SECTIONS] |</w:t>
      </w:r>
    </w:p>
    <w:p/>
    <w:p>
      <w:r>
        <w:t xml:space="preserve">---</w:t>
      </w:r>
    </w:p>
    <w:p/>
    <w:p>
      <w:pPr>
        <w:pStyle w:val="Heading2"/>
      </w:pPr>
      <w:r>
        <w:t xml:space="preserve">19. Appendix - Suggested KPI Set (Editable)</w:t>
      </w:r>
    </w:p>
    <w:p/>
    <w:p>
      <w:r>
        <w:t xml:space="preserve">- KPI-01: % releases with complete same-cycle mandatory evidence at first attempt.</w:t>
      </w:r>
    </w:p>
    <w:p>
      <w:r>
        <w:t xml:space="preserve">- KPI-02: % contract parity defects detected pre-freeze vs post-freeze.</w:t>
      </w:r>
    </w:p>
    <w:p>
      <w:r>
        <w:t xml:space="preserve">- KPI-03: Mean time from defect detection to verified closure in gate-critical paths.</w:t>
      </w:r>
    </w:p>
    <w:p>
      <w:r>
        <w:t xml:space="preserve">- KPI-04: % of critical requirements with automated coverage.</w:t>
      </w:r>
    </w:p>
    <w:p>
      <w:r>
        <w:t xml:space="preserve">- KPI-05: Number of release exceptions requiring risk acceptance per quarter.</w:t>
      </w:r>
    </w:p>
    <w:p/>
    <w:p>
      <w:r>
        <w:t xml:space="preserve">[UPDATE FOR NEW SOLUTION: replace KPI targets and baselines]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