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662E6" w14:textId="7614AA8B" w:rsidR="00751DB0" w:rsidRDefault="00E12F4E" w:rsidP="00E12F4E">
      <w:r>
        <w:t>VATRI Tax Core - Master Architecture Document</w:t>
      </w:r>
    </w:p>
    <w:p w14:paraId="48719089" w14:textId="47C2C41E" w:rsidR="00E12F4E" w:rsidRDefault="00E12F4E" w:rsidP="00E12F4E">
      <w:r>
        <w:t>Date: 2026-02-27</w:t>
      </w:r>
    </w:p>
    <w:p w14:paraId="6026575A" w14:textId="39F1F5BB" w:rsidR="00E12F4E" w:rsidRDefault="00E12F4E" w:rsidP="00E12F4E">
      <w:r>
        <w:t>Scope: Target architecture, principles, contracts, platform standards, delivery governance</w:t>
      </w:r>
    </w:p>
    <w:p w14:paraId="75BB8050" w14:textId="77777777" w:rsidR="00E12F4E" w:rsidRDefault="00E12F4E" w:rsidP="00E12F4E"/>
    <w:p w14:paraId="07D7BB37" w14:textId="7A35CF98" w:rsidR="00E12F4E" w:rsidRDefault="00E12F4E" w:rsidP="00E12F4E">
      <w:pPr>
        <w:pStyle w:val="Heading1"/>
      </w:pPr>
      <w:r>
        <w:t>1. Executive Summary</w:t>
      </w:r>
    </w:p>
    <w:p w14:paraId="65401869" w14:textId="6FABA0F4" w:rsidR="00E12F4E" w:rsidRDefault="00E12F4E" w:rsidP="00E12F4E">
      <w:r>
        <w:t>The VATRI Tax Core architecture is a modular, API-first, event-enabled platform designed for Danish VAT processing and future ViDA expansion. The architecture is based on strict bounded contexts, deterministic contracts, append-only legal evidence, and open-source technology standards.</w:t>
      </w:r>
    </w:p>
    <w:p w14:paraId="16EE4891" w14:textId="77777777" w:rsidR="00E12F4E" w:rsidRDefault="00E12F4E" w:rsidP="00E12F4E"/>
    <w:p w14:paraId="3B181A72" w14:textId="26BB6C1F" w:rsidR="00E12F4E" w:rsidRDefault="00E12F4E" w:rsidP="00E12F4E">
      <w:r>
        <w:t>The target state supports:</w:t>
      </w:r>
    </w:p>
    <w:p w14:paraId="6021E00E" w14:textId="0E9D576D" w:rsidR="00E12F4E" w:rsidRDefault="00E12F4E" w:rsidP="00E12F4E">
      <w:r>
        <w:t>- Taxpayer self-service portal for VAT filing through a portal layer with BFF.</w:t>
      </w:r>
    </w:p>
    <w:p w14:paraId="4DE77365" w14:textId="4342CE65" w:rsidR="00E12F4E" w:rsidRDefault="00E12F4E" w:rsidP="00E12F4E">
      <w:r>
        <w:t>- A tax core API surface for registrations, obligations, filings, assessments, amendments, and claims.</w:t>
      </w:r>
    </w:p>
    <w:p w14:paraId="6FF574CC" w14:textId="368EBACF" w:rsidR="00E12F4E" w:rsidRDefault="00E12F4E" w:rsidP="00E12F4E">
      <w:r>
        <w:t>- Deterministic idempotent processing and replayable audit evidence.</w:t>
      </w:r>
    </w:p>
    <w:p w14:paraId="76AE72FE" w14:textId="1D7E8139" w:rsidR="00E12F4E" w:rsidRDefault="00E12F4E" w:rsidP="00E12F4E">
      <w:r>
        <w:t>- Containerized deployment on Kubernetes with migration-governed PostgreSQL persistence.</w:t>
      </w:r>
    </w:p>
    <w:p w14:paraId="6658E2B1" w14:textId="77777777" w:rsidR="00E12F4E" w:rsidRDefault="00E12F4E" w:rsidP="00E12F4E"/>
    <w:p w14:paraId="6BF569B6" w14:textId="40E54D0C" w:rsidR="00E12F4E" w:rsidRDefault="00E12F4E" w:rsidP="00E12F4E">
      <w:pPr>
        <w:pStyle w:val="Heading1"/>
      </w:pPr>
      <w:r>
        <w:t>2. Architecture Goals and Non-Goals</w:t>
      </w:r>
    </w:p>
    <w:p w14:paraId="4F431E4C" w14:textId="5CEE3C2C" w:rsidR="00E12F4E" w:rsidRDefault="00E12F4E" w:rsidP="00E12F4E">
      <w:pPr>
        <w:pStyle w:val="Heading2"/>
      </w:pPr>
      <w:r>
        <w:t>2.1 Goals</w:t>
      </w:r>
    </w:p>
    <w:p w14:paraId="758BC915" w14:textId="0EAE27C3" w:rsidR="00E12F4E" w:rsidRDefault="00E12F4E" w:rsidP="00E12F4E">
      <w:r>
        <w:t>- Deliver legally robust VAT processing with deterministic behavior.</w:t>
      </w:r>
    </w:p>
    <w:p w14:paraId="66DD3956" w14:textId="4FED753A" w:rsidR="00E12F4E" w:rsidRDefault="00E12F4E" w:rsidP="00E12F4E">
      <w:r>
        <w:t>- Preserve architecture contract consistency across runtime, OpenAPI, and migrations.</w:t>
      </w:r>
    </w:p>
    <w:p w14:paraId="02B4FFC6" w14:textId="74C50686" w:rsidR="00E12F4E" w:rsidRDefault="00E12F4E" w:rsidP="00E12F4E">
      <w:r>
        <w:t>- Maintain open-source-only technology posture.</w:t>
      </w:r>
    </w:p>
    <w:p w14:paraId="7C030F84" w14:textId="1C773B15" w:rsidR="00E12F4E" w:rsidRDefault="00E12F4E" w:rsidP="00E12F4E">
      <w:r>
        <w:t>- Enable phased evolution without breaking core legal controls.</w:t>
      </w:r>
    </w:p>
    <w:p w14:paraId="32B5DD22" w14:textId="77777777" w:rsidR="00E12F4E" w:rsidRDefault="00E12F4E" w:rsidP="00E12F4E"/>
    <w:p w14:paraId="0F707B65" w14:textId="693A84DE" w:rsidR="00E12F4E" w:rsidRDefault="00E12F4E" w:rsidP="00E12F4E">
      <w:pPr>
        <w:pStyle w:val="Heading2"/>
      </w:pPr>
      <w:r>
        <w:t>2.2 Non-Goals</w:t>
      </w:r>
    </w:p>
    <w:p w14:paraId="22133313" w14:textId="559B2CA1" w:rsidR="00E12F4E" w:rsidRDefault="00E12F4E" w:rsidP="00E12F4E">
      <w:r>
        <w:t>- No proprietary platform lock-in.</w:t>
      </w:r>
    </w:p>
    <w:p w14:paraId="0EF5C631" w14:textId="05C0F8D5" w:rsidR="00E12F4E" w:rsidRDefault="00E12F4E" w:rsidP="00E12F4E">
      <w:r>
        <w:t>- No implicit cross-context database coupling.</w:t>
      </w:r>
    </w:p>
    <w:p w14:paraId="1BB43547" w14:textId="6B6CB0C5" w:rsidR="00E12F4E" w:rsidRDefault="00E12F4E" w:rsidP="00E12F4E">
      <w:r>
        <w:t>- No release promotion with unresolved governance exceptions.</w:t>
      </w:r>
    </w:p>
    <w:p w14:paraId="2AEF4E5F" w14:textId="77777777" w:rsidR="00E12F4E" w:rsidRDefault="00E12F4E" w:rsidP="00E12F4E"/>
    <w:p w14:paraId="0E19E596" w14:textId="12895F7F" w:rsidR="00E12F4E" w:rsidRDefault="00E12F4E" w:rsidP="00E12F4E">
      <w:pPr>
        <w:pStyle w:val="Heading1"/>
      </w:pPr>
      <w:r>
        <w:t>3. Core Architecture Principles</w:t>
      </w:r>
    </w:p>
    <w:p w14:paraId="05C21AD5" w14:textId="028C07DE" w:rsidR="00E12F4E" w:rsidRDefault="00E12F4E" w:rsidP="00E12F4E">
      <w:r>
        <w:t>- Bounded context isolation for service autonomy and data ownership.</w:t>
      </w:r>
    </w:p>
    <w:p w14:paraId="67A2D4F2" w14:textId="6CD0268C" w:rsidR="00E12F4E" w:rsidRDefault="00E12F4E" w:rsidP="00E12F4E">
      <w:r>
        <w:t>- API-first contract governance (OpenAPI 3.1 for synchronous interfaces).</w:t>
      </w:r>
    </w:p>
    <w:p w14:paraId="73C4038F" w14:textId="41C97917" w:rsidR="00E12F4E" w:rsidRDefault="00E12F4E" w:rsidP="00E12F4E">
      <w:r>
        <w:t>- Event-driven integration with outbox pattern for reliable publication.</w:t>
      </w:r>
    </w:p>
    <w:p w14:paraId="05320AD8" w14:textId="6BD6B07F" w:rsidR="00E12F4E" w:rsidRDefault="00E12F4E" w:rsidP="00E12F4E">
      <w:r>
        <w:t>- Append-only legal evidence where mandated by policy and ADR.</w:t>
      </w:r>
    </w:p>
    <w:p w14:paraId="2F2878EA" w14:textId="3EB36600" w:rsidR="00E12F4E" w:rsidRDefault="00E12F4E" w:rsidP="00E12F4E">
      <w:r>
        <w:t>- Effective-dated policy and rule versioning for legal replay.</w:t>
      </w:r>
    </w:p>
    <w:p w14:paraId="1D623E5A" w14:textId="5CFEB3C6" w:rsidR="00E12F4E" w:rsidRDefault="00E12F4E" w:rsidP="00E12F4E">
      <w:r>
        <w:t>- Deterministic idempotency and stable error envelope semantics.</w:t>
      </w:r>
    </w:p>
    <w:p w14:paraId="6456D4EB" w14:textId="723323F8" w:rsidR="00E12F4E" w:rsidRDefault="00E12F4E" w:rsidP="00E12F4E">
      <w:r>
        <w:t>- Open-source standards and portability-by-design.</w:t>
      </w:r>
    </w:p>
    <w:p w14:paraId="74128ECE" w14:textId="77777777" w:rsidR="00E12F4E" w:rsidRDefault="00E12F4E" w:rsidP="00E12F4E"/>
    <w:p w14:paraId="435D7F84" w14:textId="74F1CC82" w:rsidR="00E12F4E" w:rsidRDefault="00E12F4E" w:rsidP="00E12F4E">
      <w:pPr>
        <w:pStyle w:val="Heading1"/>
      </w:pPr>
      <w:r>
        <w:t>4. Logical Architecture</w:t>
      </w:r>
    </w:p>
    <w:p w14:paraId="4EBB8A13" w14:textId="0BACD066" w:rsidR="00E12F4E" w:rsidRDefault="00E12F4E" w:rsidP="00E12F4E">
      <w:pPr>
        <w:pStyle w:val="Heading2"/>
      </w:pPr>
      <w:r>
        <w:t>4.1 Experience and Portal Layer</w:t>
      </w:r>
    </w:p>
    <w:p w14:paraId="0D65DE66" w14:textId="1811A7A1" w:rsidR="00E12F4E" w:rsidRDefault="00E12F4E" w:rsidP="00E12F4E">
      <w:r>
        <w:t>- Web portal for taxpayer and operations personas.</w:t>
      </w:r>
    </w:p>
    <w:p w14:paraId="76D7B238" w14:textId="4BDCF61E" w:rsidR="00E12F4E" w:rsidRDefault="00E12F4E" w:rsidP="00E12F4E">
      <w:r>
        <w:t>- Portal BFF as the controlled edge for frontend orchestration.</w:t>
      </w:r>
    </w:p>
    <w:p w14:paraId="42EE5C4F" w14:textId="4D582C1F" w:rsidR="00E12F4E" w:rsidRDefault="00E12F4E" w:rsidP="00E12F4E">
      <w:r>
        <w:t>- RBAC and session handling integrated via auth-service contracts.</w:t>
      </w:r>
    </w:p>
    <w:p w14:paraId="3340E07C" w14:textId="77777777" w:rsidR="00E12F4E" w:rsidRDefault="00E12F4E" w:rsidP="00E12F4E"/>
    <w:p w14:paraId="61AE1E1C" w14:textId="6FC6154D" w:rsidR="00E12F4E" w:rsidRDefault="00E12F4E" w:rsidP="00E12F4E">
      <w:pPr>
        <w:pStyle w:val="Heading2"/>
      </w:pPr>
      <w:r>
        <w:t>4.2 API and Domain Layer (Tax Core)</w:t>
      </w:r>
    </w:p>
    <w:p w14:paraId="3EB59ACF" w14:textId="5800BD08" w:rsidR="00E12F4E" w:rsidRDefault="00E12F4E" w:rsidP="00E12F4E">
      <w:r>
        <w:t>Core domain services:</w:t>
      </w:r>
    </w:p>
    <w:p w14:paraId="2DD29EEB" w14:textId="04277AA9" w:rsidR="00E12F4E" w:rsidRDefault="00E12F4E" w:rsidP="00E12F4E">
      <w:r>
        <w:t>- registration-service</w:t>
      </w:r>
    </w:p>
    <w:p w14:paraId="0BC50B3F" w14:textId="214D290F" w:rsidR="00E12F4E" w:rsidRDefault="00E12F4E" w:rsidP="00E12F4E">
      <w:r>
        <w:t>- obligation-service</w:t>
      </w:r>
    </w:p>
    <w:p w14:paraId="5ECB6995" w14:textId="3C9E63D4" w:rsidR="00E12F4E" w:rsidRDefault="00E12F4E" w:rsidP="00E12F4E">
      <w:r>
        <w:t>- filing-service</w:t>
      </w:r>
    </w:p>
    <w:p w14:paraId="7C4FDAFD" w14:textId="1E911812" w:rsidR="00E12F4E" w:rsidRDefault="00E12F4E" w:rsidP="00E12F4E">
      <w:r>
        <w:t>- assessment-service</w:t>
      </w:r>
    </w:p>
    <w:p w14:paraId="3F50926B" w14:textId="110DEF1C" w:rsidR="00E12F4E" w:rsidRDefault="00E12F4E" w:rsidP="00E12F4E">
      <w:r>
        <w:t>- amendment-service</w:t>
      </w:r>
    </w:p>
    <w:p w14:paraId="741D0245" w14:textId="17ED11A5" w:rsidR="00E12F4E" w:rsidRDefault="00E12F4E" w:rsidP="00E12F4E">
      <w:r>
        <w:t>- claim-orchestrator</w:t>
      </w:r>
    </w:p>
    <w:p w14:paraId="07921E82" w14:textId="0BA90B1D" w:rsidR="00E12F4E" w:rsidRDefault="00E12F4E" w:rsidP="00E12F4E">
      <w:r>
        <w:t>- validation-service</w:t>
      </w:r>
    </w:p>
    <w:p w14:paraId="24F5C033" w14:textId="02DB293E" w:rsidR="00E12F4E" w:rsidRDefault="00E12F4E" w:rsidP="00E12F4E">
      <w:r>
        <w:t>- rule-engine-service</w:t>
      </w:r>
    </w:p>
    <w:p w14:paraId="55954583" w14:textId="5A98A142" w:rsidR="00E12F4E" w:rsidRDefault="00E12F4E" w:rsidP="00E12F4E">
      <w:r>
        <w:t>- audit evidence handling</w:t>
      </w:r>
    </w:p>
    <w:p w14:paraId="43D102D8" w14:textId="77777777" w:rsidR="00E12F4E" w:rsidRDefault="00E12F4E" w:rsidP="00E12F4E"/>
    <w:p w14:paraId="3EC91715" w14:textId="438766D5" w:rsidR="00E12F4E" w:rsidRDefault="00E12F4E" w:rsidP="00E12F4E">
      <w:pPr>
        <w:pStyle w:val="Heading2"/>
      </w:pPr>
      <w:r>
        <w:t>4.3 Integration and Eventing</w:t>
      </w:r>
    </w:p>
    <w:p w14:paraId="33CF6D0E" w14:textId="37977167" w:rsidR="00E12F4E" w:rsidRDefault="00E12F4E" w:rsidP="00E12F4E">
      <w:r>
        <w:t>- Kafka-compatible backbone for domain events.</w:t>
      </w:r>
    </w:p>
    <w:p w14:paraId="6793F5A9" w14:textId="32443773" w:rsidR="00E12F4E" w:rsidRDefault="00E12F4E" w:rsidP="00E12F4E">
      <w:r>
        <w:t>- Outbox queue dispatch for claim and amendment/event integrity.</w:t>
      </w:r>
    </w:p>
    <w:p w14:paraId="4A180689" w14:textId="16BF8BB7" w:rsidR="00E12F4E" w:rsidRDefault="00E12F4E" w:rsidP="00E12F4E">
      <w:r>
        <w:t>- Trace propagation (trace_id / traceparent) across service boundaries.</w:t>
      </w:r>
    </w:p>
    <w:p w14:paraId="6A58F80B" w14:textId="77777777" w:rsidR="00E12F4E" w:rsidRDefault="00E12F4E" w:rsidP="00E12F4E"/>
    <w:p w14:paraId="4E5491DE" w14:textId="1D6CE15E" w:rsidR="00E12F4E" w:rsidRDefault="00E12F4E" w:rsidP="00E12F4E">
      <w:pPr>
        <w:pStyle w:val="Heading2"/>
      </w:pPr>
      <w:r>
        <w:t>4.4 Data Layer</w:t>
      </w:r>
    </w:p>
    <w:p w14:paraId="4E0F6317" w14:textId="3F595853" w:rsidR="00E12F4E" w:rsidRDefault="00E12F4E" w:rsidP="00E12F4E">
      <w:r>
        <w:t>- PostgreSQL 16+ as operational system of record.</w:t>
      </w:r>
    </w:p>
    <w:p w14:paraId="0F64DE4D" w14:textId="2BB0F4C2" w:rsidR="00E12F4E" w:rsidRDefault="00E12F4E" w:rsidP="00E12F4E">
      <w:r>
        <w:t>- Bounded-context schemas for ownership clarity.</w:t>
      </w:r>
    </w:p>
    <w:p w14:paraId="2EF995E9" w14:textId="37F8E3B0" w:rsidR="00E12F4E" w:rsidRDefault="00E12F4E" w:rsidP="00E12F4E">
      <w:r>
        <w:t>- Rule catalog and policy entities persisted with effective dating.</w:t>
      </w:r>
    </w:p>
    <w:p w14:paraId="569759DB" w14:textId="075F1229" w:rsidR="00E12F4E" w:rsidRDefault="00E12F4E" w:rsidP="00E12F4E">
      <w:r>
        <w:t>- Line-fact persistence contract for filing reproducibility.</w:t>
      </w:r>
    </w:p>
    <w:p w14:paraId="2401330D" w14:textId="77777777" w:rsidR="00E12F4E" w:rsidRDefault="00E12F4E" w:rsidP="00E12F4E"/>
    <w:p w14:paraId="50B40E6C" w14:textId="269A2C43" w:rsidR="00E12F4E" w:rsidRDefault="00E12F4E" w:rsidP="00E12F4E">
      <w:pPr>
        <w:pStyle w:val="Heading1"/>
      </w:pPr>
      <w:r>
        <w:t>5. Key Domain Contracts</w:t>
      </w:r>
    </w:p>
    <w:p w14:paraId="4C5DC68C" w14:textId="4496D2A8" w:rsidR="00E12F4E" w:rsidRDefault="00E12F4E" w:rsidP="00E12F4E">
      <w:pPr>
        <w:pStyle w:val="Heading2"/>
      </w:pPr>
      <w:r>
        <w:t>5.1 Portal Filing Flow</w:t>
      </w:r>
    </w:p>
    <w:p w14:paraId="0114AD22" w14:textId="11429C4A" w:rsidR="00E12F4E" w:rsidRDefault="00E12F4E" w:rsidP="00E12F4E">
      <w:r>
        <w:t>- Taxpayer submits filing via portal.</w:t>
      </w:r>
    </w:p>
    <w:p w14:paraId="19A95F4C" w14:textId="11B998D1" w:rsidR="00E12F4E" w:rsidRDefault="00E12F4E" w:rsidP="00E12F4E">
      <w:r>
        <w:t>- Portal BFF validates and routes through API gateway to filing-service.</w:t>
      </w:r>
    </w:p>
    <w:p w14:paraId="590DBE01" w14:textId="7F3F1A94" w:rsidR="00E12F4E" w:rsidRDefault="00E12F4E" w:rsidP="00E12F4E">
      <w:r>
        <w:t>- Filing evaluation links to validation/rule outcomes and persists required references.</w:t>
      </w:r>
    </w:p>
    <w:p w14:paraId="1581521D" w14:textId="77777777" w:rsidR="00E12F4E" w:rsidRDefault="00E12F4E" w:rsidP="00E12F4E"/>
    <w:p w14:paraId="0638F34E" w14:textId="51DA9A1A" w:rsidR="00E12F4E" w:rsidRDefault="00E12F4E" w:rsidP="00E12F4E">
      <w:pPr>
        <w:pStyle w:val="Heading2"/>
      </w:pPr>
      <w:r>
        <w:t>5.2 Tax Core API Interfacing Requirement</w:t>
      </w:r>
    </w:p>
    <w:p w14:paraId="7C79FC91" w14:textId="6EDB3471" w:rsidR="00E12F4E" w:rsidRDefault="00E12F4E" w:rsidP="00E12F4E">
      <w:r>
        <w:t>Tax Core must support API-based entry for:</w:t>
      </w:r>
    </w:p>
    <w:p w14:paraId="128B6F61" w14:textId="0A3C9DE1" w:rsidR="00E12F4E" w:rsidRDefault="00E12F4E" w:rsidP="00E12F4E">
      <w:r>
        <w:t>- registrations</w:t>
      </w:r>
    </w:p>
    <w:p w14:paraId="4C00ABE4" w14:textId="50CF387F" w:rsidR="00E12F4E" w:rsidRDefault="00E12F4E" w:rsidP="00E12F4E">
      <w:r>
        <w:t>- obligations</w:t>
      </w:r>
    </w:p>
    <w:p w14:paraId="69D8CABD" w14:textId="3CE69E4F" w:rsidR="00E12F4E" w:rsidRDefault="00E12F4E" w:rsidP="00E12F4E">
      <w:r>
        <w:t>- filings</w:t>
      </w:r>
    </w:p>
    <w:p w14:paraId="1398364F" w14:textId="51681EE2" w:rsidR="00E12F4E" w:rsidRDefault="00E12F4E" w:rsidP="00E12F4E">
      <w:r>
        <w:t>- assessments/amendments</w:t>
      </w:r>
    </w:p>
    <w:p w14:paraId="16BD06C4" w14:textId="6CB95355" w:rsidR="00E12F4E" w:rsidRDefault="00E12F4E" w:rsidP="00E12F4E">
      <w:r>
        <w:t>- claim lifecycle orchestration</w:t>
      </w:r>
    </w:p>
    <w:p w14:paraId="6257CA57" w14:textId="77777777" w:rsidR="00E12F4E" w:rsidRDefault="00E12F4E" w:rsidP="00E12F4E"/>
    <w:p w14:paraId="0A100387" w14:textId="23640200" w:rsidR="00E12F4E" w:rsidRDefault="00E12F4E" w:rsidP="00E12F4E">
      <w:pPr>
        <w:pStyle w:val="Heading2"/>
      </w:pPr>
      <w:r>
        <w:t>5.3 Return vs Line-Level Reproducibility</w:t>
      </w:r>
    </w:p>
    <w:p w14:paraId="6FBDA270" w14:textId="590D85AB" w:rsidR="00E12F4E" w:rsidRDefault="00E12F4E" w:rsidP="00E12F4E">
      <w:r>
        <w:t>Mandatory linkage keys:</w:t>
      </w:r>
    </w:p>
    <w:p w14:paraId="4FA55467" w14:textId="14A3C4DE" w:rsidR="00E12F4E" w:rsidRDefault="00E12F4E" w:rsidP="00E12F4E">
      <w:r>
        <w:t>- filing_id</w:t>
      </w:r>
    </w:p>
    <w:p w14:paraId="286A1BF1" w14:textId="09BEB72F" w:rsidR="00E12F4E" w:rsidRDefault="00E12F4E" w:rsidP="00E12F4E">
      <w:r>
        <w:t>- line_fact_id</w:t>
      </w:r>
    </w:p>
    <w:p w14:paraId="5BDC2D95" w14:textId="28CDA28B" w:rsidR="00E12F4E" w:rsidRDefault="00E12F4E" w:rsidP="00E12F4E">
      <w:r>
        <w:t>- calculation_trace_id</w:t>
      </w:r>
    </w:p>
    <w:p w14:paraId="2C18D55C" w14:textId="4FBDE923" w:rsidR="00E12F4E" w:rsidRDefault="00E12F4E" w:rsidP="00E12F4E">
      <w:r>
        <w:t>- rule_version_id</w:t>
      </w:r>
    </w:p>
    <w:p w14:paraId="4896A00F" w14:textId="55873F82" w:rsidR="00E12F4E" w:rsidRDefault="00E12F4E" w:rsidP="00E12F4E">
      <w:r>
        <w:t>- source_document_ref</w:t>
      </w:r>
    </w:p>
    <w:p w14:paraId="43567EE7" w14:textId="77777777" w:rsidR="00E12F4E" w:rsidRDefault="00E12F4E" w:rsidP="00E12F4E"/>
    <w:p w14:paraId="402CADBD" w14:textId="0D1207C0" w:rsidR="00E12F4E" w:rsidRDefault="00E12F4E" w:rsidP="00E12F4E">
      <w:r>
        <w:t>Release-gating rule:</w:t>
      </w:r>
    </w:p>
    <w:p w14:paraId="6DCAC717" w14:textId="1744BD30" w:rsidR="00E12F4E" w:rsidRDefault="00E12F4E" w:rsidP="00E12F4E">
      <w:r>
        <w:t>- Return-level totals must be reproducible from persisted line-level facts.</w:t>
      </w:r>
    </w:p>
    <w:p w14:paraId="6C16A370" w14:textId="77777777" w:rsidR="00E12F4E" w:rsidRDefault="00E12F4E" w:rsidP="00E12F4E"/>
    <w:p w14:paraId="0E8C0515" w14:textId="2CABB678" w:rsidR="00E12F4E" w:rsidRDefault="00E12F4E" w:rsidP="00E12F4E">
      <w:pPr>
        <w:pStyle w:val="Heading1"/>
      </w:pPr>
      <w:r>
        <w:t>6. Decision Baseline (ADRs/DBDRs)</w:t>
      </w:r>
    </w:p>
    <w:p w14:paraId="29BA4B09" w14:textId="6ADD5795" w:rsidR="00E12F4E" w:rsidRDefault="00E12F4E" w:rsidP="00E12F4E">
      <w:r>
        <w:t>Key architecture decisions include:</w:t>
      </w:r>
    </w:p>
    <w:p w14:paraId="6C776390" w14:textId="3B336E5E" w:rsidR="00E12F4E" w:rsidRDefault="00E12F4E" w:rsidP="00E12F4E">
      <w:r>
        <w:t>- ADR-001: bounded contexts and events</w:t>
      </w:r>
    </w:p>
    <w:p w14:paraId="79D063C9" w14:textId="4A910A15" w:rsidR="00E12F4E" w:rsidRDefault="00E12F4E" w:rsidP="00E12F4E">
      <w:r>
        <w:t>- ADR-002: effective-dated rule catalog</w:t>
      </w:r>
    </w:p>
    <w:p w14:paraId="6821F235" w14:textId="7955DBC1" w:rsidR="00E12F4E" w:rsidRDefault="00E12F4E" w:rsidP="00E12F4E">
      <w:r>
        <w:t>- ADR-003: append-only audit evidence</w:t>
      </w:r>
    </w:p>
    <w:p w14:paraId="3BA7E473" w14:textId="32F3ED84" w:rsidR="00E12F4E" w:rsidRDefault="00E12F4E" w:rsidP="00E12F4E">
      <w:r>
        <w:t>- ADR-004: outbox queue claim dispatch</w:t>
      </w:r>
    </w:p>
    <w:p w14:paraId="3400223E" w14:textId="042E863C" w:rsidR="00E12F4E" w:rsidRDefault="00E12F4E" w:rsidP="00E12F4E">
      <w:r>
        <w:t>- ADR-005: versioned amendments</w:t>
      </w:r>
    </w:p>
    <w:p w14:paraId="44E4DB6A" w14:textId="1AC240B6" w:rsidR="00E12F4E" w:rsidRDefault="00E12F4E" w:rsidP="00E12F4E">
      <w:r>
        <w:t>- ADR-006: open standards contract profile</w:t>
      </w:r>
    </w:p>
    <w:p w14:paraId="135AAE48" w14:textId="18DCBF8C" w:rsidR="00E12F4E" w:rsidRDefault="00E12F4E" w:rsidP="00E12F4E">
      <w:r>
        <w:t>- ADR-007: lakehouse/event streaming platform direction</w:t>
      </w:r>
    </w:p>
    <w:p w14:paraId="7955F5AE" w14:textId="71BF1E00" w:rsidR="00E12F4E" w:rsidRDefault="00E12F4E" w:rsidP="00E12F4E">
      <w:r>
        <w:t>- ADR-008: open-source-only technology policy</w:t>
      </w:r>
    </w:p>
    <w:p w14:paraId="273BA80D" w14:textId="36AAD563" w:rsidR="00E12F4E" w:rsidRDefault="00E12F4E" w:rsidP="00E12F4E">
      <w:r>
        <w:t>- ADR-009: portal BFF and API-first ingress</w:t>
      </w:r>
    </w:p>
    <w:p w14:paraId="055A4EBD" w14:textId="748B54A4" w:rsidR="00E12F4E" w:rsidRDefault="00E12F4E" w:rsidP="00E12F4E">
      <w:r>
        <w:t>- ADR-010: API gateway product selection</w:t>
      </w:r>
    </w:p>
    <w:p w14:paraId="13E15E71" w14:textId="47F0CBC0" w:rsidR="00E12F4E" w:rsidRDefault="00E12F4E" w:rsidP="00E12F4E">
      <w:r>
        <w:t>- ADR-011: behavioral policy baseline</w:t>
      </w:r>
    </w:p>
    <w:p w14:paraId="5B7A732B" w14:textId="03A116F6" w:rsidR="00E12F4E" w:rsidRDefault="00E12F4E" w:rsidP="00E12F4E">
      <w:r>
        <w:t>- DBDR-004: canonical migration source and rollback boundaries</w:t>
      </w:r>
    </w:p>
    <w:p w14:paraId="0677FAF7" w14:textId="77777777" w:rsidR="00E12F4E" w:rsidRDefault="00E12F4E" w:rsidP="00E12F4E"/>
    <w:p w14:paraId="0CB4552D" w14:textId="7D3462A1" w:rsidR="00E12F4E" w:rsidRDefault="00E12F4E" w:rsidP="00E12F4E">
      <w:pPr>
        <w:pStyle w:val="Heading1"/>
      </w:pPr>
      <w:r>
        <w:t>7. Platform and Deployment Architecture</w:t>
      </w:r>
    </w:p>
    <w:p w14:paraId="1385A28D" w14:textId="08B9AC61" w:rsidR="00E12F4E" w:rsidRDefault="00E12F4E" w:rsidP="00E12F4E">
      <w:pPr>
        <w:pStyle w:val="Heading2"/>
      </w:pPr>
      <w:r>
        <w:t>7.1 Runtime Model</w:t>
      </w:r>
    </w:p>
    <w:p w14:paraId="419F0BCE" w14:textId="0D94C6D0" w:rsidR="00E12F4E" w:rsidRDefault="00E12F4E" w:rsidP="00E12F4E">
      <w:r>
        <w:t>- Containerized services.</w:t>
      </w:r>
    </w:p>
    <w:p w14:paraId="39D60A9F" w14:textId="636242F0" w:rsidR="00E12F4E" w:rsidRDefault="00E12F4E" w:rsidP="00E12F4E">
      <w:r>
        <w:t>- Kubernetes orchestration for scale and lifecycle management.</w:t>
      </w:r>
    </w:p>
    <w:p w14:paraId="0C33D745" w14:textId="3BD62757" w:rsidR="00E12F4E" w:rsidRDefault="00E12F4E" w:rsidP="00E12F4E">
      <w:r>
        <w:t>- CI/CD gates for contract and migration safety.</w:t>
      </w:r>
    </w:p>
    <w:p w14:paraId="7AFE9362" w14:textId="77777777" w:rsidR="00E12F4E" w:rsidRDefault="00E12F4E" w:rsidP="00E12F4E"/>
    <w:p w14:paraId="41381309" w14:textId="1F3F1072" w:rsidR="00E12F4E" w:rsidRDefault="00E12F4E" w:rsidP="00E12F4E">
      <w:pPr>
        <w:pStyle w:val="Heading2"/>
      </w:pPr>
      <w:r>
        <w:t>7.2 Edge and Security</w:t>
      </w:r>
    </w:p>
    <w:p w14:paraId="6A0F5CF6" w14:textId="6A6E33FD" w:rsidR="00E12F4E" w:rsidRDefault="00E12F4E" w:rsidP="00E12F4E">
      <w:r>
        <w:t>- API gateway for ingress policy, routing, and auth integration.</w:t>
      </w:r>
    </w:p>
    <w:p w14:paraId="0173FA00" w14:textId="594A810E" w:rsidR="00E12F4E" w:rsidRDefault="00E12F4E" w:rsidP="00E12F4E">
      <w:r>
        <w:t>- Centralized RBAC enforcement with role-to-endpoint mapping.</w:t>
      </w:r>
    </w:p>
    <w:p w14:paraId="03AE0F95" w14:textId="4798773C" w:rsidR="00E12F4E" w:rsidRDefault="00E12F4E" w:rsidP="00E12F4E">
      <w:r>
        <w:t>- Deterministic error envelopes and trace identifiers.</w:t>
      </w:r>
    </w:p>
    <w:p w14:paraId="3D55A27E" w14:textId="77777777" w:rsidR="00E12F4E" w:rsidRDefault="00E12F4E" w:rsidP="00E12F4E"/>
    <w:p w14:paraId="6BBEE8A2" w14:textId="15EF87B7" w:rsidR="00E12F4E" w:rsidRDefault="00E12F4E" w:rsidP="00E12F4E">
      <w:pPr>
        <w:pStyle w:val="Heading2"/>
      </w:pPr>
      <w:r>
        <w:t>7.3 Observability</w:t>
      </w:r>
    </w:p>
    <w:p w14:paraId="36098B74" w14:textId="2737ACE5" w:rsidR="00E12F4E" w:rsidRDefault="00E12F4E" w:rsidP="00E12F4E">
      <w:r>
        <w:t>- Structured logs.</w:t>
      </w:r>
    </w:p>
    <w:p w14:paraId="3230E781" w14:textId="192E1463" w:rsidR="00E12F4E" w:rsidRDefault="00E12F4E" w:rsidP="00E12F4E">
      <w:r>
        <w:t>- Trace continuity across services and CloudEvents.</w:t>
      </w:r>
    </w:p>
    <w:p w14:paraId="3FC540F7" w14:textId="0D5A1DB9" w:rsidR="00E12F4E" w:rsidRDefault="00E12F4E" w:rsidP="00E12F4E">
      <w:r>
        <w:t>- Gate-level evidence artifacts for release governance.</w:t>
      </w:r>
    </w:p>
    <w:p w14:paraId="1FE5624A" w14:textId="77777777" w:rsidR="00E12F4E" w:rsidRDefault="00E12F4E" w:rsidP="00E12F4E"/>
    <w:p w14:paraId="014DDFA3" w14:textId="238912FC" w:rsidR="00E12F4E" w:rsidRDefault="00E12F4E" w:rsidP="00E12F4E">
      <w:pPr>
        <w:pStyle w:val="Heading1"/>
      </w:pPr>
      <w:r>
        <w:t>8. Data and Migration Governance</w:t>
      </w:r>
    </w:p>
    <w:p w14:paraId="02940DBC" w14:textId="04DF94F5" w:rsidR="00E12F4E" w:rsidRDefault="00E12F4E" w:rsidP="00E12F4E">
      <w:pPr>
        <w:pStyle w:val="Heading2"/>
      </w:pPr>
      <w:r>
        <w:t>8.1 Canonical Migration Source</w:t>
      </w:r>
    </w:p>
    <w:p w14:paraId="1EE0ACE8" w14:textId="2C560973" w:rsidR="00E12F4E" w:rsidRDefault="00E12F4E" w:rsidP="00E12F4E">
      <w:r>
        <w:t>- Authoritative source: database/migrations.</w:t>
      </w:r>
    </w:p>
    <w:p w14:paraId="76A5E98A" w14:textId="55FD4134" w:rsidR="00E12F4E" w:rsidRDefault="00E12F4E" w:rsidP="00E12F4E">
      <w:r>
        <w:t>- Runtime mirror paths must be generated and parity-validated.</w:t>
      </w:r>
    </w:p>
    <w:p w14:paraId="7CDE3FB9" w14:textId="77777777" w:rsidR="00E12F4E" w:rsidRDefault="00E12F4E" w:rsidP="00E12F4E"/>
    <w:p w14:paraId="25ADAAE4" w14:textId="1281BB95" w:rsidR="00E12F4E" w:rsidRDefault="00E12F4E" w:rsidP="00E12F4E">
      <w:pPr>
        <w:pStyle w:val="Heading2"/>
      </w:pPr>
      <w:r>
        <w:t>8.2 Rollback Boundaries (DBDR-004)</w:t>
      </w:r>
    </w:p>
    <w:p w14:paraId="7D459050" w14:textId="70BE56EE" w:rsidR="00E12F4E" w:rsidRDefault="00E12F4E" w:rsidP="00E12F4E">
      <w:r>
        <w:t>- Boundary A: pre-production rollback allowed.</w:t>
      </w:r>
    </w:p>
    <w:p w14:paraId="6581C73C" w14:textId="3EC527F5" w:rsidR="00E12F4E" w:rsidRDefault="00E12F4E" w:rsidP="00E12F4E">
      <w:r>
        <w:t>- Boundary B: production with legal records, destructive rollback prohibited.</w:t>
      </w:r>
    </w:p>
    <w:p w14:paraId="45537417" w14:textId="2D997F2E" w:rsidR="00E12F4E" w:rsidRDefault="00E12F4E" w:rsidP="00E12F4E">
      <w:r>
        <w:t>- Boundary C: post-release defect, forward corrective migration as default.</w:t>
      </w:r>
    </w:p>
    <w:p w14:paraId="41734844" w14:textId="77777777" w:rsidR="00E12F4E" w:rsidRDefault="00E12F4E" w:rsidP="00E12F4E"/>
    <w:p w14:paraId="13A82731" w14:textId="34F43A79" w:rsidR="00E12F4E" w:rsidRDefault="00E12F4E" w:rsidP="00E12F4E">
      <w:pPr>
        <w:pStyle w:val="Heading2"/>
      </w:pPr>
      <w:r>
        <w:t>8.3 Promotion Controls</w:t>
      </w:r>
    </w:p>
    <w:p w14:paraId="3705BF7F" w14:textId="72904E57" w:rsidR="00E12F4E" w:rsidRDefault="00E12F4E" w:rsidP="00E12F4E">
      <w:r>
        <w:t>Release evidence must include:</w:t>
      </w:r>
    </w:p>
    <w:p w14:paraId="7CEEFB91" w14:textId="7735EDB2" w:rsidR="00E12F4E" w:rsidRDefault="00E12F4E" w:rsidP="00E12F4E">
      <w:r>
        <w:t>- migration parity results</w:t>
      </w:r>
    </w:p>
    <w:p w14:paraId="18C023C7" w14:textId="1E294311" w:rsidR="00E12F4E" w:rsidRDefault="00E12F4E" w:rsidP="00E12F4E">
      <w:r>
        <w:t>- precheck/postcheck outputs</w:t>
      </w:r>
    </w:p>
    <w:p w14:paraId="5528735D" w14:textId="0BDEA47C" w:rsidR="00E12F4E" w:rsidRDefault="00E12F4E" w:rsidP="00E12F4E">
      <w:r>
        <w:t>- runtime/API safety evidence</w:t>
      </w:r>
    </w:p>
    <w:p w14:paraId="269DD787" w14:textId="1062149C" w:rsidR="00E12F4E" w:rsidRDefault="00E12F4E" w:rsidP="00E12F4E">
      <w:r>
        <w:t>- log validation outputs</w:t>
      </w:r>
    </w:p>
    <w:p w14:paraId="07C56F1F" w14:textId="3C44B135" w:rsidR="00E12F4E" w:rsidRDefault="00E12F4E" w:rsidP="00E12F4E">
      <w:r>
        <w:t>- explicit signoffs by Architect, Database Architect, DevOps, Test Manager, Product Owner</w:t>
      </w:r>
    </w:p>
    <w:p w14:paraId="1FA11F4A" w14:textId="77777777" w:rsidR="00E12F4E" w:rsidRDefault="00E12F4E" w:rsidP="00E12F4E"/>
    <w:p w14:paraId="677AF8EF" w14:textId="73ACD326" w:rsidR="00E12F4E" w:rsidRDefault="00E12F4E" w:rsidP="00E12F4E">
      <w:pPr>
        <w:pStyle w:val="Heading1"/>
      </w:pPr>
      <w:r>
        <w:t>9. Quality Attributes and NFRs</w:t>
      </w:r>
    </w:p>
    <w:p w14:paraId="0AFC5EAC" w14:textId="0EC8A1D6" w:rsidR="00E12F4E" w:rsidRDefault="00E12F4E" w:rsidP="00E12F4E">
      <w:r>
        <w:t>- Reliability: idempotent processing and controlled retries.</w:t>
      </w:r>
    </w:p>
    <w:p w14:paraId="7ADD1A49" w14:textId="0F46607A" w:rsidR="00E12F4E" w:rsidRDefault="00E12F4E" w:rsidP="00E12F4E">
      <w:r>
        <w:t>- Auditability: append-only evidence and reproducible calculations.</w:t>
      </w:r>
    </w:p>
    <w:p w14:paraId="23C41C48" w14:textId="357DB506" w:rsidR="00E12F4E" w:rsidRDefault="00E12F4E" w:rsidP="00E12F4E">
      <w:r>
        <w:t>- Security: RBAC, managed secrets, traceable authorization boundaries.</w:t>
      </w:r>
    </w:p>
    <w:p w14:paraId="4F683673" w14:textId="6BFDBA95" w:rsidR="00E12F4E" w:rsidRDefault="00E12F4E" w:rsidP="00E12F4E">
      <w:r>
        <w:t>- Maintainability: explicit contracts, decision records, bounded contexts.</w:t>
      </w:r>
    </w:p>
    <w:p w14:paraId="1618B1D7" w14:textId="4C6B307D" w:rsidR="00E12F4E" w:rsidRDefault="00E12F4E" w:rsidP="00E12F4E">
      <w:r>
        <w:t>- Scalability: Kubernetes-based horizontal scaling and async decoupling.</w:t>
      </w:r>
    </w:p>
    <w:p w14:paraId="19404EAC" w14:textId="5316E89C" w:rsidR="00E12F4E" w:rsidRDefault="00E12F4E" w:rsidP="00E12F4E">
      <w:r>
        <w:t>- Portability: open-source standards and non-proprietary interfaces.</w:t>
      </w:r>
    </w:p>
    <w:p w14:paraId="194E890E" w14:textId="77777777" w:rsidR="00E12F4E" w:rsidRDefault="00E12F4E" w:rsidP="00E12F4E"/>
    <w:p w14:paraId="3214D8EF" w14:textId="64D31FF7" w:rsidR="00E12F4E" w:rsidRDefault="00E12F4E" w:rsidP="00E12F4E">
      <w:pPr>
        <w:pStyle w:val="Heading1"/>
      </w:pPr>
      <w:r>
        <w:t>10. Risks and Controls</w:t>
      </w:r>
    </w:p>
    <w:p w14:paraId="0D21624A" w14:textId="54C4719F" w:rsidR="00E12F4E" w:rsidRDefault="00E12F4E" w:rsidP="00E12F4E">
      <w:r>
        <w:t>Major recurring risks:</w:t>
      </w:r>
    </w:p>
    <w:p w14:paraId="4D727BC1" w14:textId="3C02854A" w:rsidR="00E12F4E" w:rsidRDefault="00E12F4E" w:rsidP="00E12F4E">
      <w:r>
        <w:t>- Contract drift between runtime and OpenAPI.</w:t>
      </w:r>
    </w:p>
    <w:p w14:paraId="321CB09E" w14:textId="11B07092" w:rsidR="00E12F4E" w:rsidRDefault="00E12F4E" w:rsidP="00E12F4E">
      <w:r>
        <w:t>- Schema drift between canonical and runtime migration sources.</w:t>
      </w:r>
    </w:p>
    <w:p w14:paraId="52726480" w14:textId="098655C0" w:rsidR="00E12F4E" w:rsidRDefault="00E12F4E" w:rsidP="00E12F4E">
      <w:r>
        <w:t>- Incomplete release evidence and exception governance.</w:t>
      </w:r>
    </w:p>
    <w:p w14:paraId="3233E1CE" w14:textId="77777777" w:rsidR="00E12F4E" w:rsidRDefault="00E12F4E" w:rsidP="00E12F4E"/>
    <w:p w14:paraId="0D42B5C2" w14:textId="534391EE" w:rsidR="00E12F4E" w:rsidRDefault="00E12F4E" w:rsidP="00E12F4E">
      <w:r>
        <w:t>Control strategy:</w:t>
      </w:r>
    </w:p>
    <w:p w14:paraId="1FD33F79" w14:textId="0636D403" w:rsidR="00E12F4E" w:rsidRDefault="00E12F4E" w:rsidP="00E12F4E">
      <w:r>
        <w:t>- enforce parity gates</w:t>
      </w:r>
    </w:p>
    <w:p w14:paraId="67FE86CA" w14:textId="2A85D864" w:rsidR="00E12F4E" w:rsidRDefault="00E12F4E" w:rsidP="00E12F4E">
      <w:r>
        <w:t>- enforce boundary-based signoff policy</w:t>
      </w:r>
    </w:p>
    <w:p w14:paraId="6CA0318C" w14:textId="5899BD45" w:rsidR="00E12F4E" w:rsidRDefault="00E12F4E" w:rsidP="00E12F4E">
      <w:r>
        <w:t>- block release when required approvals are missing</w:t>
      </w:r>
    </w:p>
    <w:p w14:paraId="7B9DC10C" w14:textId="77777777" w:rsidR="00E12F4E" w:rsidRDefault="00E12F4E" w:rsidP="00E12F4E"/>
    <w:p w14:paraId="28323EE8" w14:textId="2AA4009B" w:rsidR="00E12F4E" w:rsidRDefault="00E12F4E" w:rsidP="00E12F4E">
      <w:pPr>
        <w:pStyle w:val="Heading1"/>
      </w:pPr>
      <w:r>
        <w:t>11. Phase 4 Readiness and Release Decision Policy</w:t>
      </w:r>
    </w:p>
    <w:p w14:paraId="5F20BC0A" w14:textId="05DAA82C" w:rsidR="00E12F4E" w:rsidRDefault="00E12F4E" w:rsidP="00E12F4E">
      <w:r>
        <w:t>- A release candidate may receive scoped approval only when boundary and evidence scope are explicit.</w:t>
      </w:r>
    </w:p>
    <w:p w14:paraId="2ED8B1F1" w14:textId="4A2F4643" w:rsidR="00E12F4E" w:rsidRDefault="00E12F4E" w:rsidP="00E12F4E">
      <w:r>
        <w:t>- Production promotion requires full Boundary B/C governance evidence.</w:t>
      </w:r>
    </w:p>
    <w:p w14:paraId="39EB6AA8" w14:textId="176786A0" w:rsidR="00E12F4E" w:rsidRDefault="00E12F4E" w:rsidP="00E12F4E">
      <w:r>
        <w:t>- Any unresolved boundary exception without documented required approvals results in NO-GO.</w:t>
      </w:r>
    </w:p>
    <w:p w14:paraId="334C3E3F" w14:textId="77777777" w:rsidR="00E12F4E" w:rsidRDefault="00E12F4E" w:rsidP="00E12F4E"/>
    <w:p w14:paraId="1076688F" w14:textId="29960227" w:rsidR="00E12F4E" w:rsidRDefault="00E12F4E" w:rsidP="00E12F4E">
      <w:pPr>
        <w:pStyle w:val="Heading1"/>
      </w:pPr>
      <w:r>
        <w:t>12. Conclusion</w:t>
      </w:r>
    </w:p>
    <w:p w14:paraId="19F5CC61" w14:textId="0C1B3B54" w:rsidR="00E12F4E" w:rsidRDefault="00E12F4E" w:rsidP="00E12F4E">
      <w:r>
        <w:t>The master architecture is designed for legal robustness, operational reliability, and controlled evolution. The architecture remains compliant when decisions, contracts, and release governance artifacts are kept synchronized and enforced through automated and manual gates.</w:t>
      </w:r>
    </w:p>
    <w:p w14:paraId="56CC6710" w14:textId="77777777" w:rsidR="00E12F4E" w:rsidRPr="00E12F4E" w:rsidRDefault="00E12F4E" w:rsidP="00E12F4E"/>
    <w:sectPr w:rsidR="00E12F4E" w:rsidRPr="00E12F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4E"/>
    <w:rsid w:val="00435EC3"/>
    <w:rsid w:val="00751DB0"/>
    <w:rsid w:val="009E5590"/>
    <w:rsid w:val="00D2022B"/>
    <w:rsid w:val="00E12F4E"/>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1B2C4"/>
  <w15:chartTrackingRefBased/>
  <w15:docId w15:val="{17583989-44E8-4D9F-B988-2BB7ABFC5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F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2F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F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F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F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F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F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F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F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F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2F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2F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F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F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F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F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F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F4E"/>
    <w:rPr>
      <w:rFonts w:eastAsiaTheme="majorEastAsia" w:cstheme="majorBidi"/>
      <w:color w:val="272727" w:themeColor="text1" w:themeTint="D8"/>
    </w:rPr>
  </w:style>
  <w:style w:type="paragraph" w:styleId="Title">
    <w:name w:val="Title"/>
    <w:basedOn w:val="Normal"/>
    <w:next w:val="Normal"/>
    <w:link w:val="TitleChar"/>
    <w:uiPriority w:val="10"/>
    <w:qFormat/>
    <w:rsid w:val="00E12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F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F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F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F4E"/>
    <w:pPr>
      <w:spacing w:before="160"/>
      <w:jc w:val="center"/>
    </w:pPr>
    <w:rPr>
      <w:i/>
      <w:iCs/>
      <w:color w:val="404040" w:themeColor="text1" w:themeTint="BF"/>
    </w:rPr>
  </w:style>
  <w:style w:type="character" w:customStyle="1" w:styleId="QuoteChar">
    <w:name w:val="Quote Char"/>
    <w:basedOn w:val="DefaultParagraphFont"/>
    <w:link w:val="Quote"/>
    <w:uiPriority w:val="29"/>
    <w:rsid w:val="00E12F4E"/>
    <w:rPr>
      <w:i/>
      <w:iCs/>
      <w:color w:val="404040" w:themeColor="text1" w:themeTint="BF"/>
    </w:rPr>
  </w:style>
  <w:style w:type="paragraph" w:styleId="ListParagraph">
    <w:name w:val="List Paragraph"/>
    <w:basedOn w:val="Normal"/>
    <w:uiPriority w:val="34"/>
    <w:qFormat/>
    <w:rsid w:val="00E12F4E"/>
    <w:pPr>
      <w:ind w:left="720"/>
      <w:contextualSpacing/>
    </w:pPr>
  </w:style>
  <w:style w:type="character" w:styleId="IntenseEmphasis">
    <w:name w:val="Intense Emphasis"/>
    <w:basedOn w:val="DefaultParagraphFont"/>
    <w:uiPriority w:val="21"/>
    <w:qFormat/>
    <w:rsid w:val="00E12F4E"/>
    <w:rPr>
      <w:i/>
      <w:iCs/>
      <w:color w:val="0F4761" w:themeColor="accent1" w:themeShade="BF"/>
    </w:rPr>
  </w:style>
  <w:style w:type="paragraph" w:styleId="IntenseQuote">
    <w:name w:val="Intense Quote"/>
    <w:basedOn w:val="Normal"/>
    <w:next w:val="Normal"/>
    <w:link w:val="IntenseQuoteChar"/>
    <w:uiPriority w:val="30"/>
    <w:qFormat/>
    <w:rsid w:val="00E12F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F4E"/>
    <w:rPr>
      <w:i/>
      <w:iCs/>
      <w:color w:val="0F4761" w:themeColor="accent1" w:themeShade="BF"/>
    </w:rPr>
  </w:style>
  <w:style w:type="character" w:styleId="IntenseReference">
    <w:name w:val="Intense Reference"/>
    <w:basedOn w:val="DefaultParagraphFont"/>
    <w:uiPriority w:val="32"/>
    <w:qFormat/>
    <w:rsid w:val="00E12F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990</Words>
  <Characters>5644</Characters>
  <Application>Microsoft Office Word</Application>
  <DocSecurity>0</DocSecurity>
  <Lines>47</Lines>
  <Paragraphs>13</Paragraphs>
  <ScaleCrop>false</ScaleCrop>
  <Company/>
  <LinksUpToDate>false</LinksUpToDate>
  <CharactersWithSpaces>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van den Driest</dc:creator>
  <cp:keywords/>
  <dc:description/>
  <cp:lastModifiedBy>Tomas van den Driest</cp:lastModifiedBy>
  <cp:revision>1</cp:revision>
  <dcterms:created xsi:type="dcterms:W3CDTF">2026-02-27T10:31:00Z</dcterms:created>
  <dcterms:modified xsi:type="dcterms:W3CDTF">2026-02-27T10:31:00Z</dcterms:modified>
</cp:coreProperties>
</file>