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9282" w14:textId="44EC184F" w:rsidR="00751DB0" w:rsidRDefault="00BC2EDD" w:rsidP="00BC2EDD">
      <w:r>
        <w:t>VATRI Tax Core - Master Architecture Executive Summary</w:t>
      </w:r>
    </w:p>
    <w:p w14:paraId="72754F1A" w14:textId="19688458" w:rsidR="00BC2EDD" w:rsidRDefault="00BC2EDD" w:rsidP="00BC2EDD">
      <w:r>
        <w:t>Date: 2026-02-27</w:t>
      </w:r>
    </w:p>
    <w:p w14:paraId="66F6DCD7" w14:textId="2782FFE5" w:rsidR="00BC2EDD" w:rsidRDefault="00BC2EDD" w:rsidP="00BC2EDD">
      <w:r>
        <w:t>Audience: Executive and Program Leadership</w:t>
      </w:r>
    </w:p>
    <w:p w14:paraId="75DE5B09" w14:textId="6E576699" w:rsidR="00BC2EDD" w:rsidRDefault="00BC2EDD" w:rsidP="00BC2EDD">
      <w:r>
        <w:t>Purpose: Decision-focused architecture summary for release governance and delivery planning</w:t>
      </w:r>
    </w:p>
    <w:p w14:paraId="0B03516E" w14:textId="77777777" w:rsidR="00BC2EDD" w:rsidRDefault="00BC2EDD" w:rsidP="00BC2EDD"/>
    <w:p w14:paraId="53834A8E" w14:textId="6ECFFF4D" w:rsidR="00BC2EDD" w:rsidRDefault="00BC2EDD" w:rsidP="00BC2EDD">
      <w:pPr>
        <w:pStyle w:val="Heading1"/>
      </w:pPr>
      <w:r>
        <w:t>1. Executive Decision Snapshot</w:t>
      </w:r>
    </w:p>
    <w:p w14:paraId="67E0F68B" w14:textId="3C5F1973" w:rsidR="00BC2EDD" w:rsidRDefault="00BC2EDD" w:rsidP="00BC2EDD">
      <w:r>
        <w:t>Program architecture status: ready for phased delivery with strict governance controls.</w:t>
      </w:r>
    </w:p>
    <w:p w14:paraId="2CDD1D44" w14:textId="77777777" w:rsidR="00BC2EDD" w:rsidRDefault="00BC2EDD" w:rsidP="00BC2EDD"/>
    <w:p w14:paraId="7597347B" w14:textId="44C54540" w:rsidR="00BC2EDD" w:rsidRDefault="00BC2EDD" w:rsidP="00BC2EDD">
      <w:r>
        <w:t>Strategic architecture decision:</w:t>
      </w:r>
    </w:p>
    <w:p w14:paraId="6344CFDF" w14:textId="61E79705" w:rsidR="00BC2EDD" w:rsidRDefault="00BC2EDD" w:rsidP="00BC2EDD">
      <w:r>
        <w:t>- Proceed with modular Tax Core architecture anchored in open-source standards, deterministic contracts, and release-gated governance.</w:t>
      </w:r>
    </w:p>
    <w:p w14:paraId="781FAB8D" w14:textId="77777777" w:rsidR="00BC2EDD" w:rsidRDefault="00BC2EDD" w:rsidP="00BC2EDD"/>
    <w:p w14:paraId="4D23D72D" w14:textId="7302BAFA" w:rsidR="00BC2EDD" w:rsidRDefault="00BC2EDD" w:rsidP="00BC2EDD">
      <w:r>
        <w:t>Key release governance rule:</w:t>
      </w:r>
    </w:p>
    <w:p w14:paraId="0EA8B258" w14:textId="78CE905D" w:rsidR="00BC2EDD" w:rsidRDefault="00BC2EDD" w:rsidP="00BC2EDD">
      <w:r>
        <w:t>- No production promotion when boundary exceptions are unresolved or missing required approvals.</w:t>
      </w:r>
    </w:p>
    <w:p w14:paraId="3D36E731" w14:textId="77777777" w:rsidR="00BC2EDD" w:rsidRDefault="00BC2EDD" w:rsidP="00BC2EDD"/>
    <w:p w14:paraId="63E5E00C" w14:textId="04D1212D" w:rsidR="00BC2EDD" w:rsidRDefault="00BC2EDD" w:rsidP="00BC2EDD">
      <w:pPr>
        <w:pStyle w:val="Heading1"/>
      </w:pPr>
      <w:r>
        <w:t>2. Business Outcome Alignment</w:t>
      </w:r>
    </w:p>
    <w:p w14:paraId="2197FA8F" w14:textId="5E73FB97" w:rsidR="00BC2EDD" w:rsidRDefault="00BC2EDD" w:rsidP="00BC2EDD">
      <w:r>
        <w:t>The architecture is designed to support:</w:t>
      </w:r>
    </w:p>
    <w:p w14:paraId="4CE43C8A" w14:textId="6AF34AD4" w:rsidR="00BC2EDD" w:rsidRDefault="00BC2EDD" w:rsidP="00BC2EDD">
      <w:r>
        <w:t>- Taxpayer self-service VAT filing through a modern portal experience.</w:t>
      </w:r>
    </w:p>
    <w:p w14:paraId="6A18D9B7" w14:textId="56652EBA" w:rsidR="00BC2EDD" w:rsidRDefault="00BC2EDD" w:rsidP="00BC2EDD">
      <w:r>
        <w:t>- End-to-end API-driven processing for registrations, obligations, filings, assessments, amendments, and claims.</w:t>
      </w:r>
    </w:p>
    <w:p w14:paraId="5DCDABF0" w14:textId="3649F8B9" w:rsidR="00BC2EDD" w:rsidRDefault="00BC2EDD" w:rsidP="00BC2EDD">
      <w:r>
        <w:t>- Regulatory defensibility through auditability, replayability, and effective-dated policy controls.</w:t>
      </w:r>
    </w:p>
    <w:p w14:paraId="3FAAA0FC" w14:textId="77777777" w:rsidR="00BC2EDD" w:rsidRDefault="00BC2EDD" w:rsidP="00BC2EDD"/>
    <w:p w14:paraId="5409DA77" w14:textId="190EE6EB" w:rsidR="00BC2EDD" w:rsidRDefault="00BC2EDD" w:rsidP="00BC2EDD">
      <w:r>
        <w:t>Expected business impact:</w:t>
      </w:r>
    </w:p>
    <w:p w14:paraId="5E8FD17A" w14:textId="4E6420D8" w:rsidR="00BC2EDD" w:rsidRDefault="00BC2EDD" w:rsidP="00BC2EDD">
      <w:r>
        <w:t>- Faster policy change adaptability.</w:t>
      </w:r>
    </w:p>
    <w:p w14:paraId="07165744" w14:textId="7F1E7F53" w:rsidR="00BC2EDD" w:rsidRDefault="00BC2EDD" w:rsidP="00BC2EDD">
      <w:r>
        <w:t>- Lower compliance risk through traceable decisions and evidence.</w:t>
      </w:r>
    </w:p>
    <w:p w14:paraId="4E8A31C6" w14:textId="26A447E8" w:rsidR="00BC2EDD" w:rsidRDefault="00BC2EDD" w:rsidP="00BC2EDD">
      <w:r>
        <w:t>- Improved operational reliability via deterministic processing and controlled release gates.</w:t>
      </w:r>
    </w:p>
    <w:p w14:paraId="220E0068" w14:textId="77777777" w:rsidR="00BC2EDD" w:rsidRDefault="00BC2EDD" w:rsidP="00BC2EDD"/>
    <w:p w14:paraId="3BCF2807" w14:textId="153F5BF4" w:rsidR="00BC2EDD" w:rsidRDefault="00BC2EDD" w:rsidP="00BC2EDD">
      <w:pPr>
        <w:pStyle w:val="Heading1"/>
      </w:pPr>
      <w:r>
        <w:t>3. Architecture in Plain Terms</w:t>
      </w:r>
    </w:p>
    <w:p w14:paraId="2694D0B8" w14:textId="3617E1A2" w:rsidR="00BC2EDD" w:rsidRDefault="00BC2EDD" w:rsidP="00BC2EDD">
      <w:r>
        <w:t>The solution has four layers:</w:t>
      </w:r>
    </w:p>
    <w:p w14:paraId="747CD2BE" w14:textId="73ADC9D1" w:rsidR="00BC2EDD" w:rsidRDefault="00BC2EDD" w:rsidP="00BC2EDD">
      <w:r>
        <w:t>- Portal layer: taxpayer and operator interaction.</w:t>
      </w:r>
    </w:p>
    <w:p w14:paraId="24E1EDBD" w14:textId="0A6A376B" w:rsidR="00BC2EDD" w:rsidRDefault="00BC2EDD" w:rsidP="00BC2EDD">
      <w:r>
        <w:t>- API/domain layer: core tax services and decision logic.</w:t>
      </w:r>
    </w:p>
    <w:p w14:paraId="575EDAEE" w14:textId="6D01B0FA" w:rsidR="00BC2EDD" w:rsidRDefault="00BC2EDD" w:rsidP="00BC2EDD">
      <w:r>
        <w:t>- Event/integration layer: reliable asynchronous communication.</w:t>
      </w:r>
    </w:p>
    <w:p w14:paraId="1EAF2A2C" w14:textId="40F194A7" w:rsidR="00BC2EDD" w:rsidRDefault="00BC2EDD" w:rsidP="00BC2EDD">
      <w:r>
        <w:t>- Data/governance layer: PostgreSQL-backed legal records and migration controls.</w:t>
      </w:r>
    </w:p>
    <w:p w14:paraId="5C5E7206" w14:textId="77777777" w:rsidR="00BC2EDD" w:rsidRDefault="00BC2EDD" w:rsidP="00BC2EDD"/>
    <w:p w14:paraId="4B840975" w14:textId="236BAA44" w:rsidR="00BC2EDD" w:rsidRDefault="00BC2EDD" w:rsidP="00BC2EDD">
      <w:r>
        <w:t>Design posture:</w:t>
      </w:r>
    </w:p>
    <w:p w14:paraId="7F490AB3" w14:textId="302C783A" w:rsidR="00BC2EDD" w:rsidRDefault="00BC2EDD" w:rsidP="00BC2EDD">
      <w:r>
        <w:t>- API-first and contract-driven.</w:t>
      </w:r>
    </w:p>
    <w:p w14:paraId="545192B2" w14:textId="58758FC1" w:rsidR="00BC2EDD" w:rsidRDefault="00BC2EDD" w:rsidP="00BC2EDD">
      <w:r>
        <w:t>- Bounded contexts to reduce coupling.</w:t>
      </w:r>
    </w:p>
    <w:p w14:paraId="1C511C41" w14:textId="6EB5B417" w:rsidR="00BC2EDD" w:rsidRDefault="00BC2EDD" w:rsidP="00BC2EDD">
      <w:r>
        <w:t>- Open-source-only technology baseline.</w:t>
      </w:r>
    </w:p>
    <w:p w14:paraId="3D00DB71" w14:textId="77777777" w:rsidR="00BC2EDD" w:rsidRDefault="00BC2EDD" w:rsidP="00BC2EDD"/>
    <w:p w14:paraId="4C567FA6" w14:textId="2D6BD3C7" w:rsidR="00BC2EDD" w:rsidRDefault="00BC2EDD" w:rsidP="00BC2EDD">
      <w:pPr>
        <w:pStyle w:val="Heading1"/>
      </w:pPr>
      <w:r>
        <w:t>4. Non-Negotiable Controls</w:t>
      </w:r>
    </w:p>
    <w:p w14:paraId="0102CB99" w14:textId="63494BFA" w:rsidR="00BC2EDD" w:rsidRDefault="00BC2EDD" w:rsidP="00BC2EDD">
      <w:r>
        <w:t>- Idempotency and deterministic error behavior for high-value flows.</w:t>
      </w:r>
    </w:p>
    <w:p w14:paraId="7AD63C6A" w14:textId="07D8A9C5" w:rsidR="00BC2EDD" w:rsidRDefault="00BC2EDD" w:rsidP="00BC2EDD">
      <w:r>
        <w:t>- Append-only audit evidence where legally required.</w:t>
      </w:r>
    </w:p>
    <w:p w14:paraId="7197AADB" w14:textId="628291A9" w:rsidR="00BC2EDD" w:rsidRDefault="00BC2EDD" w:rsidP="00BC2EDD">
      <w:r>
        <w:t>- Effective-dated rule and policy versioning for replay.</w:t>
      </w:r>
    </w:p>
    <w:p w14:paraId="133DD2EA" w14:textId="45D11A9F" w:rsidR="00BC2EDD" w:rsidRDefault="00BC2EDD" w:rsidP="00BC2EDD">
      <w:r>
        <w:t>- Canonical migration source enforcement and parity checks.</w:t>
      </w:r>
    </w:p>
    <w:p w14:paraId="01BD7A86" w14:textId="5D1224DF" w:rsidR="00BC2EDD" w:rsidRDefault="00BC2EDD" w:rsidP="00BC2EDD">
      <w:r>
        <w:t>- Explicit rollback boundary classification (A/B/C).</w:t>
      </w:r>
    </w:p>
    <w:p w14:paraId="2EFA0EF0" w14:textId="77777777" w:rsidR="00BC2EDD" w:rsidRDefault="00BC2EDD" w:rsidP="00BC2EDD"/>
    <w:p w14:paraId="291C4481" w14:textId="3C7CD571" w:rsidR="00BC2EDD" w:rsidRDefault="00BC2EDD" w:rsidP="00BC2EDD">
      <w:pPr>
        <w:pStyle w:val="Heading1"/>
      </w:pPr>
      <w:r>
        <w:t>5. Current Risk Picture</w:t>
      </w:r>
    </w:p>
    <w:p w14:paraId="70DE398D" w14:textId="1852D53B" w:rsidR="00BC2EDD" w:rsidRDefault="00BC2EDD" w:rsidP="00BC2EDD">
      <w:r>
        <w:t>Primary recurring risks:</w:t>
      </w:r>
    </w:p>
    <w:p w14:paraId="4F1CA313" w14:textId="18A8FA61" w:rsidR="00BC2EDD" w:rsidRDefault="00BC2EDD" w:rsidP="00BC2EDD">
      <w:r>
        <w:t>- Contract drift between runtime and OpenAPI artifacts.</w:t>
      </w:r>
    </w:p>
    <w:p w14:paraId="22D72CC8" w14:textId="33DDC954" w:rsidR="00BC2EDD" w:rsidRDefault="00BC2EDD" w:rsidP="00BC2EDD">
      <w:r>
        <w:t>- Drift between canonical migrations and runtime schema bootstrap paths.</w:t>
      </w:r>
    </w:p>
    <w:p w14:paraId="2335E723" w14:textId="65F0DE16" w:rsidR="00BC2EDD" w:rsidRDefault="00BC2EDD" w:rsidP="00BC2EDD">
      <w:r>
        <w:t>- Incomplete release evidence packs near final gate.</w:t>
      </w:r>
    </w:p>
    <w:p w14:paraId="5B1B5C08" w14:textId="77777777" w:rsidR="00BC2EDD" w:rsidRDefault="00BC2EDD" w:rsidP="00BC2EDD"/>
    <w:p w14:paraId="6921B321" w14:textId="4CE1DA3F" w:rsidR="00BC2EDD" w:rsidRDefault="00BC2EDD" w:rsidP="00BC2EDD">
      <w:r>
        <w:t>Control maturity:</w:t>
      </w:r>
    </w:p>
    <w:p w14:paraId="01308C82" w14:textId="3E8AFDD1" w:rsidR="00BC2EDD" w:rsidRDefault="00BC2EDD" w:rsidP="00BC2EDD">
      <w:r>
        <w:t>- Improved and enforceable, but still dependent on disciplined cross-role evidence completion.</w:t>
      </w:r>
    </w:p>
    <w:p w14:paraId="00E3BE7A" w14:textId="77777777" w:rsidR="00BC2EDD" w:rsidRDefault="00BC2EDD" w:rsidP="00BC2EDD"/>
    <w:p w14:paraId="25B0CD33" w14:textId="0ABCE802" w:rsidR="00BC2EDD" w:rsidRDefault="00BC2EDD" w:rsidP="00BC2EDD">
      <w:pPr>
        <w:pStyle w:val="Heading1"/>
      </w:pPr>
      <w:r>
        <w:t>6. Release Governance Model</w:t>
      </w:r>
    </w:p>
    <w:p w14:paraId="5D926017" w14:textId="537D46DE" w:rsidR="00BC2EDD" w:rsidRDefault="00BC2EDD" w:rsidP="00BC2EDD">
      <w:r>
        <w:t>Decision framework:</w:t>
      </w:r>
    </w:p>
    <w:p w14:paraId="19F66B36" w14:textId="1D7BB0C4" w:rsidR="00BC2EDD" w:rsidRDefault="00BC2EDD" w:rsidP="00BC2EDD">
      <w:r>
        <w:t>- Boundary A: local/pre-production verification context.</w:t>
      </w:r>
    </w:p>
    <w:p w14:paraId="7EE3A1FC" w14:textId="7DCA301D" w:rsidR="00BC2EDD" w:rsidRDefault="00BC2EDD" w:rsidP="00BC2EDD">
      <w:r>
        <w:t>- Boundary B/C: production contexts with stricter rollback and evidence rules.</w:t>
      </w:r>
    </w:p>
    <w:p w14:paraId="59A22FD7" w14:textId="77777777" w:rsidR="00BC2EDD" w:rsidRDefault="00BC2EDD" w:rsidP="00BC2EDD"/>
    <w:p w14:paraId="5C98619F" w14:textId="5CE60918" w:rsidR="00BC2EDD" w:rsidRDefault="00BC2EDD" w:rsidP="00BC2EDD">
      <w:r>
        <w:t>Required signoff set for production decisions:</w:t>
      </w:r>
    </w:p>
    <w:p w14:paraId="6165CB49" w14:textId="1934A323" w:rsidR="00BC2EDD" w:rsidRDefault="00BC2EDD" w:rsidP="00BC2EDD">
      <w:r>
        <w:t>- Architect</w:t>
      </w:r>
    </w:p>
    <w:p w14:paraId="5FBF9C7F" w14:textId="54E39026" w:rsidR="00BC2EDD" w:rsidRDefault="00BC2EDD" w:rsidP="00BC2EDD">
      <w:r>
        <w:t>- Database Architect</w:t>
      </w:r>
    </w:p>
    <w:p w14:paraId="49D096FE" w14:textId="623D675D" w:rsidR="00BC2EDD" w:rsidRDefault="00BC2EDD" w:rsidP="00BC2EDD">
      <w:r>
        <w:t>- DevOps</w:t>
      </w:r>
    </w:p>
    <w:p w14:paraId="3DCB91BD" w14:textId="45A2CA24" w:rsidR="00BC2EDD" w:rsidRDefault="00BC2EDD" w:rsidP="00BC2EDD">
      <w:r>
        <w:t>- Test Manager</w:t>
      </w:r>
    </w:p>
    <w:p w14:paraId="356206CA" w14:textId="0CAB4189" w:rsidR="00BC2EDD" w:rsidRDefault="00BC2EDD" w:rsidP="00BC2EDD">
      <w:r>
        <w:t>- Product Owner</w:t>
      </w:r>
    </w:p>
    <w:p w14:paraId="47F5BCAF" w14:textId="77777777" w:rsidR="00BC2EDD" w:rsidRDefault="00BC2EDD" w:rsidP="00BC2EDD"/>
    <w:p w14:paraId="75DD0BAB" w14:textId="3C15895F" w:rsidR="00BC2EDD" w:rsidRDefault="00BC2EDD" w:rsidP="00BC2EDD">
      <w:r>
        <w:t>Exception policy:</w:t>
      </w:r>
    </w:p>
    <w:p w14:paraId="40CA79D2" w14:textId="32B03898" w:rsidR="00BC2EDD" w:rsidRDefault="00BC2EDD" w:rsidP="00BC2EDD">
      <w:r>
        <w:t>- Any boundary/runbook exception requires explicit documented approval by Architect + Database Architect + Product Owner.</w:t>
      </w:r>
    </w:p>
    <w:p w14:paraId="6C0283FE" w14:textId="77777777" w:rsidR="00BC2EDD" w:rsidRDefault="00BC2EDD" w:rsidP="00BC2EDD"/>
    <w:p w14:paraId="75997233" w14:textId="1ABF1673" w:rsidR="00BC2EDD" w:rsidRDefault="00BC2EDD" w:rsidP="00BC2EDD">
      <w:pPr>
        <w:pStyle w:val="Heading1"/>
      </w:pPr>
      <w:r>
        <w:t>7. Technology and Platform Direction</w:t>
      </w:r>
    </w:p>
    <w:p w14:paraId="6696872D" w14:textId="37CCB5EB" w:rsidR="00BC2EDD" w:rsidRDefault="00BC2EDD" w:rsidP="00BC2EDD">
      <w:r>
        <w:t>Target platform:</w:t>
      </w:r>
    </w:p>
    <w:p w14:paraId="1B8E863B" w14:textId="45C03E3B" w:rsidR="00BC2EDD" w:rsidRDefault="00BC2EDD" w:rsidP="00BC2EDD">
      <w:r>
        <w:t>- Containerized services deployed on Kubernetes.</w:t>
      </w:r>
    </w:p>
    <w:p w14:paraId="1C239F0E" w14:textId="1D999E8D" w:rsidR="00BC2EDD" w:rsidRDefault="00BC2EDD" w:rsidP="00BC2EDD">
      <w:r>
        <w:t>- PostgreSQL 16+ operational store.</w:t>
      </w:r>
    </w:p>
    <w:p w14:paraId="05D64F13" w14:textId="09A431F8" w:rsidR="00BC2EDD" w:rsidRDefault="00BC2EDD" w:rsidP="00BC2EDD">
      <w:r>
        <w:t>- Kafka-compatible event backbone.</w:t>
      </w:r>
    </w:p>
    <w:p w14:paraId="3DB7E29B" w14:textId="77777777" w:rsidR="00BC2EDD" w:rsidRDefault="00BC2EDD" w:rsidP="00BC2EDD"/>
    <w:p w14:paraId="271B3C95" w14:textId="5AEFE955" w:rsidR="00BC2EDD" w:rsidRDefault="00BC2EDD" w:rsidP="00BC2EDD">
      <w:r>
        <w:t>Policy position:</w:t>
      </w:r>
    </w:p>
    <w:p w14:paraId="1EC414DE" w14:textId="6361506E" w:rsidR="00BC2EDD" w:rsidRDefault="00BC2EDD" w:rsidP="00BC2EDD">
      <w:r>
        <w:t>- Open-source technologies only.</w:t>
      </w:r>
    </w:p>
    <w:p w14:paraId="5EFA7A5E" w14:textId="4A354F2D" w:rsidR="00BC2EDD" w:rsidRDefault="00BC2EDD" w:rsidP="00BC2EDD">
      <w:r>
        <w:t>- Portability-first standards and contract discipline.</w:t>
      </w:r>
    </w:p>
    <w:p w14:paraId="6888F246" w14:textId="77777777" w:rsidR="00BC2EDD" w:rsidRDefault="00BC2EDD" w:rsidP="00BC2EDD"/>
    <w:p w14:paraId="2812EA10" w14:textId="78AA41A6" w:rsidR="00BC2EDD" w:rsidRDefault="00BC2EDD" w:rsidP="00BC2EDD">
      <w:pPr>
        <w:pStyle w:val="Heading1"/>
      </w:pPr>
      <w:r>
        <w:t>8. Delivery Readiness View</w:t>
      </w:r>
    </w:p>
    <w:p w14:paraId="04936426" w14:textId="2575BB9B" w:rsidR="00BC2EDD" w:rsidRDefault="00BC2EDD" w:rsidP="00BC2EDD">
      <w:r>
        <w:t>What is strong:</w:t>
      </w:r>
    </w:p>
    <w:p w14:paraId="284C0104" w14:textId="06CFD04C" w:rsidR="00BC2EDD" w:rsidRDefault="00BC2EDD" w:rsidP="00BC2EDD">
      <w:r>
        <w:t>- Architecture decisions and governance structures are formalized.</w:t>
      </w:r>
    </w:p>
    <w:p w14:paraId="7ABB76C2" w14:textId="04C7E525" w:rsidR="00BC2EDD" w:rsidRDefault="00BC2EDD" w:rsidP="00BC2EDD">
      <w:r>
        <w:t>- Migration parity and release evidence practices are materially improved.</w:t>
      </w:r>
    </w:p>
    <w:p w14:paraId="54FA2833" w14:textId="77777777" w:rsidR="00BC2EDD" w:rsidRDefault="00BC2EDD" w:rsidP="00BC2EDD"/>
    <w:p w14:paraId="3CB09021" w14:textId="5C9625DE" w:rsidR="00BC2EDD" w:rsidRDefault="00BC2EDD" w:rsidP="00BC2EDD">
      <w:r>
        <w:t>What remains critical:</w:t>
      </w:r>
    </w:p>
    <w:p w14:paraId="7A4357AC" w14:textId="048761EA" w:rsidR="00BC2EDD" w:rsidRDefault="00BC2EDD" w:rsidP="00BC2EDD">
      <w:r>
        <w:t>- Prevent late-cycle contract drift.</w:t>
      </w:r>
    </w:p>
    <w:p w14:paraId="74682D79" w14:textId="5BA5686D" w:rsidR="00BC2EDD" w:rsidRDefault="00BC2EDD" w:rsidP="00BC2EDD">
      <w:r>
        <w:t>- Keep exception closure and signoff discipline strict.</w:t>
      </w:r>
    </w:p>
    <w:p w14:paraId="7685FC44" w14:textId="0D2BC29A" w:rsidR="00BC2EDD" w:rsidRDefault="00BC2EDD" w:rsidP="00BC2EDD">
      <w:r>
        <w:t>- Maintain clear separation of local scope approval vs production promotion approval.</w:t>
      </w:r>
    </w:p>
    <w:p w14:paraId="2DA57698" w14:textId="77777777" w:rsidR="00BC2EDD" w:rsidRDefault="00BC2EDD" w:rsidP="00BC2EDD"/>
    <w:p w14:paraId="4617205A" w14:textId="0040EC0C" w:rsidR="00BC2EDD" w:rsidRDefault="00BC2EDD" w:rsidP="00BC2EDD">
      <w:pPr>
        <w:pStyle w:val="Heading1"/>
      </w:pPr>
      <w:r>
        <w:t>9. Recommended Executive Actions</w:t>
      </w:r>
    </w:p>
    <w:p w14:paraId="4D8E5AC0" w14:textId="693C4646" w:rsidR="00BC2EDD" w:rsidRDefault="00BC2EDD" w:rsidP="00BC2EDD">
      <w:r>
        <w:t>- Keep architecture and governance as release-critical, not documentation-only artifacts.</w:t>
      </w:r>
    </w:p>
    <w:p w14:paraId="458DA1F1" w14:textId="658A7CEE" w:rsidR="00BC2EDD" w:rsidRDefault="00BC2EDD" w:rsidP="00BC2EDD">
      <w:r>
        <w:t>- Enforce mandatory evidence pack completion before promotion decisions.</w:t>
      </w:r>
    </w:p>
    <w:p w14:paraId="2D6EEAED" w14:textId="133758AC" w:rsidR="00BC2EDD" w:rsidRDefault="00BC2EDD" w:rsidP="00BC2EDD">
      <w:r>
        <w:t>- Require explicit statement of approval scope in every GO decision.</w:t>
      </w:r>
    </w:p>
    <w:p w14:paraId="4984F0EB" w14:textId="0C1B379F" w:rsidR="00BC2EDD" w:rsidRDefault="00BC2EDD" w:rsidP="00BC2EDD">
      <w:r>
        <w:t>- Continue funding automation of contract and migration conformance checks.</w:t>
      </w:r>
    </w:p>
    <w:p w14:paraId="0874AC45" w14:textId="77777777" w:rsidR="00BC2EDD" w:rsidRDefault="00BC2EDD" w:rsidP="00BC2EDD"/>
    <w:p w14:paraId="7B25968D" w14:textId="6C0D880C" w:rsidR="00BC2EDD" w:rsidRDefault="00BC2EDD" w:rsidP="00BC2EDD">
      <w:pPr>
        <w:pStyle w:val="Heading1"/>
      </w:pPr>
      <w:r>
        <w:t>10. Final Executive Conclusion</w:t>
      </w:r>
    </w:p>
    <w:p w14:paraId="68BF0483" w14:textId="031D0B3B" w:rsidR="00BC2EDD" w:rsidRDefault="00BC2EDD" w:rsidP="00BC2EDD">
      <w:r>
        <w:t>The VATRI Tax Core architecture is fit for controlled phased rollout.</w:t>
      </w:r>
    </w:p>
    <w:p w14:paraId="3D6E35AE" w14:textId="77777777" w:rsidR="00BC2EDD" w:rsidRDefault="00BC2EDD" w:rsidP="00BC2EDD"/>
    <w:p w14:paraId="629343AF" w14:textId="46987760" w:rsidR="00BC2EDD" w:rsidRDefault="00BC2EDD" w:rsidP="00BC2EDD">
      <w:r>
        <w:t>Executive recommendation:</w:t>
      </w:r>
    </w:p>
    <w:p w14:paraId="46BBEB2F" w14:textId="323A52C0" w:rsidR="00BC2EDD" w:rsidRDefault="00BC2EDD" w:rsidP="00BC2EDD">
      <w:r>
        <w:t>- Continue execution under current architecture and governance model.</w:t>
      </w:r>
    </w:p>
    <w:p w14:paraId="51C387F3" w14:textId="55436752" w:rsidR="00BC2EDD" w:rsidRDefault="00BC2EDD" w:rsidP="00BC2EDD">
      <w:r>
        <w:t>- Preserve strict production gate discipline: no GO without complete evidence and required approvals.</w:t>
      </w:r>
    </w:p>
    <w:p w14:paraId="3CC2E469" w14:textId="77777777" w:rsidR="00BC2EDD" w:rsidRPr="00BC2EDD" w:rsidRDefault="00BC2EDD" w:rsidP="00BC2EDD"/>
    <w:sectPr w:rsidR="00BC2EDD" w:rsidRPr="00BC2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DD"/>
    <w:rsid w:val="00435EC3"/>
    <w:rsid w:val="00751DB0"/>
    <w:rsid w:val="009E5590"/>
    <w:rsid w:val="00BC2EDD"/>
    <w:rsid w:val="00CD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6427D"/>
  <w15:chartTrackingRefBased/>
  <w15:docId w15:val="{C45318B5-C9DA-43FA-BC77-8FC16924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van den Driest</dc:creator>
  <cp:keywords/>
  <dc:description/>
  <cp:lastModifiedBy>Tomas van den Driest</cp:lastModifiedBy>
  <cp:revision>1</cp:revision>
  <dcterms:created xsi:type="dcterms:W3CDTF">2026-02-27T10:33:00Z</dcterms:created>
  <dcterms:modified xsi:type="dcterms:W3CDTF">2026-02-27T10:33:00Z</dcterms:modified>
</cp:coreProperties>
</file>