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Master Solution Document - Tax Core (Business Leadership)</w:t>
      </w:r>
    </w:p>
    <w:p/>
    <w:p>
      <w:r>
        <w:t xml:space="preserve">Version: 1.0  </w:t>
      </w:r>
    </w:p>
    <w:p>
      <w:r>
        <w:t xml:space="preserve">Date: 2026-02-27  </w:t>
      </w:r>
    </w:p>
    <w:p>
      <w:r>
        <w:t xml:space="preserve">Audience: Business Leadership  </w:t>
      </w:r>
    </w:p>
    <w:p>
      <w:r>
        <w:t xml:space="preserve">Prepared from repository sources in `README.md`, `architecture/`, `design/`, `testing/`, and `database/runbooks/`.</w:t>
      </w:r>
    </w:p>
    <w:p/>
    <w:p>
      <w:pPr>
        <w:pStyle w:val="Heading2"/>
      </w:pPr>
      <w:r>
        <w:t xml:space="preserve">1. Executive Summary</w:t>
      </w:r>
    </w:p>
    <w:p/>
    <w:p>
      <w:r>
        <w:t xml:space="preserve">Tax Core is a productized Danish VAT platform designed to deliver deterministic VAT outcomes, full audit traceability, and safer release governance across the registration-to-claim lifecycle. The solution is intentionally API-first and portal-enabled, so it supports both self-service users and system-to-system integration.</w:t>
      </w:r>
    </w:p>
    <w:p/>
    <w:p>
      <w:r>
        <w:t xml:space="preserve">From a business perspective, the core value is predictable compliance operations at lower change risk:</w:t>
      </w:r>
    </w:p>
    <w:p>
      <w:r>
        <w:t xml:space="preserve">- predictable VAT classification (`payable`, `refund`, `zero`) from deterministic logic</w:t>
      </w:r>
    </w:p>
    <w:p>
      <w:r>
        <w:t xml:space="preserve">- auditable evidence from input to claim dispatch</w:t>
      </w:r>
    </w:p>
    <w:p>
      <w:r>
        <w:t xml:space="preserve">- structured release control using explicit gate evidence instead of subjective readiness</w:t>
      </w:r>
    </w:p>
    <w:p>
      <w:r>
        <w:t xml:space="preserve">- scalable architecture that supports phased expansion (Phase 4A to Phase 6) without core platform rewrites</w:t>
      </w:r>
    </w:p>
    <w:p/>
    <w:p>
      <w:r>
        <w:t xml:space="preserve">Current status:</w:t>
      </w:r>
    </w:p>
    <w:p>
      <w:r>
        <w:t xml:space="preserve">- Phases 1, 1A, 2, 3, and 4 are completed in this repository context.</w:t>
      </w:r>
    </w:p>
    <w:p>
      <w:r>
        <w:t xml:space="preserve">- Phase 4 readiness has documented same-cycle gate evidence and formal signoffs for Boundary A local readiness scope.</w:t>
      </w:r>
    </w:p>
    <w:p>
      <w:r>
        <w:t xml:space="preserve">- Later roadmap phases (4A, 5, 6) remain planned and are the main business opportunity areas for capability expansion.</w:t>
      </w:r>
    </w:p>
    <w:p/>
    <w:p>
      <w:r>
        <w:t xml:space="preserve">Leadership takeaway: Tax Core has moved from concept to controlled delivery engine. The next decision is not whether the foundation works, but how aggressively to fund expansion while maintaining governance discipline.</w:t>
      </w:r>
    </w:p>
    <w:p/>
    <w:p>
      <w:pPr>
        <w:pStyle w:val="Heading2"/>
      </w:pPr>
      <w:r>
        <w:t xml:space="preserve">2. Business Problem and Why This Solution Exists</w:t>
      </w:r>
    </w:p>
    <w:p/>
    <w:p>
      <w:r>
        <w:t xml:space="preserve">Danish VAT operations require high legal correctness, repeatability, and accountability. Traditional approaches often fail on one or more of these dimensions:</w:t>
      </w:r>
    </w:p>
    <w:p>
      <w:r>
        <w:t xml:space="preserve">- rule logic spread across teams and tools</w:t>
      </w:r>
    </w:p>
    <w:p>
      <w:r>
        <w:t xml:space="preserve">- inconsistent interpretation of legal edge cases</w:t>
      </w:r>
    </w:p>
    <w:p>
      <w:r>
        <w:t xml:space="preserve">- weak traceability from filing input to financial claim outcome</w:t>
      </w:r>
    </w:p>
    <w:p>
      <w:r>
        <w:t xml:space="preserve">- late-cycle release surprises due to contract drift or unclear ownership</w:t>
      </w:r>
    </w:p>
    <w:p/>
    <w:p>
      <w:r>
        <w:t xml:space="preserve">Tax Core addresses this by combining:</w:t>
      </w:r>
    </w:p>
    <w:p>
      <w:r>
        <w:t xml:space="preserve">- one canonical domain model for registration, obligations, filings, assessments, amendments, and claims</w:t>
      </w:r>
    </w:p>
    <w:p>
      <w:r>
        <w:t xml:space="preserve">- deterministic rule and derivation pipelines</w:t>
      </w:r>
    </w:p>
    <w:p>
      <w:r>
        <w:t xml:space="preserve">- append-only audit evidence</w:t>
      </w:r>
    </w:p>
    <w:p>
      <w:r>
        <w:t xml:space="preserve">- enforceable release gates and role-based accountability</w:t>
      </w:r>
    </w:p>
    <w:p/>
    <w:p>
      <w:r>
        <w:t xml:space="preserve">This design reduces operational volatility and improves confidence in both internal governance and external scrutiny.</w:t>
      </w:r>
    </w:p>
    <w:p/>
    <w:p>
      <w:pPr>
        <w:pStyle w:val="Heading2"/>
      </w:pPr>
      <w:r>
        <w:t xml:space="preserve">3. What the Solution Delivers (Business Capability View)</w:t>
      </w:r>
    </w:p>
    <w:p/>
    <w:p>
      <w:r>
        <w:t xml:space="preserve">### 3.1 End-to-End VAT Lifecycle Support</w:t>
      </w:r>
    </w:p>
    <w:p/>
    <w:p>
      <w:r>
        <w:t xml:space="preserve">The implemented and governed core supports:</w:t>
      </w:r>
    </w:p>
    <w:p>
      <w:r>
        <w:t xml:space="preserve">- registration and obligation lifecycle handling</w:t>
      </w:r>
    </w:p>
    <w:p>
      <w:r>
        <w:t xml:space="preserve">- VAT filing intake and validation</w:t>
      </w:r>
    </w:p>
    <w:p>
      <w:r>
        <w:t xml:space="preserve">- deterministic assessment and result classification</w:t>
      </w:r>
    </w:p>
    <w:p>
      <w:r>
        <w:t xml:space="preserve">- amendment lineage and versioned corrections</w:t>
      </w:r>
    </w:p>
    <w:p>
      <w:r>
        <w:t xml:space="preserve">- claim orchestration and dispatch control</w:t>
      </w:r>
    </w:p>
    <w:p>
      <w:r>
        <w:t xml:space="preserve">- audit evidence for compliance and investigation</w:t>
      </w:r>
    </w:p>
    <w:p/>
    <w:p>
      <w:r>
        <w:t xml:space="preserve">### 3.2 Delivery Model: API-First + Portal Channel</w:t>
      </w:r>
    </w:p>
    <w:p/>
    <w:p>
      <w:r>
        <w:t xml:space="preserve">The solution supports two ingress models:</w:t>
      </w:r>
    </w:p>
    <w:p>
      <w:r>
        <w:t xml:space="preserve">- self-service channel: Portal UI through BFF to Tax Core APIs</w:t>
      </w:r>
    </w:p>
    <w:p>
      <w:r>
        <w:t xml:space="preserve">- direct channel: API clients (e.g., ERP/bookkeeping integrations)</w:t>
      </w:r>
    </w:p>
    <w:p/>
    <w:p>
      <w:r>
        <w:t xml:space="preserve">This dual channel approach enables both usability and integration scale without duplicating domain logic.</w:t>
      </w:r>
    </w:p>
    <w:p/>
    <w:p>
      <w:r>
        <w:t xml:space="preserve">### 3.3 Deterministic Financial Derivation</w:t>
      </w:r>
    </w:p>
    <w:p/>
    <w:p>
      <w:r>
        <w:t xml:space="preserve">The staged VAT derivation model is explicit and reproducible. This enables:</w:t>
      </w:r>
    </w:p>
    <w:p>
      <w:r>
        <w:t xml:space="preserve">- stable financial behavior for equivalent inputs</w:t>
      </w:r>
    </w:p>
    <w:p>
      <w:r>
        <w:t xml:space="preserve">- clear explainability for taxpayers and internal reviewers</w:t>
      </w:r>
    </w:p>
    <w:p>
      <w:r>
        <w:t xml:space="preserve">- lower dispute risk due to transparent arithmetic and rule references</w:t>
      </w:r>
    </w:p>
    <w:p/>
    <w:p>
      <w:r>
        <w:t xml:space="preserve">### 3.4 Amendment and Audit Defensibility</w:t>
      </w:r>
    </w:p>
    <w:p/>
    <w:p>
      <w:r>
        <w:t xml:space="preserve">The platform does not overwrite prior legal states. Amendments create new versions with lineage. This preserves legal defensibility and supports traceable corrections.</w:t>
      </w:r>
    </w:p>
    <w:p/>
    <w:p>
      <w:pPr>
        <w:pStyle w:val="Heading2"/>
      </w:pPr>
      <w:r>
        <w:t xml:space="preserve">4. Architecture and Operating Model (Leadership-Level)</w:t>
      </w:r>
    </w:p>
    <w:p/>
    <w:p>
      <w:r>
        <w:t xml:space="preserve">The solution is structured around bounded contexts and clear ownership:</w:t>
      </w:r>
    </w:p>
    <w:p>
      <w:r>
        <w:t xml:space="preserve">- Registration</w:t>
      </w:r>
    </w:p>
    <w:p>
      <w:r>
        <w:t xml:space="preserve">- Obligation</w:t>
      </w:r>
    </w:p>
    <w:p>
      <w:r>
        <w:t xml:space="preserve">- Filing</w:t>
      </w:r>
    </w:p>
    <w:p>
      <w:r>
        <w:t xml:space="preserve">- Validation</w:t>
      </w:r>
    </w:p>
    <w:p>
      <w:r>
        <w:t xml:space="preserve">- Rule/Assessment</w:t>
      </w:r>
    </w:p>
    <w:p>
      <w:r>
        <w:t xml:space="preserve">- Amendment</w:t>
      </w:r>
    </w:p>
    <w:p>
      <w:r>
        <w:t xml:space="preserve">- Claim Orchestration</w:t>
      </w:r>
    </w:p>
    <w:p>
      <w:r>
        <w:t xml:space="preserve">- Audit</w:t>
      </w:r>
    </w:p>
    <w:p/>
    <w:p>
      <w:r>
        <w:t xml:space="preserve">Key platform characteristics:</w:t>
      </w:r>
    </w:p>
    <w:p>
      <w:r>
        <w:t xml:space="preserve">- containerized microservice architecture</w:t>
      </w:r>
    </w:p>
    <w:p>
      <w:r>
        <w:t xml:space="preserve">- PostgreSQL operational core</w:t>
      </w:r>
    </w:p>
    <w:p>
      <w:r>
        <w:t xml:space="preserve">- queue/outbox reliability for claim dispatch</w:t>
      </w:r>
    </w:p>
    <w:p>
      <w:r>
        <w:t xml:space="preserve">- open standards contracts (OpenAPI and event-driven patterns)</w:t>
      </w:r>
    </w:p>
    <w:p>
      <w:r>
        <w:t xml:space="preserve">- policy-driven rollout model for new jurisdictions and ViDA maturity states</w:t>
      </w:r>
    </w:p>
    <w:p/>
    <w:p>
      <w:r>
        <w:t xml:space="preserve">Leadership implication: this is not a one-off project artifact; it is a reusable fiscal capability platform with controlled extension points.</w:t>
      </w:r>
    </w:p>
    <w:p/>
    <w:p>
      <w:pPr>
        <w:pStyle w:val="Heading2"/>
      </w:pPr>
      <w:r>
        <w:t xml:space="preserve">5. Governance, Controls, and Release Quality</w:t>
      </w:r>
    </w:p>
    <w:p/>
    <w:p>
      <w:r>
        <w:t xml:space="preserve">A major differentiator in this solution is governance maturity:</w:t>
      </w:r>
    </w:p>
    <w:p>
      <w:r>
        <w:t xml:space="preserve">- explicit gate command sets for readiness decisions</w:t>
      </w:r>
    </w:p>
    <w:p>
      <w:r>
        <w:t xml:space="preserve">- same-cycle evidence requirements</w:t>
      </w:r>
    </w:p>
    <w:p>
      <w:r>
        <w:t xml:space="preserve">- append-only run evidence tracking</w:t>
      </w:r>
    </w:p>
    <w:p>
      <w:r>
        <w:t xml:space="preserve">- formal signoff workflow across Architect, Database Architect, DevOps, Test Manager, and Product Owner</w:t>
      </w:r>
    </w:p>
    <w:p/>
    <w:p>
      <w:r>
        <w:t xml:space="preserve">This governance model materially lowers decision ambiguity at release time. It also creates auditable release records that can be defended to stakeholders and regulators.</w:t>
      </w:r>
    </w:p>
    <w:p/>
    <w:p>
      <w:pPr>
        <w:pStyle w:val="Heading2"/>
      </w:pPr>
      <w:r>
        <w:t xml:space="preserve">6. Current Status Snapshot for Leadership</w:t>
      </w:r>
    </w:p>
    <w:p/>
    <w:p>
      <w:r>
        <w:t xml:space="preserve">### 6.1 Delivery Status by Phase</w:t>
      </w:r>
    </w:p>
    <w:p/>
    <w:p>
      <w:r>
        <w:t xml:space="preserve">Completed in current scope:</w:t>
      </w:r>
    </w:p>
    <w:p>
      <w:r>
        <w:t xml:space="preserve">- Phase 1: Foundation</w:t>
      </w:r>
    </w:p>
    <w:p>
      <w:r>
        <w:t xml:space="preserve">- Phase 1A: Service integration lane</w:t>
      </w:r>
    </w:p>
    <w:p>
      <w:r>
        <w:t xml:space="preserve">- Phase 2: Assessment core</w:t>
      </w:r>
    </w:p>
    <w:p>
      <w:r>
        <w:t xml:space="preserve">- Phase 3: Claims integration</w:t>
      </w:r>
    </w:p>
    <w:p>
      <w:r>
        <w:t xml:space="preserve">- Phase 4: Amendments and controls</w:t>
      </w:r>
    </w:p>
    <w:p/>
    <w:p>
      <w:r>
        <w:t xml:space="preserve">Planned:</w:t>
      </w:r>
    </w:p>
    <w:p>
      <w:r>
        <w:t xml:space="preserve">- Phase 4A: Integration boundaries hardening</w:t>
      </w:r>
    </w:p>
    <w:p>
      <w:r>
        <w:t xml:space="preserve">- Phase 5: Advanced scenarios and manual/legal routing modules</w:t>
      </w:r>
    </w:p>
    <w:p>
      <w:r>
        <w:t xml:space="preserve">- Phase 6: ViDA Step 1-3 enablement at production depth</w:t>
      </w:r>
    </w:p>
    <w:p/>
    <w:p>
      <w:r>
        <w:t xml:space="preserve">### 6.2 Business Readiness Position</w:t>
      </w:r>
    </w:p>
    <w:p/>
    <w:p>
      <w:r>
        <w:t xml:space="preserve">The foundation and control model are strong enough to proceed with planned phases, provided leadership continues to enforce:</w:t>
      </w:r>
    </w:p>
    <w:p>
      <w:r>
        <w:t xml:space="preserve">- contract/runtime parity as a hard gate</w:t>
      </w:r>
    </w:p>
    <w:p>
      <w:r>
        <w:t xml:space="preserve">- signoff completeness before promotion</w:t>
      </w:r>
    </w:p>
    <w:p>
      <w:r>
        <w:t xml:space="preserve">- explicit boundary statements (local verification vs production promotion)</w:t>
      </w:r>
    </w:p>
    <w:p/>
    <w:p>
      <w:pPr>
        <w:pStyle w:val="Heading2"/>
      </w:pPr>
      <w:r>
        <w:t xml:space="preserve">7. Business Value Realization</w:t>
      </w:r>
    </w:p>
    <w:p/>
    <w:p>
      <w:r>
        <w:t xml:space="preserve">### 7.1 Value Already Realized</w:t>
      </w:r>
    </w:p>
    <w:p/>
    <w:p>
      <w:r>
        <w:t xml:space="preserve">- Reduced release uncertainty through objective gate evidence.</w:t>
      </w:r>
    </w:p>
    <w:p>
      <w:r>
        <w:t xml:space="preserve">- Stronger audit trail from filing input to claim payload.</w:t>
      </w:r>
    </w:p>
    <w:p>
      <w:r>
        <w:t xml:space="preserve">- Better cross-role accountability from structured operating contracts.</w:t>
      </w:r>
    </w:p>
    <w:p>
      <w:r>
        <w:t xml:space="preserve">- Faster defect triage due to trace IDs and deterministic test outcomes.</w:t>
      </w:r>
    </w:p>
    <w:p/>
    <w:p>
      <w:r>
        <w:t xml:space="preserve">### 7.2 Value Available in Next Funding Wave</w:t>
      </w:r>
    </w:p>
    <w:p/>
    <w:p>
      <w:r>
        <w:t xml:space="preserve">With Phases 4A-6, business can unlock:</w:t>
      </w:r>
    </w:p>
    <w:p>
      <w:r>
        <w:t xml:space="preserve">- stronger external integration resilience</w:t>
      </w:r>
    </w:p>
    <w:p>
      <w:r>
        <w:t xml:space="preserve">- broader legal scenario coverage and reduced manual handling</w:t>
      </w:r>
    </w:p>
    <w:p>
      <w:r>
        <w:t xml:space="preserve">- richer ViDA-aligned capabilities for future regulatory readiness</w:t>
      </w:r>
    </w:p>
    <w:p>
      <w:r>
        <w:t xml:space="preserve">- lower operational cost through reduced rework and clearer automation boundaries</w:t>
      </w:r>
    </w:p>
    <w:p/>
    <w:p>
      <w:pPr>
        <w:pStyle w:val="Heading2"/>
      </w:pPr>
      <w:r>
        <w:t xml:space="preserve">8. Key Risks and Leadership Watchlist</w:t>
      </w:r>
    </w:p>
    <w:p/>
    <w:p>
      <w:r>
        <w:t xml:space="preserve">### 8.1 Primary Risks</w:t>
      </w:r>
    </w:p>
    <w:p/>
    <w:p>
      <w:r>
        <w:t xml:space="preserve">1. Contract drift between API specifications and runtime behavior.</w:t>
      </w:r>
    </w:p>
    <w:p>
      <w:r>
        <w:t xml:space="preserve">2. Governance drift when signoff states diverge across artifacts.</w:t>
      </w:r>
    </w:p>
    <w:p>
      <w:r>
        <w:t xml:space="preserve">3. Boundary confusion (local readiness interpreted as production approval).</w:t>
      </w:r>
    </w:p>
    <w:p>
      <w:r>
        <w:t xml:space="preserve">4. Partial implementation zones in legal edge-case coverage.</w:t>
      </w:r>
    </w:p>
    <w:p>
      <w:r>
        <w:t xml:space="preserve">5. Cross-role terminology inconsistency causing rework.</w:t>
      </w:r>
    </w:p>
    <w:p/>
    <w:p>
      <w:r>
        <w:t xml:space="preserve">### 8.2 Risk Mitigation Already in Place</w:t>
      </w:r>
    </w:p>
    <w:p/>
    <w:p>
      <w:r>
        <w:t xml:space="preserve">- same-cycle gate evidence policy</w:t>
      </w:r>
    </w:p>
    <w:p>
      <w:r>
        <w:t xml:space="preserve">- explicit signoff matrix</w:t>
      </w:r>
    </w:p>
    <w:p>
      <w:r>
        <w:t xml:space="preserve">- migration/runbook governance for release safety</w:t>
      </w:r>
    </w:p>
    <w:p>
      <w:r>
        <w:t xml:space="preserve">- retrospective process across all roles</w:t>
      </w:r>
    </w:p>
    <w:p/>
    <w:p>
      <w:r>
        <w:t xml:space="preserve">### 8.3 Additional Mitigation Leadership Should Sponsor</w:t>
      </w:r>
    </w:p>
    <w:p/>
    <w:p>
      <w:r>
        <w:t xml:space="preserve">- automated parity checks as mandatory CI gates (not advisory)</w:t>
      </w:r>
    </w:p>
    <w:p>
      <w:r>
        <w:t xml:space="preserve">- machine-readable signoff schema</w:t>
      </w:r>
    </w:p>
    <w:p>
      <w:r>
        <w:t xml:space="preserve">- canonical cycle lock for final decisioning</w:t>
      </w:r>
    </w:p>
    <w:p>
      <w:r>
        <w:t xml:space="preserve">- continuous glossary and policy-term governance</w:t>
      </w:r>
    </w:p>
    <w:p/>
    <w:p>
      <w:pPr>
        <w:pStyle w:val="Heading2"/>
      </w:pPr>
      <w:r>
        <w:t xml:space="preserve">9. Financial and Delivery Implications</w:t>
      </w:r>
    </w:p>
    <w:p/>
    <w:p>
      <w:r>
        <w:t xml:space="preserve">### 9.1 Cost of Maintaining Current Trajectory</w:t>
      </w:r>
    </w:p>
    <w:p/>
    <w:p>
      <w:r>
        <w:t xml:space="preserve">Maintaining current rigor requires continued investment in:</w:t>
      </w:r>
    </w:p>
    <w:p>
      <w:r>
        <w:t xml:space="preserve">- integration and conformance automation</w:t>
      </w:r>
    </w:p>
    <w:p>
      <w:r>
        <w:t xml:space="preserve">- test depth expansion for planned phases</w:t>
      </w:r>
    </w:p>
    <w:p>
      <w:r>
        <w:t xml:space="preserve">- governance artifact discipline</w:t>
      </w:r>
    </w:p>
    <w:p/>
    <w:p>
      <w:r>
        <w:t xml:space="preserve">### 9.2 Cost of Not Maintaining Rigor</w:t>
      </w:r>
    </w:p>
    <w:p/>
    <w:p>
      <w:r>
        <w:t xml:space="preserve">If governance quality drops, likely outcomes are:</w:t>
      </w:r>
    </w:p>
    <w:p>
      <w:r>
        <w:t xml:space="preserve">- delayed releases due to late contradiction discovery</w:t>
      </w:r>
    </w:p>
    <w:p>
      <w:r>
        <w:t xml:space="preserve">- higher remediation cost</w:t>
      </w:r>
    </w:p>
    <w:p>
      <w:r>
        <w:t xml:space="preserve">- elevated compliance and reputational risk</w:t>
      </w:r>
    </w:p>
    <w:p>
      <w:r>
        <w:t xml:space="preserve">- increased manual intervention in support and operations</w:t>
      </w:r>
    </w:p>
    <w:p/>
    <w:p>
      <w:r>
        <w:t xml:space="preserve">### 9.3 Recommended Investment Priority</w:t>
      </w:r>
    </w:p>
    <w:p/>
    <w:p>
      <w:r>
        <w:t xml:space="preserve">Prioritize investment where it compounds value:</w:t>
      </w:r>
    </w:p>
    <w:p>
      <w:r>
        <w:t xml:space="preserve">1. hard-gate conformance automation</w:t>
      </w:r>
    </w:p>
    <w:p>
      <w:r>
        <w:t xml:space="preserve">2. phase expansion with clear scope (4A then 5 then 6)</w:t>
      </w:r>
    </w:p>
    <w:p>
      <w:r>
        <w:t xml:space="preserve">3. production-grade operational observability and cutover controls</w:t>
      </w:r>
    </w:p>
    <w:p/>
    <w:p>
      <w:pPr>
        <w:pStyle w:val="Heading2"/>
      </w:pPr>
      <w:r>
        <w:t xml:space="preserve">10. Strategic Positioning</w:t>
      </w:r>
    </w:p>
    <w:p/>
    <w:p>
      <w:r>
        <w:t xml:space="preserve">Tax Core should be treated as a strategic fiscal product capability, not a project endpoint. It provides:</w:t>
      </w:r>
    </w:p>
    <w:p>
      <w:r>
        <w:t xml:space="preserve">- a controlled compliance engine</w:t>
      </w:r>
    </w:p>
    <w:p>
      <w:r>
        <w:t xml:space="preserve">- extensible integration posture</w:t>
      </w:r>
    </w:p>
    <w:p>
      <w:r>
        <w:t xml:space="preserve">- evidence-based release governance</w:t>
      </w:r>
    </w:p>
    <w:p>
      <w:r>
        <w:t xml:space="preserve">- reusable architecture for future VAT and regulatory evolution</w:t>
      </w:r>
    </w:p>
    <w:p/>
    <w:p>
      <w:r>
        <w:t xml:space="preserve">For leadership, this enables a practical strategy: scale capability while preserving trust through deterministic behavior and auditable decisioning.</w:t>
      </w:r>
    </w:p>
    <w:p/>
    <w:p>
      <w:pPr>
        <w:pStyle w:val="Heading2"/>
      </w:pPr>
      <w:r>
        <w:t xml:space="preserve">11. Recommended Leadership Decisions (Next 90 Days)</w:t>
      </w:r>
    </w:p>
    <w:p/>
    <w:p>
      <w:r>
        <w:t xml:space="preserve">1. Approve continuation funding for Phase 4A integration hardening and Phase 5 scenario expansion.</w:t>
      </w:r>
    </w:p>
    <w:p>
      <w:r>
        <w:t xml:space="preserve">2. Mandate CI enforcement for contract-runtime parity and signoff completeness.</w:t>
      </w:r>
    </w:p>
    <w:p>
      <w:r>
        <w:t xml:space="preserve">3. Require one canonical release decision cycle ID per promotion.</w:t>
      </w:r>
    </w:p>
    <w:p>
      <w:r>
        <w:t xml:space="preserve">4. Formalize boundary policy communication in every release pack.</w:t>
      </w:r>
    </w:p>
    <w:p>
      <w:r>
        <w:t xml:space="preserve">5. Establish monthly leadership review of the risk watchlist and gate evidence health.</w:t>
      </w:r>
    </w:p>
    <w:p/>
    <w:p>
      <w:pPr>
        <w:pStyle w:val="Heading2"/>
      </w:pPr>
      <w:r>
        <w:t xml:space="preserve">12. Conclusion</w:t>
      </w:r>
    </w:p>
    <w:p/>
    <w:p>
      <w:r>
        <w:t xml:space="preserve">Tax Core is now beyond foundational experimentation. It is operating as a governed solution platform with demonstrable capability delivery and a credible control model.</w:t>
      </w:r>
    </w:p>
    <w:p/>
    <w:p>
      <w:r>
        <w:t xml:space="preserve">The leadership task ahead is to scale responsibly:</w:t>
      </w:r>
    </w:p>
    <w:p>
      <w:r>
        <w:t xml:space="preserve">- protect governance quality</w:t>
      </w:r>
    </w:p>
    <w:p>
      <w:r>
        <w:t xml:space="preserve">- invest in planned capability phases</w:t>
      </w:r>
    </w:p>
    <w:p>
      <w:r>
        <w:t xml:space="preserve">- keep evidence-based release decisioning non-negotiable</w:t>
      </w:r>
    </w:p>
    <w:p/>
    <w:p>
      <w:r>
        <w:t xml:space="preserve">If these conditions are maintained, Tax Core is positioned to deliver durable compliance value with lower volatility, clearer accountability, and stronger long-term adaptability.</w:t>
      </w:r>
    </w:p>
    <w:p/>
    <w:p>
      <w:pPr>
        <w:pStyle w:val="Heading2"/>
      </w:pPr>
      <w:r>
        <w:t xml:space="preserve">13. Source References (Repository)</w:t>
      </w:r>
    </w:p>
    <w:p/>
    <w:p>
      <w:r>
        <w:t xml:space="preserve">- `README.md`</w:t>
      </w:r>
    </w:p>
    <w:p>
      <w:r>
        <w:t xml:space="preserve">- `architecture/01-target-architecture-blueprint.md`</w:t>
      </w:r>
    </w:p>
    <w:p>
      <w:r>
        <w:t xml:space="preserve">- `design/01-vat-filing-assessment-solution-design.md`</w:t>
      </w:r>
    </w:p>
    <w:p>
      <w:r>
        <w:t xml:space="preserve">- `testing/04-gate-a-ci-spec.md`</w:t>
      </w:r>
    </w:p>
    <w:p>
      <w:r>
        <w:t xml:space="preserve">- `testing/05-gate-a-defect-remediation-tracker.md`</w:t>
      </w:r>
    </w:p>
    <w:p>
      <w:r>
        <w:t xml:space="preserve">- `database/runbooks/phase4-migration-runbook-governance.md`</w:t>
      </w:r>
    </w:p>
    <w:p>
      <w:r>
        <w:t xml:space="preserve">- `database/runbooks/2026-02-26-phase4-release-safety-evidence-pack.md`</w:t>
      </w:r>
    </w:p>
    <w:p>
      <w:r>
        <w:t xml:space="preserve">- `retrospective/*.md`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