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3A5C"/>
          <w:sz w:val="52"/>
          <w:szCs w:val="52"/>
        </w:rPr>
        <w:t xml:space="preserve">LLM Gateways &amp; Model Routing</w:t>
      </w:r>
    </w:p>
    <w:p>
      <w:pPr>
        <w:spacing w:after="60" w:before="0"/>
      </w:pPr>
      <w:r>
        <w:rPr>
          <w:rFonts w:ascii="Arial" w:cs="Arial" w:eastAsia="Arial" w:hAnsi="Arial"/>
          <w:i/>
          <w:iCs/>
          <w:color w:val="555555"/>
          <w:sz w:val="28"/>
          <w:szCs w:val="28"/>
        </w:rPr>
        <w:t xml:space="preserve">¿Conviene usar OpenRouter o LiteLLM en DataLens AI?</w:t>
      </w:r>
    </w:p>
    <w:p>
      <w:pPr>
        <w:pBdr>
          <w:bottom w:val="single" w:color="2563EB" w:sz="6" w:space="1"/>
        </w:pBdr>
        <w:spacing w:after="280" w:before="0"/>
      </w:pPr>
      <w:r>
        <w:rPr>
          <w:rFonts w:ascii="Arial" w:cs="Arial" w:eastAsia="Arial" w:hAnsi="Arial"/>
          <w:color w:val="888888"/>
          <w:sz w:val="20"/>
          <w:szCs w:val="20"/>
        </w:rPr>
        <w:t xml:space="preserve">Análisis técnico · Marzo 2026 · Proyecto Final de Máster en IA</w:t>
      </w:r>
    </w:p>
    <w:p>
      <w:pPr>
        <w:pStyle w:val="Heading1"/>
        <w:pBdr>
          <w:bottom w:val="single" w:color="2563EB" w:sz="4" w:space="1"/>
        </w:pBdr>
        <w:spacing w:after="160" w:before="320"/>
      </w:pPr>
      <w:r>
        <w:rPr>
          <w:rFonts w:ascii="Arial" w:cs="Arial" w:eastAsia="Arial" w:hAnsi="Arial"/>
          <w:b/>
          <w:bCs/>
          <w:color w:val="1A3A5C"/>
          <w:sz w:val="36"/>
          <w:szCs w:val="36"/>
        </w:rPr>
        <w:t xml:space="preserve">¿Qué es un LLM Gateway?</w:t>
      </w:r>
    </w:p>
    <w:p>
      <w:pPr>
        <w:spacing w:after="120" w:before="0"/>
      </w:pPr>
      <w:r>
        <w:rPr>
          <w:rFonts w:ascii="Arial" w:cs="Arial" w:eastAsia="Arial" w:hAnsi="Arial"/>
          <w:color w:val="333333"/>
          <w:sz w:val="22"/>
          <w:szCs w:val="22"/>
        </w:rPr>
        <w:t xml:space="preserve">Un LLM Gateway (o LLM Router) actúa como intermediario inteligente entre tu aplicación y múltiples proveedores de IA. En lugar de integrar cada proveedor por separado, se conecta una sola API que enruta los requests al modelo más adecuado según la complejidad, el costo o la disponibilidad.</w:t>
      </w:r>
    </w:p>
    <w:p>
      <w:pPr>
        <w:spacing w:after="200" w:before="0"/>
      </w:pPr>
      <w:r>
        <w:rPr>
          <w:rFonts w:ascii="Arial" w:cs="Arial" w:eastAsia="Arial" w:hAnsi="Arial"/>
          <w:color w:val="333333"/>
          <w:sz w:val="22"/>
          <w:szCs w:val="22"/>
        </w:rPr>
        <w:t xml:space="preserve">Los dos actores principales del mercado en 2026 son OpenRouter (SaaS gestionado, 290+ modelos, recaudó $40M en 2025) y LiteLLM (open-source, self-hosted, 100+ modelos, 470k+ descargas).</w:t>
      </w:r>
    </w:p>
    <w:p>
      <w:pPr>
        <w:pStyle w:val="Heading1"/>
        <w:pBdr>
          <w:bottom w:val="single" w:color="2563EB" w:sz="4" w:space="1"/>
        </w:pBdr>
        <w:spacing w:after="160" w:before="320"/>
      </w:pPr>
      <w:r>
        <w:rPr>
          <w:rFonts w:ascii="Arial" w:cs="Arial" w:eastAsia="Arial" w:hAnsi="Arial"/>
          <w:b/>
          <w:bCs/>
          <w:color w:val="1A3A5C"/>
          <w:sz w:val="36"/>
          <w:szCs w:val="36"/>
        </w:rPr>
        <w:t xml:space="preserve">Contexto: cómo gestiona modelos DataLens hoy</w:t>
      </w:r>
    </w:p>
    <w:p>
      <w:pPr>
        <w:spacing w:after="120" w:before="0"/>
      </w:pPr>
      <w:r>
        <w:rPr>
          <w:rFonts w:ascii="Arial" w:cs="Arial" w:eastAsia="Arial" w:hAnsi="Arial"/>
          <w:color w:val="333333"/>
          <w:sz w:val="22"/>
          <w:szCs w:val="22"/>
        </w:rPr>
        <w:t xml:space="preserve">DataLens ya tiene un sistema de routing propio en LLMService.ts que distingue dos niveles:</w:t>
      </w:r>
    </w:p>
    <w:p>
      <w:pPr>
        <w:spacing w:after="80" w:before="0"/>
      </w:pPr>
      <w:r>
        <w:t xml:space="preserve"/>
      </w:r>
    </w:p>
    <w:p>
      <w:pPr>
        <w:pStyle w:val="ListParagraph"/>
        <w:numPr>
          <w:ilvl w:val="0"/>
          <w:numId w:val="2"/>
        </w:numPr>
        <w:spacing w:after="40" w:before="40"/>
      </w:pPr>
      <w:r>
        <w:rPr>
          <w:rFonts w:ascii="Arial" w:cs="Arial" w:eastAsia="Arial" w:hAnsi="Arial"/>
          <w:b/>
          <w:bCs/>
          <w:color w:val="000000"/>
          <w:sz w:val="22"/>
          <w:szCs w:val="22"/>
        </w:rPr>
        <w:t xml:space="preserve">Gemini 2.5 Flash </w:t>
      </w:r>
      <w:r>
        <w:rPr>
          <w:rFonts w:ascii="Arial" w:cs="Arial" w:eastAsia="Arial" w:hAnsi="Arial"/>
          <w:color w:val="333333"/>
          <w:sz w:val="22"/>
          <w:szCs w:val="22"/>
        </w:rPr>
        <w:t xml:space="preserve">— agentes rápidos y estructurados (Profiler, Cleaner, FormatValidator, etc.)</w:t>
      </w:r>
    </w:p>
    <w:p>
      <w:pPr>
        <w:pStyle w:val="ListParagraph"/>
        <w:numPr>
          <w:ilvl w:val="0"/>
          <w:numId w:val="2"/>
        </w:numPr>
        <w:spacing w:after="40" w:before="40"/>
      </w:pPr>
      <w:r>
        <w:rPr>
          <w:rFonts w:ascii="Arial" w:cs="Arial" w:eastAsia="Arial" w:hAnsi="Arial"/>
          <w:b/>
          <w:bCs/>
          <w:color w:val="000000"/>
          <w:sz w:val="22"/>
          <w:szCs w:val="22"/>
        </w:rPr>
        <w:t xml:space="preserve">Gemini 2.5 Pro </w:t>
      </w:r>
      <w:r>
        <w:rPr>
          <w:rFonts w:ascii="Arial" w:cs="Arial" w:eastAsia="Arial" w:hAnsi="Arial"/>
          <w:color w:val="333333"/>
          <w:sz w:val="22"/>
          <w:szCs w:val="22"/>
        </w:rPr>
        <w:t xml:space="preserve">— agentes que requieren mayor razonamiento (AnalystAgent, ReportAgent, VizExpertAgent)</w:t>
      </w:r>
    </w:p>
    <w:p>
      <w:pPr>
        <w:spacing w:after="80" w:before="0"/>
      </w:pPr>
      <w:r>
        <w:t xml:space="preserve"/>
      </w:r>
    </w:p>
    <w:p>
      <w:pPr>
        <w:spacing w:after="200" w:before="0"/>
      </w:pPr>
      <w:r>
        <w:rPr>
          <w:rFonts w:ascii="Arial" w:cs="Arial" w:eastAsia="Arial" w:hAnsi="Arial"/>
          <w:color w:val="333333"/>
          <w:sz w:val="22"/>
          <w:szCs w:val="22"/>
        </w:rPr>
        <w:t xml:space="preserve">Este es routing manual, pero efectivo. La pregunta es si vale la pena reemplazarlo o complementarlo con un gateway externo.</w:t>
      </w:r>
    </w:p>
    <w:p>
      <w:pPr>
        <w:pStyle w:val="Heading1"/>
        <w:pBdr>
          <w:bottom w:val="single" w:color="2563EB" w:sz="4" w:space="1"/>
        </w:pBdr>
        <w:spacing w:after="160" w:before="320"/>
      </w:pPr>
      <w:r>
        <w:rPr>
          <w:rFonts w:ascii="Arial" w:cs="Arial" w:eastAsia="Arial" w:hAnsi="Arial"/>
          <w:b/>
          <w:bCs/>
          <w:color w:val="1A3A5C"/>
          <w:sz w:val="36"/>
          <w:szCs w:val="36"/>
        </w:rPr>
        <w:t xml:space="preserve">Tabla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Criterio</w:t>
            </w:r>
          </w:p>
        </w:tc>
        <w:tc>
          <w:tcPr>
            <w:tcW w:type="dxa" w:w="2386"/>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Gemini Directo (actual)</w:t>
            </w:r>
          </w:p>
        </w:tc>
        <w:tc>
          <w:tcPr>
            <w:tcW w:type="dxa" w:w="2387"/>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OpenRouter</w:t>
            </w:r>
          </w:p>
        </w:tc>
        <w:tc>
          <w:tcPr>
            <w:tcW w:type="dxa" w:w="2387"/>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LiteLLM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00000"/>
                <w:sz w:val="20"/>
                <w:szCs w:val="20"/>
              </w:rPr>
              <w:t xml:space="preserve">Setup</w:t>
            </w:r>
          </w:p>
        </w:tc>
        <w:tc>
          <w:tcPr>
            <w:tcW w:type="dxa" w:w="238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Ya configurado</w:t>
            </w:r>
          </w:p>
        </w:tc>
        <w:tc>
          <w:tcPr>
            <w:tcW w:type="dxa" w:w="238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5 minutos</w:t>
            </w:r>
          </w:p>
        </w:tc>
        <w:tc>
          <w:tcPr>
            <w:tcW w:type="dxa" w:w="238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30–60 minutos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00000"/>
                <w:sz w:val="20"/>
                <w:szCs w:val="20"/>
              </w:rPr>
              <w:t xml:space="preserve">Modelos disponibles</w:t>
            </w:r>
          </w:p>
        </w:tc>
        <w:tc>
          <w:tcPr>
            <w:tcW w:type="dxa" w:w="238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Flash + Pro</w:t>
            </w:r>
          </w:p>
        </w:tc>
        <w:tc>
          <w:tcPr>
            <w:tcW w:type="dxa" w:w="238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290+ (Claude, GPT, Mistral, DeepSeek…)</w:t>
            </w:r>
          </w:p>
        </w:tc>
        <w:tc>
          <w:tcPr>
            <w:tcW w:type="dxa" w:w="238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modelos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00000"/>
                <w:sz w:val="20"/>
                <w:szCs w:val="20"/>
              </w:rPr>
              <w:t xml:space="preserve">Costo por token</w:t>
            </w:r>
          </w:p>
        </w:tc>
        <w:tc>
          <w:tcPr>
            <w:tcW w:type="dxa" w:w="238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Precio oficial Google</w:t>
            </w:r>
          </w:p>
        </w:tc>
        <w:tc>
          <w:tcPr>
            <w:tcW w:type="dxa" w:w="238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Pass-through + markup mínimo</w:t>
            </w:r>
          </w:p>
        </w:tc>
        <w:tc>
          <w:tcPr>
            <w:tcW w:type="dxa" w:w="238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Solo infraestructura (self-hosted)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00000"/>
                <w:sz w:val="20"/>
                <w:szCs w:val="20"/>
              </w:rPr>
              <w:t xml:space="preserve">Dashboard de costos</w:t>
            </w:r>
          </w:p>
        </w:tc>
        <w:tc>
          <w:tcPr>
            <w:tcW w:type="dxa" w:w="238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 In-memory, no persiste</w:t>
            </w:r>
          </w:p>
        </w:tc>
        <w:tc>
          <w:tcPr>
            <w:tcW w:type="dxa" w:w="238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 Dashboard completo en la web</w:t>
            </w:r>
          </w:p>
        </w:tc>
        <w:tc>
          <w:tcPr>
            <w:tcW w:type="dxa" w:w="238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 Configurable con YAML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00000"/>
                <w:sz w:val="20"/>
                <w:szCs w:val="20"/>
              </w:rPr>
              <w:t xml:space="preserve">Fallback automático</w:t>
            </w:r>
          </w:p>
        </w:tc>
        <w:tc>
          <w:tcPr>
            <w:tcW w:type="dxa" w:w="238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Si Gemini cae, todo cae</w:t>
            </w:r>
          </w:p>
        </w:tc>
        <w:tc>
          <w:tcPr>
            <w:tcW w:type="dxa" w:w="238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Redirige a otro proveedor</w:t>
            </w:r>
          </w:p>
        </w:tc>
        <w:tc>
          <w:tcPr>
            <w:tcW w:type="dxa" w:w="238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Load balancing + retries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00000"/>
                <w:sz w:val="20"/>
                <w:szCs w:val="20"/>
              </w:rPr>
              <w:t xml:space="preserve">Latencia extra</w:t>
            </w:r>
          </w:p>
        </w:tc>
        <w:tc>
          <w:tcPr>
            <w:tcW w:type="dxa" w:w="238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Ninguna (directo)</w:t>
            </w:r>
          </w:p>
        </w:tc>
        <w:tc>
          <w:tcPr>
            <w:tcW w:type="dxa" w:w="238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Pequeño hop de red</w:t>
            </w:r>
          </w:p>
        </w:tc>
        <w:tc>
          <w:tcPr>
            <w:tcW w:type="dxa" w:w="238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Pequeño hop de red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00000"/>
                <w:sz w:val="20"/>
                <w:szCs w:val="20"/>
              </w:rPr>
              <w:t xml:space="preserve">Dependencia externa</w:t>
            </w:r>
          </w:p>
        </w:tc>
        <w:tc>
          <w:tcPr>
            <w:tcW w:type="dxa" w:w="238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Solo Google</w:t>
            </w:r>
          </w:p>
        </w:tc>
        <w:tc>
          <w:tcPr>
            <w:tcW w:type="dxa" w:w="238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OpenRouter como intermediario</w:t>
            </w:r>
          </w:p>
        </w:tc>
        <w:tc>
          <w:tcPr>
            <w:tcW w:type="dxa" w:w="238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Self-hosted, vos lo controlás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00000"/>
                <w:sz w:val="20"/>
                <w:szCs w:val="20"/>
              </w:rPr>
              <w:t xml:space="preserve">Cambio de código en LLMService.ts</w:t>
            </w:r>
          </w:p>
        </w:tc>
        <w:tc>
          <w:tcPr>
            <w:tcW w:type="dxa" w:w="238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8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Mínimo (1 archivo)</w:t>
            </w:r>
          </w:p>
        </w:tc>
        <w:tc>
          <w:tcPr>
            <w:tcW w:type="dxa" w:w="238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3333"/>
                <w:sz w:val="20"/>
                <w:szCs w:val="20"/>
              </w:rPr>
              <w:t xml:space="preserve">Mínimo (1 archivo)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00000"/>
                <w:sz w:val="20"/>
                <w:szCs w:val="20"/>
              </w:rPr>
              <w:t xml:space="preserve">Recomendado para TFM</w:t>
            </w:r>
          </w:p>
        </w:tc>
        <w:tc>
          <w:tcPr>
            <w:tcW w:type="dxa" w:w="238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Ahora sí</w:t>
            </w:r>
          </w:p>
        </w:tc>
        <w:tc>
          <w:tcPr>
            <w:tcW w:type="dxa" w:w="238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Útil pero no urgente</w:t>
            </w:r>
          </w:p>
        </w:tc>
        <w:tc>
          <w:tcPr>
            <w:tcW w:type="dxa" w:w="238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Demasiado setup</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00000"/>
                <w:sz w:val="20"/>
                <w:szCs w:val="20"/>
              </w:rPr>
              <w:t xml:space="preserve">Recomendado para producción</w:t>
            </w:r>
          </w:p>
        </w:tc>
        <w:tc>
          <w:tcPr>
            <w:tcW w:type="dxa" w:w="238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Sin fallback ni dashboard</w:t>
            </w:r>
          </w:p>
        </w:tc>
        <w:tc>
          <w:tcPr>
            <w:tcW w:type="dxa" w:w="238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Primera opción</w:t>
            </w:r>
          </w:p>
        </w:tc>
        <w:tc>
          <w:tcPr>
            <w:tcW w:type="dxa" w:w="238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Si necesitás control total</w:t>
            </w:r>
          </w:p>
        </w:tc>
      </w:tr>
    </w:tbl>
    <w:p>
      <w:pPr>
        <w:spacing w:after="80" w:before="0"/>
      </w:pPr>
      <w:r>
        <w:t xml:space="preserve"/>
      </w:r>
    </w:p>
    <w:p>
      <w:pPr>
        <w:pStyle w:val="Heading1"/>
        <w:pBdr>
          <w:bottom w:val="single" w:color="2563EB" w:sz="4" w:space="1"/>
        </w:pBdr>
        <w:spacing w:after="160" w:before="320"/>
      </w:pPr>
      <w:r>
        <w:rPr>
          <w:rFonts w:ascii="Arial" w:cs="Arial" w:eastAsia="Arial" w:hAnsi="Arial"/>
          <w:b/>
          <w:bCs/>
          <w:color w:val="1A3A5C"/>
          <w:sz w:val="36"/>
          <w:szCs w:val="36"/>
        </w:rPr>
        <w:t xml:space="preserve">Ventajas y desventajas de adoptar OpenRouter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66534" w:sz="1"/>
              <w:left w:val="single" w:color="166534" w:sz="1"/>
              <w:bottom w:val="single" w:color="166534" w:sz="1"/>
              <w:right w:val="single" w:color="166534" w:sz="1"/>
            </w:tcBorders>
            <w:shd w:fill="166534"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VENTAJAS — OpenRouter</w:t>
            </w:r>
          </w:p>
        </w:tc>
        <w:tc>
          <w:tcPr>
            <w:tcW w:type="dxa" w:w="4680"/>
            <w:tcBorders>
              <w:top w:val="single" w:color="991B1B" w:sz="1"/>
              <w:left w:val="single" w:color="991B1B" w:sz="1"/>
              <w:bottom w:val="single" w:color="991B1B" w:sz="1"/>
              <w:right w:val="single" w:color="991B1B" w:sz="1"/>
            </w:tcBorders>
            <w:shd w:fill="991B1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DESVENTAJAS — OpenRouter</w:t>
            </w:r>
          </w:p>
        </w:tc>
      </w:tr>
      <w:tr>
        <w:tc>
          <w:tcPr>
            <w:tcW w:type="dxa" w:w="4680"/>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pPr>
              <w:spacing w:after="40" w:before="60"/>
            </w:pPr>
            <w:r>
              <w:rPr>
                <w:rFonts w:ascii="Arial" w:cs="Arial" w:eastAsia="Arial" w:hAnsi="Arial"/>
                <w:b/>
                <w:bCs/>
                <w:color w:val="166534"/>
                <w:sz w:val="20"/>
                <w:szCs w:val="20"/>
              </w:rPr>
              <w:t xml:space="preserve">Fallback automático entre proveedores</w:t>
            </w:r>
          </w:p>
          <w:p>
            <w:pPr>
              <w:spacing w:after="100"/>
            </w:pPr>
            <w:r>
              <w:rPr>
                <w:rFonts w:ascii="Arial" w:cs="Arial" w:eastAsia="Arial" w:hAnsi="Arial"/>
                <w:i/>
                <w:iCs/>
                <w:color w:val="444444"/>
                <w:sz w:val="19"/>
                <w:szCs w:val="19"/>
              </w:rPr>
              <w:t xml:space="preserve">Si Gemini tiene un outage durante la demo del TFM, la app sigue funcionando con Claude o GPT-4.</w:t>
            </w:r>
          </w:p>
          <w:p>
            <w:pPr>
              <w:spacing w:after="40" w:before="60"/>
            </w:pPr>
            <w:r>
              <w:rPr>
                <w:rFonts w:ascii="Arial" w:cs="Arial" w:eastAsia="Arial" w:hAnsi="Arial"/>
                <w:b/>
                <w:bCs/>
                <w:color w:val="166534"/>
                <w:sz w:val="20"/>
                <w:szCs w:val="20"/>
              </w:rPr>
              <w:t xml:space="preserve">Dashboard de costos real y persistente</w:t>
            </w:r>
          </w:p>
          <w:p>
            <w:pPr>
              <w:spacing w:after="100"/>
            </w:pPr>
            <w:r>
              <w:rPr>
                <w:rFonts w:ascii="Arial" w:cs="Arial" w:eastAsia="Arial" w:hAnsi="Arial"/>
                <w:i/>
                <w:iCs/>
                <w:color w:val="444444"/>
                <w:sz w:val="19"/>
                <w:szCs w:val="19"/>
              </w:rPr>
              <w:t xml:space="preserve">Reemplaza el TokenTracker in-memory actual, que no funciona bien en serverless.</w:t>
            </w:r>
          </w:p>
          <w:p>
            <w:pPr>
              <w:spacing w:after="40" w:before="60"/>
            </w:pPr>
            <w:r>
              <w:rPr>
                <w:rFonts w:ascii="Arial" w:cs="Arial" w:eastAsia="Arial" w:hAnsi="Arial"/>
                <w:b/>
                <w:bCs/>
                <w:color w:val="166534"/>
                <w:sz w:val="20"/>
                <w:szCs w:val="20"/>
              </w:rPr>
              <w:t xml:space="preserve">290+ modelos con un solo cambio de config</w:t>
            </w:r>
          </w:p>
          <w:p>
            <w:pPr>
              <w:spacing w:after="100"/>
            </w:pPr>
            <w:r>
              <w:rPr>
                <w:rFonts w:ascii="Arial" w:cs="Arial" w:eastAsia="Arial" w:hAnsi="Arial"/>
                <w:i/>
                <w:iCs/>
                <w:color w:val="444444"/>
                <w:sz w:val="19"/>
                <w:szCs w:val="19"/>
              </w:rPr>
              <w:t xml:space="preserve">Probar si Claude Sonnet hace mejor análisis que Gemini Pro es cambiar un string.</w:t>
            </w:r>
          </w:p>
          <w:p>
            <w:pPr>
              <w:spacing w:after="40" w:before="60"/>
            </w:pPr>
            <w:r>
              <w:rPr>
                <w:rFonts w:ascii="Arial" w:cs="Arial" w:eastAsia="Arial" w:hAnsi="Arial"/>
                <w:b/>
                <w:bCs/>
                <w:color w:val="166534"/>
                <w:sz w:val="20"/>
                <w:szCs w:val="20"/>
              </w:rPr>
              <w:t xml:space="preserve">API compatible con OpenAI</w:t>
            </w:r>
          </w:p>
          <w:p>
            <w:pPr>
              <w:spacing w:after="80"/>
            </w:pPr>
            <w:r>
              <w:rPr>
                <w:rFonts w:ascii="Arial" w:cs="Arial" w:eastAsia="Arial" w:hAnsi="Arial"/>
                <w:i/>
                <w:iCs/>
                <w:color w:val="444444"/>
                <w:sz w:val="19"/>
                <w:szCs w:val="19"/>
              </w:rPr>
              <w:t xml:space="preserve">LLMService.ts solo necesita cambiar el cliente y el base URL.</w:t>
            </w:r>
          </w:p>
        </w:tc>
        <w:tc>
          <w:tcPr>
            <w:tcW w:type="dxa" w:w="4680"/>
            <w:tcBorders>
              <w:top w:val="single" w:color="991B1B" w:sz="1"/>
              <w:left w:val="single" w:color="991B1B" w:sz="1"/>
              <w:bottom w:val="single" w:color="991B1B" w:sz="1"/>
              <w:right w:val="single" w:color="991B1B" w:sz="1"/>
            </w:tcBorders>
            <w:shd w:fill="FEE2E2" w:val="clear"/>
            <w:tcMar>
              <w:top w:type="dxa" w:w="120"/>
              <w:left w:type="dxa" w:w="160"/>
              <w:bottom w:type="dxa" w:w="120"/>
              <w:right w:type="dxa" w:w="160"/>
            </w:tcMar>
          </w:tcPr>
          <w:p>
            <w:pPr>
              <w:spacing w:after="40" w:before="60"/>
            </w:pPr>
            <w:r>
              <w:rPr>
                <w:rFonts w:ascii="Arial" w:cs="Arial" w:eastAsia="Arial" w:hAnsi="Arial"/>
                <w:b/>
                <w:bCs/>
                <w:color w:val="991B1B"/>
                <w:sz w:val="20"/>
                <w:szCs w:val="20"/>
              </w:rPr>
              <w:t xml:space="preserve">Markup sobre el precio base</w:t>
            </w:r>
          </w:p>
          <w:p>
            <w:pPr>
              <w:spacing w:after="100"/>
            </w:pPr>
            <w:r>
              <w:rPr>
                <w:rFonts w:ascii="Arial" w:cs="Arial" w:eastAsia="Arial" w:hAnsi="Arial"/>
                <w:i/>
                <w:iCs/>
                <w:color w:val="444444"/>
                <w:sz w:val="19"/>
                <w:szCs w:val="19"/>
              </w:rPr>
              <w:t xml:space="preserve">OpenRouter agrega un pequeño costo extra sobre el precio oficial de cada proveedor.</w:t>
            </w:r>
          </w:p>
          <w:p>
            <w:pPr>
              <w:spacing w:after="40" w:before="60"/>
            </w:pPr>
            <w:r>
              <w:rPr>
                <w:rFonts w:ascii="Arial" w:cs="Arial" w:eastAsia="Arial" w:hAnsi="Arial"/>
                <w:b/>
                <w:bCs/>
                <w:color w:val="991B1B"/>
                <w:sz w:val="20"/>
                <w:szCs w:val="20"/>
              </w:rPr>
              <w:t xml:space="preserve">Dependencia de un intermediario</w:t>
            </w:r>
          </w:p>
          <w:p>
            <w:pPr>
              <w:spacing w:after="100"/>
            </w:pPr>
            <w:r>
              <w:rPr>
                <w:rFonts w:ascii="Arial" w:cs="Arial" w:eastAsia="Arial" w:hAnsi="Arial"/>
                <w:i/>
                <w:iCs/>
                <w:color w:val="444444"/>
                <w:sz w:val="19"/>
                <w:szCs w:val="19"/>
              </w:rPr>
              <w:t xml:space="preserve">Agregás otro punto de fallo a la arquitectura. Si OpenRouter tiene problemas, afecta a toda la app.</w:t>
            </w:r>
          </w:p>
          <w:p>
            <w:pPr>
              <w:spacing w:after="40" w:before="60"/>
            </w:pPr>
            <w:r>
              <w:rPr>
                <w:rFonts w:ascii="Arial" w:cs="Arial" w:eastAsia="Arial" w:hAnsi="Arial"/>
                <w:b/>
                <w:bCs/>
                <w:color w:val="991B1B"/>
                <w:sz w:val="20"/>
                <w:szCs w:val="20"/>
              </w:rPr>
              <w:t xml:space="preserve">Latencia adicional en cada llamada</w:t>
            </w:r>
          </w:p>
          <w:p>
            <w:pPr>
              <w:spacing w:after="100"/>
            </w:pPr>
            <w:r>
              <w:rPr>
                <w:rFonts w:ascii="Arial" w:cs="Arial" w:eastAsia="Arial" w:hAnsi="Arial"/>
                <w:i/>
                <w:iCs/>
                <w:color w:val="444444"/>
                <w:sz w:val="19"/>
                <w:szCs w:val="19"/>
              </w:rPr>
              <w:t xml:space="preserve">Pequeña pero existe. En el pipeline con Gemini Thinking (Pro) ya es lento; sumar un hop es subóptimo.</w:t>
            </w:r>
          </w:p>
          <w:p>
            <w:pPr>
              <w:spacing w:after="40" w:before="60"/>
            </w:pPr>
            <w:r>
              <w:rPr>
                <w:rFonts w:ascii="Arial" w:cs="Arial" w:eastAsia="Arial" w:hAnsi="Arial"/>
                <w:b/>
                <w:bCs/>
                <w:color w:val="991B1B"/>
                <w:sz w:val="20"/>
                <w:szCs w:val="20"/>
              </w:rPr>
              <w:t xml:space="preserve">El routing automático no es tan mágico</w:t>
            </w:r>
          </w:p>
          <w:p>
            <w:pPr>
              <w:spacing w:after="80"/>
            </w:pPr>
            <w:r>
              <w:rPr>
                <w:rFonts w:ascii="Arial" w:cs="Arial" w:eastAsia="Arial" w:hAnsi="Arial"/>
                <w:i/>
                <w:iCs/>
                <w:color w:val="444444"/>
                <w:sz w:val="19"/>
                <w:szCs w:val="19"/>
              </w:rPr>
              <w:t xml:space="preserve">Igual tenés que definir vos qué es 'complejo'. DataLens ya tiene un sistema Flash/Pro equivalente.</w:t>
            </w:r>
          </w:p>
        </w:tc>
      </w:tr>
    </w:tbl>
    <w:p>
      <w:pPr>
        <w:spacing w:after="80" w:before="0"/>
      </w:pPr>
      <w:r>
        <w:t xml:space="preserve"/>
      </w:r>
    </w:p>
    <w:p>
      <w:pPr>
        <w:pStyle w:val="Heading1"/>
        <w:pBdr>
          <w:bottom w:val="single" w:color="2563EB" w:sz="4" w:space="1"/>
        </w:pBdr>
        <w:spacing w:after="160" w:before="320"/>
      </w:pPr>
      <w:r>
        <w:rPr>
          <w:rFonts w:ascii="Arial" w:cs="Arial" w:eastAsia="Arial" w:hAnsi="Arial"/>
          <w:b/>
          <w:bCs/>
          <w:color w:val="1A3A5C"/>
          <w:sz w:val="36"/>
          <w:szCs w:val="36"/>
        </w:rPr>
        <w:t xml:space="preserve">Recomendación para DataLens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60"/>
              <w:left w:type="dxa" w:w="200"/>
              <w:bottom w:type="dxa" w:w="160"/>
              <w:right w:type="dxa" w:w="200"/>
            </w:tcMar>
          </w:tcPr>
          <w:p>
            <w:pPr>
              <w:spacing w:after="120"/>
            </w:pPr>
            <w:r>
              <w:rPr>
                <w:rFonts w:ascii="Arial" w:cs="Arial" w:eastAsia="Arial" w:hAnsi="Arial"/>
                <w:b/>
                <w:bCs/>
                <w:color w:val="1A3A5C"/>
                <w:sz w:val="24"/>
                <w:szCs w:val="24"/>
              </w:rPr>
              <w:t xml:space="preserve">💡  RECOMENDACIÓN PARA DATALENS AI</w:t>
            </w:r>
          </w:p>
          <w:p>
            <w:pPr>
              <w:spacing w:after="80"/>
            </w:pPr>
            <w:r>
              <w:rPr>
                <w:rFonts w:ascii="Arial" w:cs="Arial" w:eastAsia="Arial" w:hAnsi="Arial"/>
                <w:b/>
                <w:bCs/>
                <w:color w:val="1A3A5C"/>
                <w:sz w:val="22"/>
                <w:szCs w:val="22"/>
              </w:rPr>
              <w:t xml:space="preserve">Ahora (TFM / demo): </w:t>
            </w:r>
            <w:r>
              <w:rPr>
                <w:rFonts w:ascii="Arial" w:cs="Arial" w:eastAsia="Arial" w:hAnsi="Arial"/>
                <w:color w:val="333333"/>
                <w:sz w:val="22"/>
                <w:szCs w:val="22"/>
              </w:rPr>
              <w:t xml:space="preserve">Seguir con Gemini directo. El tiempo vale más invertirlo en features.</w:t>
            </w:r>
          </w:p>
          <w:p>
            <w:pPr>
              <w:spacing w:after="80"/>
            </w:pPr>
            <w:r>
              <w:rPr>
                <w:rFonts w:ascii="Arial" w:cs="Arial" w:eastAsia="Arial" w:hAnsi="Arial"/>
                <w:b/>
                <w:bCs/>
                <w:color w:val="1A3A5C"/>
                <w:sz w:val="22"/>
                <w:szCs w:val="22"/>
              </w:rPr>
              <w:t xml:space="preserve">Refactorizar ya: </w:t>
            </w:r>
            <w:r>
              <w:rPr>
                <w:rFonts w:ascii="Arial" w:cs="Arial" w:eastAsia="Arial" w:hAnsi="Arial"/>
                <w:color w:val="333333"/>
                <w:sz w:val="22"/>
                <w:szCs w:val="22"/>
              </w:rPr>
              <w:t xml:space="preserve">Hacer que el proveedor sea configurable por variable de entorno en LLMService.ts. Así cuando llegue el momento, es un cambio de una línea.</w:t>
            </w:r>
          </w:p>
          <w:p>
            <w:pPr>
              <w:spacing w:after="0"/>
            </w:pPr>
            <w:r>
              <w:rPr>
                <w:rFonts w:ascii="Arial" w:cs="Arial" w:eastAsia="Arial" w:hAnsi="Arial"/>
                <w:b/>
                <w:bCs/>
                <w:color w:val="1A3A5C"/>
                <w:sz w:val="22"/>
                <w:szCs w:val="22"/>
              </w:rPr>
              <w:t xml:space="preserve">Para producción con usuarios reales: </w:t>
            </w:r>
            <w:r>
              <w:rPr>
                <w:rFonts w:ascii="Arial" w:cs="Arial" w:eastAsia="Arial" w:hAnsi="Arial"/>
                <w:color w:val="333333"/>
                <w:sz w:val="22"/>
                <w:szCs w:val="22"/>
              </w:rPr>
              <w:t xml:space="preserve">Sí vale migrar a OpenRouter. El fallback automático y el dashboard de costos justifican el cambio. La migración es solo reescribir LLMService.ts (1 día de trabajo).</w:t>
            </w:r>
          </w:p>
        </w:tc>
      </w:tr>
    </w:tbl>
    <w:p>
      <w:pPr>
        <w:spacing w:after="80" w:before="0"/>
      </w:pPr>
      <w:r>
        <w:t xml:space="preserve"/>
      </w:r>
    </w:p>
    <w:p>
      <w:pPr>
        <w:pStyle w:val="Heading1"/>
        <w:pBdr>
          <w:bottom w:val="single" w:color="2563EB" w:sz="4" w:space="1"/>
        </w:pBdr>
        <w:spacing w:after="160" w:before="320"/>
      </w:pPr>
      <w:r>
        <w:rPr>
          <w:rFonts w:ascii="Arial" w:cs="Arial" w:eastAsia="Arial" w:hAnsi="Arial"/>
          <w:b/>
          <w:bCs/>
          <w:color w:val="1A3A5C"/>
          <w:sz w:val="36"/>
          <w:szCs w:val="36"/>
        </w:rPr>
        <w:t xml:space="preserve">Cómo sería la migración (cuando llegue el momento)</w:t>
      </w:r>
    </w:p>
    <w:p>
      <w:pPr>
        <w:spacing w:after="120" w:before="0"/>
      </w:pPr>
      <w:r>
        <w:rPr>
          <w:rFonts w:ascii="Arial" w:cs="Arial" w:eastAsia="Arial" w:hAnsi="Arial"/>
          <w:color w:val="333333"/>
          <w:sz w:val="22"/>
          <w:szCs w:val="22"/>
        </w:rPr>
        <w:t xml:space="preserve">El LLMService.ts está centralizado: todos los agentes llaman a LLMService.call() y LLMService.callRaw(). Migrar a OpenRouter implicaría únicamente cambiar ese archivo. El resto de la arquitectura —agentes, ManagerAgent, route.ts— no se toca.</w:t>
      </w:r>
    </w:p>
    <w:p>
      <w:pPr>
        <w:spacing w:after="120" w:before="0"/>
      </w:pPr>
      <w:r>
        <w:rPr>
          <w:rFonts w:ascii="Arial" w:cs="Arial" w:eastAsia="Arial" w:hAnsi="Arial"/>
          <w:color w:val="333333"/>
          <w:sz w:val="22"/>
          <w:szCs w:val="22"/>
        </w:rPr>
        <w:t xml:space="preserve">OpenRouter expone una API compatible con el SDK de OpenAI, por lo que el cambio de librería es mínimo: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60"/>
            </w:pPr>
            <w:r>
              <w:rPr>
                <w:rFonts w:ascii="Courier New" w:cs="Courier New" w:eastAsia="Courier New" w:hAnsi="Courier New"/>
                <w:i/>
                <w:iCs/>
                <w:color w:val="94A3B8"/>
                <w:sz w:val="18"/>
                <w:szCs w:val="18"/>
              </w:rPr>
              <w:t xml:space="preserve">// LLMService.ts — migración a OpenRouter (cambio mínimo)</w:t>
            </w:r>
          </w:p>
          <w:p>
            <w:pPr>
              <w:spacing w:after="0"/>
            </w:pPr>
            <w:r>
              <w:rPr>
                <w:rFonts w:ascii="Courier New" w:cs="Courier New" w:eastAsia="Courier New" w:hAnsi="Courier New"/>
                <w:color w:val="E2E8F0"/>
                <w:sz w:val="20"/>
                <w:szCs w:val="20"/>
              </w:rPr>
              <w:t xml:space="preserve">const client = new OpenAI({</w:t>
            </w:r>
          </w:p>
          <w:p>
            <w:pPr>
              <w:spacing w:after="0"/>
            </w:pPr>
            <w:r>
              <w:rPr>
                <w:rFonts w:ascii="Courier New" w:cs="Courier New" w:eastAsia="Courier New" w:hAnsi="Courier New"/>
                <w:color w:val="86EFAC"/>
                <w:sz w:val="20"/>
                <w:szCs w:val="20"/>
              </w:rPr>
              <w:t xml:space="preserve">  baseURL: 'https://openrouter.ai/api/v1',</w:t>
            </w:r>
          </w:p>
          <w:p>
            <w:pPr>
              <w:spacing w:after="0"/>
            </w:pPr>
            <w:r>
              <w:rPr>
                <w:rFonts w:ascii="Courier New" w:cs="Courier New" w:eastAsia="Courier New" w:hAnsi="Courier New"/>
                <w:color w:val="86EFAC"/>
                <w:sz w:val="20"/>
                <w:szCs w:val="20"/>
              </w:rPr>
              <w:t xml:space="preserve">  apiKey: process.env.OPENROUTER_API_KEY,</w:t>
            </w:r>
          </w:p>
          <w:p>
            <w:pPr>
              <w:spacing w:after="80"/>
            </w:pPr>
            <w:r>
              <w:rPr>
                <w:rFonts w:ascii="Courier New" w:cs="Courier New" w:eastAsia="Courier New" w:hAnsi="Courier New"/>
                <w:color w:val="E2E8F0"/>
                <w:sz w:val="20"/>
                <w:szCs w:val="20"/>
              </w:rPr>
              <w:t xml:space="preserve">});</w:t>
            </w:r>
          </w:p>
          <w:p>
            <w:pPr>
              <w:spacing w:after="60"/>
            </w:pPr>
            <w:r>
              <w:rPr>
                <w:rFonts w:ascii="Courier New" w:cs="Courier New" w:eastAsia="Courier New" w:hAnsi="Courier New"/>
                <w:i/>
                <w:iCs/>
                <w:color w:val="94A3B8"/>
                <w:sz w:val="18"/>
                <w:szCs w:val="18"/>
              </w:rPr>
              <w:t xml:space="preserve">// Flash → google/gemini-2.5-flash  |  Pro → google/gemini-2.5-pro</w:t>
            </w:r>
          </w:p>
          <w:p>
            <w:pPr>
              <w:spacing w:after="0"/>
            </w:pPr>
            <w:r>
              <w:rPr>
                <w:rFonts w:ascii="Courier New" w:cs="Courier New" w:eastAsia="Courier New" w:hAnsi="Courier New"/>
                <w:i/>
                <w:iCs/>
                <w:color w:val="94A3B8"/>
                <w:sz w:val="18"/>
                <w:szCs w:val="18"/>
              </w:rPr>
              <w:t xml:space="preserve">// O cambiar a: anthropic/claude-sonnet-4-5  para AnalystAgent</w:t>
            </w:r>
          </w:p>
        </w:tc>
      </w:tr>
    </w:tbl>
    <w:p>
      <w:pPr>
        <w:spacing w:after="80" w:before="0"/>
      </w:pPr>
      <w:r>
        <w:t xml:space="preserve"/>
      </w:r>
    </w:p>
    <w:p>
      <w:pPr>
        <w:spacing w:after="200" w:before="0"/>
      </w:pPr>
      <w:r>
        <w:rPr>
          <w:rFonts w:ascii="Arial" w:cs="Arial" w:eastAsia="Arial" w:hAnsi="Arial"/>
          <w:color w:val="333333"/>
          <w:sz w:val="22"/>
          <w:szCs w:val="22"/>
        </w:rPr>
        <w:t xml:space="preserve">Tiempo estimado de migración: 1 día de trabajo. Variables de entorno adicionales: solo OPENROUTER_API_KEY.</w:t>
      </w:r>
    </w:p>
    <w:p>
      <w:pPr>
        <w:pStyle w:val="Heading1"/>
        <w:pBdr>
          <w:bottom w:val="single" w:color="2563EB" w:sz="4" w:space="1"/>
        </w:pBdr>
        <w:spacing w:after="160" w:before="320"/>
      </w:pPr>
      <w:r>
        <w:rPr>
          <w:rFonts w:ascii="Arial" w:cs="Arial" w:eastAsia="Arial" w:hAnsi="Arial"/>
          <w:b/>
          <w:bCs/>
          <w:color w:val="1A3A5C"/>
          <w:sz w:val="36"/>
          <w:szCs w:val="36"/>
        </w:rPr>
        <w:t xml:space="preserve">Conclusión</w:t>
      </w:r>
    </w:p>
    <w:p>
      <w:pPr>
        <w:spacing w:after="100" w:before="0"/>
      </w:pPr>
      <w:r>
        <w:rPr>
          <w:rFonts w:ascii="Arial" w:cs="Arial" w:eastAsia="Arial" w:hAnsi="Arial"/>
          <w:color w:val="333333"/>
          <w:sz w:val="22"/>
          <w:szCs w:val="22"/>
        </w:rPr>
        <w:t xml:space="preserve">Para la etapa actual del proyecto (TFM, demo, desarrollo local), Gemini directo es la opción correcta. La arquitectura de LLMService ya contempla dos niveles de modelo, lo que cubre el routing básico.</w:t>
      </w:r>
    </w:p>
    <w:p>
      <w:pPr>
        <w:spacing w:after="100" w:before="0"/>
      </w:pPr>
      <w:r>
        <w:rPr>
          <w:rFonts w:ascii="Arial" w:cs="Arial" w:eastAsia="Arial" w:hAnsi="Arial"/>
          <w:color w:val="333333"/>
          <w:sz w:val="22"/>
          <w:szCs w:val="22"/>
        </w:rPr>
        <w:t xml:space="preserve">Para un deploy en producción con usuarios reales, OpenRouter agrega tres beneficios concretos que justifican el cambio: fallback automático ante outages, dashboard de costos persistente (que reemplaza el TokenTracker actual, que no funciona bien en serverless), y flexibilidad para experimentar con otros modelos sin cambios de código.</w:t>
      </w:r>
    </w:p>
    <w:p>
      <w:pPr>
        <w:spacing w:after="200" w:before="0"/>
      </w:pPr>
      <w:r>
        <w:rPr>
          <w:rFonts w:ascii="Arial" w:cs="Arial" w:eastAsia="Arial" w:hAnsi="Arial"/>
          <w:color w:val="333333"/>
          <w:sz w:val="22"/>
          <w:szCs w:val="22"/>
        </w:rPr>
        <w:t xml:space="preserve">LiteLLM queda descartado para este proyecto por su overhead de configuración, que no está justificado en el contexto académico ni en la escala actual.</w:t>
      </w:r>
    </w:p>
    <w:p>
      <w:pPr>
        <w:pBdr>
          <w:top w:val="single" w:color="CBD5E1" w:sz="2" w:space="1"/>
        </w:pBdr>
        <w:spacing w:after="80" w:before="120"/>
      </w:pPr>
      <w:r>
        <w:rPr>
          <w:rFonts w:ascii="Arial" w:cs="Arial" w:eastAsia="Arial" w:hAnsi="Arial"/>
          <w:b/>
          <w:bCs/>
          <w:color w:val="888888"/>
          <w:sz w:val="20"/>
          <w:szCs w:val="20"/>
        </w:rPr>
        <w:t xml:space="preserve">Fuentes</w:t>
      </w:r>
    </w:p>
    <w:p>
      <w:pPr>
        <w:spacing w:after="40"/>
      </w:pPr>
      <w:hyperlink w:history="1" r:id="rId2b8blul2zs__1bru7vaja">
        <w:r>
          <w:rPr>
            <w:rStyle w:val="Hyperlink"/>
            <w:rFonts w:ascii="Arial" w:cs="Arial" w:eastAsia="Arial" w:hAnsi="Arial"/>
            <w:sz w:val="18"/>
            <w:szCs w:val="18"/>
          </w:rPr>
          <w:t xml:space="preserve">openrouter.ai — OpenRouter official</w:t>
        </w:r>
      </w:hyperlink>
    </w:p>
    <w:p>
      <w:pPr>
        <w:spacing w:after="40"/>
      </w:pPr>
      <w:hyperlink w:history="1" r:id="rId2m--dftg115i_ygncxikm">
        <w:r>
          <w:rPr>
            <w:rStyle w:val="Hyperlink"/>
            <w:rFonts w:ascii="Arial" w:cs="Arial" w:eastAsia="Arial" w:hAnsi="Arial"/>
            <w:sz w:val="18"/>
            <w:szCs w:val="18"/>
          </w:rPr>
          <w:t xml:space="preserve">TrueFoundry — LiteLLM vs OpenRouter comparison</w:t>
        </w:r>
      </w:hyperlink>
    </w:p>
    <w:p>
      <w:pPr>
        <w:spacing w:after="40"/>
      </w:pPr>
      <w:hyperlink w:history="1" r:id="rIdtexs3tnfm2bij5tzsajux">
        <w:r>
          <w:rPr>
            <w:rStyle w:val="Hyperlink"/>
            <w:rFonts w:ascii="Arial" w:cs="Arial" w:eastAsia="Arial" w:hAnsi="Arial"/>
            <w:sz w:val="18"/>
            <w:szCs w:val="18"/>
          </w:rPr>
          <w:t xml:space="preserve">Maxim AI — Best Enterprise LLM Gateways in 2026</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1"/>
      </w:pBdr>
      <w:tabs>
        <w:tab w:val="right" w:pos="7920"/>
      </w:tabs>
      <w:spacing w:before="80"/>
    </w:pPr>
    <w:r>
      <w:rPr>
        <w:rFonts w:ascii="Arial" w:cs="Arial" w:eastAsia="Arial" w:hAnsi="Arial"/>
        <w:color w:val="AAAAAA"/>
        <w:sz w:val="16"/>
        <w:szCs w:val="16"/>
      </w:rPr>
      <w:t xml:space="preserve">Documento interno del proyecto · Uso académico</w:t>
    </w:r>
    <w:r>
      <w:rPr>
        <w:rFonts w:ascii="Arial" w:cs="Arial" w:eastAsia="Arial" w:hAnsi="Arial"/>
        <w:color w:val="AAAAAA"/>
        <w:sz w:val="16"/>
        <w:szCs w:val="16"/>
      </w:rPr>
      <w:t xml:space="preserve">	Página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1"/>
      </w:pBdr>
      <w:tabs>
        <w:tab w:val="right" w:pos="7920"/>
      </w:tabs>
      <w:spacing w:after="0"/>
    </w:pPr>
    <w:r>
      <w:rPr>
        <w:rFonts w:ascii="Arial" w:cs="Arial" w:eastAsia="Arial" w:hAnsi="Arial"/>
        <w:b/>
        <w:bCs/>
        <w:color w:val="1A3A5C"/>
        <w:sz w:val="18"/>
        <w:szCs w:val="18"/>
      </w:rPr>
      <w:t xml:space="preserve">DataLens AI — Análisis Técnico</w:t>
    </w:r>
    <w:r>
      <w:rPr>
        <w:rFonts w:ascii="Arial" w:cs="Arial" w:eastAsia="Arial" w:hAnsi="Arial"/>
        <w:color w:val="888888"/>
        <w:sz w:val="18"/>
        <w:szCs w:val="18"/>
      </w:rPr>
      <w:t xml:space="preserve">	Master en IA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A3A5C"/>
      <w:sz w:val="36"/>
      <w:szCs w:val="36"/>
    </w:rPr>
  </w:style>
  <w:style w:type="paragraph" w:styleId="Heading2">
    <w:name w:val="Heading 2"/>
    <w:basedOn w:val="Normal"/>
    <w:next w:val="Normal"/>
    <w:pPr>
      <w:spacing w:after="10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b8blul2zs__1bru7vaja" Type="http://schemas.openxmlformats.org/officeDocument/2006/relationships/hyperlink" Target="https://openrouter.ai" TargetMode="External"/><Relationship Id="rId2m--dftg115i_ygncxikm" Type="http://schemas.openxmlformats.org/officeDocument/2006/relationships/hyperlink" Target="https://www.truefoundry.com/blog/litellm-vs-openrouter" TargetMode="External"/><Relationship Id="rIdtexs3tnfm2bij5tzsajux" Type="http://schemas.openxmlformats.org/officeDocument/2006/relationships/hyperlink" Target="https://www.getmaxim.ai/articles/best-enterprise-llm-gateways-in-2026-a-comparative-guid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2026-03-15T19:14:45.265Z</dcterms:created>
  <dcterms:modified xsi:type="dcterms:W3CDTF">2026-03-15T19:14:45.265Z</dcterms:modified>
</cp:coreProperties>
</file>

<file path=docProps/custom.xml><?xml version="1.0" encoding="utf-8"?>
<Properties xmlns="http://schemas.openxmlformats.org/officeDocument/2006/custom-properties" xmlns:vt="http://schemas.openxmlformats.org/officeDocument/2006/docPropsVTypes"/>
</file>