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b/>
          <w:bCs/>
          <w:color w:val="1F2A44"/>
          <w:sz w:val="28"/>
          <w:szCs w:val="28"/>
        </w:rPr>
        <w:t xml:space="preserve">ELITE ADVISOR HUB</w:t>
      </w:r>
    </w:p>
    <w:p>
      <w:pPr>
        <w:spacing w:after="60"/>
      </w:pPr>
      <w:r>
        <w:rPr>
          <w:b/>
          <w:bCs/>
          <w:sz w:val="24"/>
          <w:szCs w:val="24"/>
        </w:rPr>
        <w:t xml:space="preserve">Strategic Plan — Amendments Memo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Companion to Elite_Advisor_Hub_Strategic_Plan.docx</w:t>
      </w:r>
    </w:p>
    <w:p>
      <w:pPr>
        <w:spacing w:after="240"/>
      </w:pPr>
      <w:r>
        <w:rPr>
          <w:i/>
          <w:iCs/>
          <w:color w:val="666666"/>
          <w:sz w:val="20"/>
          <w:szCs w:val="20"/>
        </w:rPr>
        <w:t xml:space="preserve">Updated May 2026  ·  Author: Claude  ·  For review by Nick Cabugos</w:t>
      </w:r>
    </w:p>
    <w:p>
      <w:pPr>
        <w:pStyle w:val="Heading1"/>
        <w:spacing w:after="120" w:before="240"/>
      </w:pPr>
      <w:r>
        <w:rPr>
          <w:b/>
          <w:bCs/>
        </w:rPr>
        <w:t xml:space="preserve">1. Purpose</w:t>
      </w:r>
    </w:p>
    <w:p>
      <w:pPr>
        <w:spacing w:after="60" w:before="60"/>
      </w:pPr>
      <w:r>
        <w:t xml:space="preserve">This memo lists targeted amendments to Elite_Advisor_Hub_Strategic_Plan.docx required after the May 2026 audit of the Feature Matrix, the codebase, and the demo set. Each item is presented as Current → Proposed so you can accept or reject one at a time. None of the amendments touch the locked tier × template grid (prices, setup fees, template assignments) — that contract is preserved.</w:t>
      </w:r>
    </w:p>
    <w:p>
      <w:pPr>
        <w:spacing w:after="60" w:before="60"/>
      </w:pPr>
      <w:r>
        <w:t xml:space="preserve">Companion deliverables produced in the same audit: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Elite_Advisor_Hub_Feature_Matrix.xlsx — rebuilt with 9 sheets covering Tier × Template, Module × Tier, Module × Template, Routes, Price Justification, Demo Readiness, Gaps, Aurora, and Legend.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docs/demo-feature-checklist.md — what each demo must show to sell its tier.</w:t>
      </w:r>
    </w:p>
    <w:p>
      <w:pPr>
        <w:pStyle w:val="Heading1"/>
        <w:spacing w:after="120" w:before="240"/>
      </w:pPr>
      <w:r>
        <w:rPr>
          <w:b/>
          <w:bCs/>
        </w:rPr>
        <w:t xml:space="preserve">2. Headline observations driving the amendments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old Feature Matrix described modules at the ROUTE level only. Most of the pricing justification work happens at the MODULE level (M01–M27), and route counts under-state what each tier delivers.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Several P1/P2 gaps in the old matrix have actually shipped (T3ServiceCards, JournalTeaser on t2/t3, InstagramFeed on t2/t3, TestimonialsGrid on t2/t3). The Strategic Plan's Launch Readiness section still treats them as open.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plan's demo strategy section names 'demo-agent' and 'wwt-demo' as live demos. Both slugs collide with real client records (Eden, Wine &amp; Wellness) — renames are pending but the plan still ratifies the old names.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plan implies Custom-tier prospects see the t4 Casa Solis flagship. In practice there is no Custom-on-frontend or Custom-on-t2 demo, so prospects on those templates see only Growth-tier demos. This is the largest sales gap surfaced by the audit.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Villa module is included at Custom and above, but t3 and t4 do not yet have villa components — t2 is the only template that can render Custom-tier villa today. The plan does not flag this.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plan's broadcast cadence (1/mo, 1/wk, 2/wk, 2/wk per advisor) is sound and aligns with the Studio launch roadmap — no change needed there.</w:t>
      </w:r>
    </w:p>
    <w:p>
      <w:pPr>
        <w:pStyle w:val="Heading1"/>
        <w:spacing w:after="120" w:before="240"/>
      </w:pPr>
      <w:r>
        <w:rPr>
          <w:b/>
          <w:bCs/>
        </w:rPr>
        <w:t xml:space="preserve">3. Amendments — Section by section</w:t>
      </w:r>
    </w:p>
    <w:p>
      <w:pPr>
        <w:pStyle w:val="Heading2"/>
        <w:spacing w:after="120" w:before="240"/>
      </w:pPr>
      <w:r>
        <w:rPr>
          <w:b/>
          <w:bCs/>
        </w:rPr>
        <w:t xml:space="preserve">Amendment A · §2 Tier Matrix — Notes on locked decisions</w:t>
      </w:r>
    </w:p>
    <w:p>
      <w:pPr>
        <w:spacing w:after="60" w:before="60"/>
      </w:pPr>
      <w:r>
        <w:t xml:space="preserve">The plan's notes block under the tier-matrix table needs a fifth bullet making the t3/t4 villa gap explicit.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CURRENT</w:t>
            </w:r>
          </w:p>
        </w:tc>
        <w:tc>
          <w:tcPr>
            <w:tcW w:type="dxa" w:w="4680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C9A5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PROPOSED</w:t>
            </w:r>
          </w:p>
        </w:tc>
      </w:tr>
      <w:tr>
        <w:tc>
          <w:tcPr>
            <w:tcW w:type="dxa" w:w="4680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FBE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(currently four bullets covering Starter-template lock, villa positioning, broadcast cadence, Agency floor)</w:t>
            </w:r>
          </w:p>
        </w:tc>
        <w:tc>
          <w:tcPr>
            <w:tcW w:type="dxa" w:w="4680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DF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a fifth bullet: 'Villa module is included at Custom and above on paper, but only t2 has the villa components today. Custom advisors on t3 / t4 see a placeholder until villa rollout (Feature Matrix sheet 7, P2). This is acceptable through Phase 1 because t2 is the most-sold Custom template; revisit before Phase 2 public launch.'</w:t>
            </w:r>
          </w:p>
        </w:tc>
      </w:tr>
      <w:tr>
        <w:tc>
          <w:tcPr>
            <w:tcW w:type="dxa" w:w="9360"/>
            <w:gridSpan w:val="2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FB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this change:</w:t>
            </w:r>
          </w:p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The current plan and matrix imply villa ships everywhere on Custom+. The audit found this is template-dependent. Honest disclosure prevents a refund-risk in month one.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Amendment B · §6 Demo Strategy — Corrections</w:t>
      </w:r>
    </w:p>
    <w:p>
      <w:pPr>
        <w:spacing w:after="60" w:before="60"/>
      </w:pPr>
      <w:r>
        <w:t xml:space="preserve">The plan calls for three corrections (renaming demo-agent, renaming wwt-demo, enhancing ytc-demo). These remain correct, but the audit surfaces a fourth correction the plan misses.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CURRENT</w:t>
            </w:r>
          </w:p>
        </w:tc>
        <w:tc>
          <w:tcPr>
            <w:tcW w:type="dxa" w:w="4680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C9A5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PROPOSED</w:t>
            </w:r>
          </w:p>
        </w:tc>
      </w:tr>
      <w:tr>
        <w:tc>
          <w:tcPr>
            <w:tcW w:type="dxa" w:w="4680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FBE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Three corrections: rename 'demo-agent' to 'starter-demo'; rename 'wwt-demo' to 'wellness-demo'; enhance 'ytc-demo' as the Agency exemplar.</w:t>
            </w:r>
          </w:p>
        </w:tc>
        <w:tc>
          <w:tcPr>
            <w:tcW w:type="dxa" w:w="4680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DF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a fourth correction: 'Build at least one Custom-tier demo on a non-t4 template (frontend or t2) before Phase 2 public launch. casa-solis alone makes Custom appear t4-only, which discourages prospects who like t2 Vista or the frontend look from buying Custom.'</w:t>
            </w:r>
          </w:p>
        </w:tc>
      </w:tr>
      <w:tr>
        <w:tc>
          <w:tcPr>
            <w:tcW w:type="dxa" w:w="9360"/>
            <w:gridSpan w:val="2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FB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this change:</w:t>
            </w:r>
          </w:p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Without this fourth correction, Custom-tier conversion will be artificially gated by template preference. A 'Custom-on-Vista' demo (e.g. a wellness or romance niche with custom design polish + villa + white-label) closes that gap.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Amendment C · §6 Demo Strategy — Additions</w:t>
      </w:r>
    </w:p>
    <w:p>
      <w:pPr>
        <w:spacing w:after="60" w:before="60"/>
      </w:pPr>
      <w:r>
        <w:t xml:space="preserve">The plan lists three niche Growth additions (romance, cruise, family). The audit recommends one upgrade to the family-demo brief.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CURRENT</w:t>
            </w:r>
          </w:p>
        </w:tc>
        <w:tc>
          <w:tcPr>
            <w:tcW w:type="dxa" w:w="4680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C9A5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PROPOSED</w:t>
            </w:r>
          </w:p>
        </w:tc>
      </w:tr>
      <w:tr>
        <w:tc>
          <w:tcPr>
            <w:tcW w:type="dxa" w:w="4680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FBE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Family Luxury (t2). Slug 'family-demo'. Different demographic; complements romance and wellness.</w:t>
            </w:r>
          </w:p>
        </w:tc>
        <w:tc>
          <w:tcPr>
            <w:tcW w:type="dxa" w:w="4680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DF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Family Luxury — RECOMMEND splitting into 'family-demo' (t2 Vista) for multi-gen family luxury AND a Custom-tier variant on the same niche later in Phase 2 once a real family-luxury Custom advisor is on platform. Keep family-demo at Growth for Phase 1.</w:t>
            </w:r>
          </w:p>
        </w:tc>
      </w:tr>
      <w:tr>
        <w:tc>
          <w:tcPr>
            <w:tcW w:type="dxa" w:w="9360"/>
            <w:gridSpan w:val="2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FB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this change:</w:t>
            </w:r>
          </w:p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Family-luxury advisors who close $30k+ trips are exactly the Custom-tier ICP. Having only a Growth-tier family demo will under-price them. Defer the Custom variant until a real reference customer exists.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Amendment D · §9 Launch Readiness — Must-ship list</w:t>
      </w:r>
    </w:p>
    <w:p>
      <w:pPr>
        <w:spacing w:after="60" w:before="60"/>
      </w:pPr>
      <w:r>
        <w:t xml:space="preserve">The plan's 'must-ship before public announcement' list is accurate but missing two items the audit surfaced.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CURRENT</w:t>
            </w:r>
          </w:p>
        </w:tc>
        <w:tc>
          <w:tcPr>
            <w:tcW w:type="dxa" w:w="4680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C9A5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PROPOSED</w:t>
            </w:r>
          </w:p>
        </w:tc>
      </w:tr>
      <w:tr>
        <w:tc>
          <w:tcPr>
            <w:tcW w:type="dxa" w:w="4680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FBE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Current must-ship: Stripe tier matrix, Starter self-serve flow, dunning, signup analytics, brand-positioning copy refresh, Sanity decision, revalidatePath on advisor-side writes.</w:t>
            </w:r>
          </w:p>
        </w:tc>
        <w:tc>
          <w:tcPr>
            <w:tcW w:type="dxa" w:w="4680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DF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two: '(1) Rename collision-prone demo slugs (demo-agent → starter-demo, wwt-demo → wellness-demo) before the marketing site links to them. (2) Audit casa-solis villa surface — confirm /book-villa renders on t4 with placeholder + waitlist copy if components are not yet ported, so the Custom-tier promise is not visibly broken.'</w:t>
            </w:r>
          </w:p>
        </w:tc>
      </w:tr>
      <w:tr>
        <w:tc>
          <w:tcPr>
            <w:tcW w:type="dxa" w:w="9360"/>
            <w:gridSpan w:val="2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FB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this change:</w:t>
            </w:r>
          </w:p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Both items are public-facing trust issues. The slug rename can't ship after the marketing site goes live — search engines will index the colliding slug. The villa audit prevents a Custom-tier prospect from clicking /book-villa and seeing a 404.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Amendment E · §9 Launch Readiness — Reclassify closed gaps</w:t>
      </w:r>
    </w:p>
    <w:p>
      <w:pPr>
        <w:spacing w:after="60" w:before="60"/>
      </w:pPr>
      <w:r>
        <w:t xml:space="preserve">The plan, the Executive Summary, and the old Feature Matrix all list components as P1/P2 that have already shipped. Reflect reality.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CURRENT</w:t>
            </w:r>
          </w:p>
        </w:tc>
        <w:tc>
          <w:tcPr>
            <w:tcW w:type="dxa" w:w="4680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C9A5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PROPOSED</w:t>
            </w:r>
          </w:p>
        </w:tc>
      </w:tr>
      <w:tr>
        <w:tc>
          <w:tcPr>
            <w:tcW w:type="dxa" w:w="4680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FBE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P1 — T3ServiceCards, and curated t2 variants of HotelProgramsGrid and CruisePartnersGrid.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P2 — Shared JournalTeaser, InstagramFeed, and TestimonialsGrid (t2 + t3).</w:t>
            </w:r>
          </w:p>
        </w:tc>
        <w:tc>
          <w:tcPr>
            <w:tcW w:type="dxa" w:w="4680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DF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MOVE TO 'Closed (May 2026 audit)': T3ServiceCards (components/t3/T3ServiceCards.tsx exists), JournalTeaser on t2 + t3, InstagramFeed on t2 + t3, TestimonialsGrid on t2 + t3 (t4 ships TestimonialsRow as the variant).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LEAVE OPEN: 't2 curated Starter variant of HotelProgramsGrid / CruisePartnersGrid' but downgrade from P1 to P2 — it's a 'we could offer a t2-based Starter demo' feature, not a launch blocker (Starter is locked to frontend).</w:t>
            </w:r>
          </w:p>
        </w:tc>
      </w:tr>
      <w:tr>
        <w:tc>
          <w:tcPr>
            <w:tcW w:type="dxa" w:w="9360"/>
            <w:gridSpan w:val="2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FB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this change:</w:t>
            </w:r>
          </w:p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Keeping closed work on the priority list creates noise and makes the real P1 list look longer than it is. Re-prioritization sharpens focus on the actual blockers (revalidatePath, dunning, auto-provisioning, signup analytics).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Amendment F · §3 Studio — Bundling clarifications</w:t>
      </w:r>
    </w:p>
    <w:p>
      <w:pPr>
        <w:spacing w:after="60" w:before="60"/>
      </w:pPr>
      <w:r>
        <w:t xml:space="preserve">Studio bundling currently sits below the tier table. It should be cross-referenced from each SaaS tier description for clarity.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CURRENT</w:t>
            </w:r>
          </w:p>
        </w:tc>
        <w:tc>
          <w:tcPr>
            <w:tcW w:type="dxa" w:w="4680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C9A5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PROPOSED</w:t>
            </w:r>
          </w:p>
        </w:tc>
      </w:tr>
      <w:tr>
        <w:tc>
          <w:tcPr>
            <w:tcW w:type="dxa" w:w="4680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FBE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Studio bundling is described in §3 only.</w:t>
            </w:r>
          </w:p>
        </w:tc>
        <w:tc>
          <w:tcPr>
            <w:tcW w:type="dxa" w:w="4680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DF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a one-liner to each SaaS tier description in §2 noting the Studio bundle that ships with it (Growth → Studio Lite 50% off 6mo; Custom → Studio Pro 40% off 12mo; Agency → negotiated). This keeps the tier table self-contained while §3 stays the deeper Studio reference.</w:t>
            </w:r>
          </w:p>
        </w:tc>
      </w:tr>
      <w:tr>
        <w:tc>
          <w:tcPr>
            <w:tcW w:type="dxa" w:w="9360"/>
            <w:gridSpan w:val="2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FB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this change:</w:t>
            </w:r>
          </w:p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Cross-references improve sales-page utility. Today an advisor reading the tier table has to scroll to §3 to learn what Studio adds — that's friction.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Amendment G · §5 Aurora — Demo plan tighten</w:t>
      </w:r>
    </w:p>
    <w:p>
      <w:pPr>
        <w:spacing w:after="60" w:before="60"/>
      </w:pPr>
      <w:r>
        <w:t xml:space="preserve">The Aurora dogfooding sequence is solid. The Feature Matrix now reserves sheet 8 for Aurora so the SKU is operationally tracked.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CURRENT</w:t>
            </w:r>
          </w:p>
        </w:tc>
        <w:tc>
          <w:tcPr>
            <w:tcW w:type="dxa" w:w="4680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C9A5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PROPOSED</w:t>
            </w:r>
          </w:p>
        </w:tc>
      </w:tr>
      <w:tr>
        <w:tc>
          <w:tcPr>
            <w:tcW w:type="dxa" w:w="4680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FBE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Aurora dogfooding sequence runs Month 6 → Month 11+ with no public demo slug.</w:t>
            </w:r>
          </w:p>
        </w:tc>
        <w:tc>
          <w:tcPr>
            <w:tcW w:type="dxa" w:w="4680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DF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REINFORCE: 'Aurora does NOT get a public aurora-demo slug at launch. Through Phase 1 + Phase 2, do not mention Aurora in sales conversations or on the marketing site. Aurora is a Phase 3 SKU — premature visibility devalues the scarcity that protects Aurora margins.'</w:t>
            </w:r>
          </w:p>
        </w:tc>
      </w:tr>
      <w:tr>
        <w:tc>
          <w:tcPr>
            <w:tcW w:type="dxa" w:w="9360"/>
            <w:gridSpan w:val="2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FB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this change:</w:t>
            </w:r>
          </w:p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Restating this in the plan prevents accidental Aurora references in Phase-1 advisor outreach. The Aurora scarcity / application-only positioning is part of its pricing power.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</w:rPr>
        <w:t xml:space="preserve">4. Section-level edit pointers (for the operator)</w:t>
      </w:r>
    </w:p>
    <w:p>
      <w:pPr>
        <w:spacing w:after="60" w:before="60"/>
      </w:pPr>
      <w:r>
        <w:t xml:space="preserve">If you accept the amendments above, here are the precise locations in Elite_Advisor_Hub_Strategic_Plan.docx to apply them: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§2 'Notes on locked decisions' — add the villa-on-t3/t4 bullet (Amendment 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§6 'Corrections' — add the fourth correction (Amendment 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§6 'Additions' — split family-demo into Growth + later Custom (Amendment 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§9 'Must-ship before public announcement' — add the two new items (Amendment 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§9 'Pre-launch gaps' — move shipped components to a 'Closed' subsection (Amendment 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§3 'Bundling with the SaaS' — add cross-refs into §2 tier descriptions (Amendment F).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§5 'Tier positioning' — reinforce 'no Aurora before Phase 3' (Amendment G).</w:t>
      </w:r>
    </w:p>
    <w:p>
      <w:pPr>
        <w:pStyle w:val="Heading1"/>
        <w:spacing w:after="120" w:before="240"/>
      </w:pPr>
      <w:r>
        <w:rPr>
          <w:b/>
          <w:bCs/>
        </w:rPr>
        <w:t xml:space="preserve">5. Outstanding questions for the operator</w:t>
      </w:r>
    </w:p>
    <w:p>
      <w:pPr>
        <w:spacing w:after="60" w:before="60"/>
      </w:pPr>
      <w:r>
        <w:t xml:space="preserve">These came up during the audit and are above-my-paygrade to decide: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Does Custom tier need a non-t4 demo before public launch? (Drives whether you build a Custom-on-Vista demo in Phase 1 or accept the gap.)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Is the $29/mo Villa add-on for Growth advisors live in Stripe today, or is it conceptual until villa-catalog refinement ships?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Should the white-label flag be wired in template chrome before Custom launch (so the $999 add-on is real) or accepted as a Phase-2 follow-up?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Does the broadcast cadence at Agency tier (2/wk per advisor) account for operator capacity at, say, 5 agencies of 8 advisors each (80 posts/week)? Or does it scale to 'co-authored' meaning operator co-authors per agency, not per advisor?</w:t>
      </w:r>
    </w:p>
    <w:p>
      <w:pPr>
        <w:pStyle w:val="Heading1"/>
        <w:spacing w:after="120" w:before="240"/>
      </w:pPr>
      <w:r>
        <w:rPr>
          <w:b/>
          <w:bCs/>
        </w:rPr>
        <w:t xml:space="preserve">6. Sources and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CLAUDE.md §3 — locked tier × template matrix.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memory/product_layers.md — three product layers + launch phasing.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Elite_Advisor_Hub_Feature_Matrix.xlsx (May 2026 rebuild) — sheets 1–9.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docs/demo-feature-checklist.md — per-demo audit.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components/t2 · components/t3 · components/t4 · components/home — actual shipped components inventoried May 2026.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lib/demo-agents.ts — demo slug registry.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lib/stripe.ts — TIER_PRICES (confirms Starter/Growth/Custom prices; Agency intentionally blank pending productization).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i/>
        <w:iCs/>
        <w:color w:val="666666"/>
        <w:sz w:val="18"/>
        <w:szCs w:val="18"/>
      </w:rPr>
      <w:t xml:space="preserve">Elite Advisor Hub — Strategic Plan Amendments (May 2026)</w:t>
    </w:r>
    <w:r>
      <w:t xml:space="preserve">	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3F4E6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2026-05-18T19:39:49.893Z</dcterms:created>
  <dcterms:modified xsi:type="dcterms:W3CDTF">2026-05-18T19:39:49.893Z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