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raft"/>
    <w:p>
      <w:pPr>
        <w:pStyle w:val="Heading1"/>
      </w:pPr>
      <w:r>
        <w:rPr>
          <w:bCs/>
          <w:b/>
        </w:rPr>
        <w:t xml:space="preserve">🚧 DRAFT 🚧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DRAFT - Under Review</w:t>
      </w:r>
      <w:r>
        <w:t xml:space="preserve"> </w:t>
      </w:r>
      <w:r>
        <w:rPr>
          <w:bCs/>
          <w:b/>
        </w:rPr>
        <w:t xml:space="preserve">Note</w:t>
      </w:r>
      <w:r>
        <w:t xml:space="preserve">: This document was generated by AI and requires human review for accuracy.</w:t>
      </w:r>
    </w:p>
    <w:p>
      <w:r>
        <w:pict>
          <v:rect style="width:0;height:1.5pt" o:hralign="center" o:hrstd="t" o:hr="t"/>
        </w:pict>
      </w:r>
    </w:p>
    <w:bookmarkEnd w:id="20"/>
    <w:bookmarkStart w:id="21" w:name="berdo-implementation-plan"/>
    <w:p>
      <w:pPr>
        <w:pStyle w:val="Heading1"/>
      </w:pPr>
      <w:r>
        <w:t xml:space="preserve">BERDO Implementation Plan</w:t>
      </w:r>
    </w:p>
    <w:p>
      <w:pPr>
        <w:pStyle w:val="FirstParagraph"/>
      </w:pPr>
      <w:hyperlink w:anchor="executive-overview">
        <w:r>
          <w:rPr>
            <w:rStyle w:val="Hyperlink"/>
          </w:rPr>
          <w:t xml:space="preserve">EXECUTIVE OVERVIEW [1](#executive-overview)</w:t>
        </w:r>
      </w:hyperlink>
    </w:p>
    <w:p>
      <w:pPr>
        <w:pStyle w:val="BodyText"/>
      </w:pPr>
      <w:hyperlink w:anchor="purpose">
        <w:r>
          <w:rPr>
            <w:rStyle w:val="Hyperlink"/>
          </w:rPr>
          <w:t xml:space="preserve">Purpose [1](#purpose)</w:t>
        </w:r>
      </w:hyperlink>
    </w:p>
    <w:p>
      <w:pPr>
        <w:pStyle w:val="BodyText"/>
      </w:pPr>
      <w:hyperlink w:anchor="three-implementation-options">
        <w:r>
          <w:rPr>
            <w:rStyle w:val="Hyperlink"/>
          </w:rPr>
          <w:t xml:space="preserve">Three Implementation Options [2](#three-implementation-options)</w:t>
        </w:r>
      </w:hyperlink>
    </w:p>
    <w:p>
      <w:pPr>
        <w:pStyle w:val="BodyText"/>
      </w:pPr>
      <w:hyperlink w:anchor="phased-implementation-strategy">
        <w:r>
          <w:rPr>
            <w:rStyle w:val="Hyperlink"/>
          </w:rPr>
          <w:t xml:space="preserve">PHASED IMPLEMENTATION STRATEGY [2](#phased-implementation-strategy)</w:t>
        </w:r>
      </w:hyperlink>
    </w:p>
    <w:p>
      <w:pPr>
        <w:pStyle w:val="BodyText"/>
      </w:pPr>
      <w:hyperlink w:anchor="phase-1-foundation-2026-2028">
        <w:r>
          <w:rPr>
            <w:rStyle w:val="Hyperlink"/>
          </w:rPr>
          <w:t xml:space="preserve">Phase 1: Foundation (2026-2028) [3](#phase-1-foundation-2026-2028)</w:t>
        </w:r>
      </w:hyperlink>
    </w:p>
    <w:p>
      <w:pPr>
        <w:pStyle w:val="BodyText"/>
      </w:pPr>
      <w:hyperlink w:anchor="phase-2-residential-expansion-2029-2031">
        <w:r>
          <w:rPr>
            <w:rStyle w:val="Hyperlink"/>
          </w:rPr>
          <w:t xml:space="preserve">Phase 2: Residential Expansion (2029-2031) [3](#phase-2-residential-expansion-2029-2031)</w:t>
        </w:r>
      </w:hyperlink>
    </w:p>
    <w:p>
      <w:pPr>
        <w:pStyle w:val="BodyText"/>
      </w:pPr>
      <w:hyperlink w:anchor="phase-3-comprehensive-coverage-2032-2035">
        <w:r>
          <w:rPr>
            <w:rStyle w:val="Hyperlink"/>
          </w:rPr>
          <w:t xml:space="preserve">Phase 3: Comprehensive Coverage (2032-2035) [4](#phase-3-comprehensive-coverage-2032-2035)</w:t>
        </w:r>
      </w:hyperlink>
    </w:p>
    <w:p>
      <w:pPr>
        <w:pStyle w:val="BodyText"/>
      </w:pPr>
      <w:hyperlink w:anchor="phase-4-full-implementation-2036-2040">
        <w:r>
          <w:rPr>
            <w:rStyle w:val="Hyperlink"/>
          </w:rPr>
          <w:t xml:space="preserve">Phase 4: Full Implementation (2036-2040) [4](#phase-4-full-implementation-2036-2040)</w:t>
        </w:r>
      </w:hyperlink>
    </w:p>
    <w:p>
      <w:pPr>
        <w:pStyle w:val="BodyText"/>
      </w:pPr>
      <w:hyperlink w:anchor="resources-needed">
        <w:r>
          <w:rPr>
            <w:rStyle w:val="Hyperlink"/>
          </w:rPr>
          <w:t xml:space="preserve">RESOURCES NEEDED [4](#resources-needed)</w:t>
        </w:r>
      </w:hyperlink>
    </w:p>
    <w:p>
      <w:pPr>
        <w:pStyle w:val="BodyText"/>
      </w:pPr>
      <w:hyperlink w:anchor="staffing-requirements">
        <w:r>
          <w:rPr>
            <w:rStyle w:val="Hyperlink"/>
          </w:rPr>
          <w:t xml:space="preserve">Staffing Requirements [5](#staffing-requirements)</w:t>
        </w:r>
      </w:hyperlink>
    </w:p>
    <w:p>
      <w:pPr>
        <w:pStyle w:val="BodyText"/>
      </w:pPr>
      <w:hyperlink w:anchor="X7841bae81a6497c12264df0b7c402c5ade8bcbf">
        <w:r>
          <w:rPr>
            <w:rStyle w:val="Hyperlink"/>
          </w:rPr>
          <w:t xml:space="preserve">WARRANT ARTICLE STRUCTURE RECOMMENDATIONS [6](#warrant-article-structure-recommendations)</w:t>
        </w:r>
      </w:hyperlink>
    </w:p>
    <w:p>
      <w:pPr>
        <w:pStyle w:val="BodyText"/>
      </w:pPr>
      <w:hyperlink w:anchor="stakeholder-engagement-plan">
        <w:r>
          <w:rPr>
            <w:rStyle w:val="Hyperlink"/>
          </w:rPr>
          <w:t xml:space="preserve">STAKEHOLDER ENGAGEMENT PLAN [8](#stakeholder-engagement-plan)</w:t>
        </w:r>
      </w:hyperlink>
    </w:p>
    <w:p>
      <w:pPr>
        <w:pStyle w:val="BodyText"/>
      </w:pPr>
      <w:hyperlink w:anchor="marketing-material">
        <w:r>
          <w:rPr>
            <w:rStyle w:val="Hyperlink"/>
          </w:rPr>
          <w:t xml:space="preserve">MARKETING MATERIAL [10](#marketing-material)</w:t>
        </w:r>
      </w:hyperlink>
    </w:p>
    <w:p>
      <w:pPr>
        <w:pStyle w:val="BodyText"/>
      </w:pPr>
      <w:hyperlink w:anchor="X3a1806150d387b41d821795fb341c80e81c5526">
        <w:r>
          <w:rPr>
            <w:rStyle w:val="Hyperlink"/>
          </w:rPr>
          <w:t xml:space="preserve">1. Persuasive / Political Version (for Town Meeting Members &amp; Policy Stakeholders) [10](#persuasive-political-version-for-town-meeting-members-policy-stakeholders)</w:t>
        </w:r>
      </w:hyperlink>
    </w:p>
    <w:p>
      <w:pPr>
        <w:pStyle w:val="BodyText"/>
      </w:pPr>
      <w:hyperlink w:anchor="X7661658cadbc92cc7a33fedd04de5b7100a5c23">
        <w:r>
          <w:rPr>
            <w:rStyle w:val="Hyperlink"/>
          </w:rPr>
          <w:t xml:space="preserve">2. Public-Friendly Flyer (for Residents &amp; Building Owners) [11](#public-friendly-flyer-for-residents-building-owners)</w:t>
        </w:r>
      </w:hyperlink>
    </w:p>
    <w:bookmarkEnd w:id="21"/>
    <w:bookmarkStart w:id="22" w:name="executive-overview"/>
    <w:p>
      <w:pPr>
        <w:pStyle w:val="Heading1"/>
      </w:pPr>
      <w:r>
        <w:t xml:space="preserve">EXECUTIVE OVERVIEW</w:t>
      </w:r>
    </w:p>
    <w:bookmarkEnd w:id="22"/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Develop a warrant article to establish a Building Energy Reporting and Disclosure Ordinance (BERDO) in Brookline, targeting net-zero carbon emissions by 2040 in alignment with WA37 (approved May 2021).</w:t>
      </w:r>
    </w:p>
    <w:p>
      <w:pPr>
        <w:pStyle w:val="BodyText"/>
      </w:pPr>
      <w:r>
        <w:t xml:space="preserve">Key Statistics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43%</w:t>
      </w:r>
      <w:r>
        <w:t xml:space="preserve"> </w:t>
      </w:r>
      <w:r>
        <w:t xml:space="preserve">of Brookline's GHG emissions come from onsite fossil fuel combustion in buildings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45%</w:t>
      </w:r>
      <w:r>
        <w:t xml:space="preserve"> </w:t>
      </w:r>
      <w:r>
        <w:t xml:space="preserve">from residential buildings (homes, condos, apartments)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19%</w:t>
      </w:r>
      <w:r>
        <w:t xml:space="preserve"> </w:t>
      </w:r>
      <w:r>
        <w:t xml:space="preserve">from non-residential buildings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Massachusetts context</w:t>
      </w:r>
      <w:r>
        <w:t xml:space="preserve">: Boston, Cambridge, Lexington, and Newton have enacted BERDO laws</w:t>
      </w:r>
    </w:p>
    <w:bookmarkEnd w:id="23"/>
    <w:bookmarkStart w:id="24" w:name="three-implementation-options"/>
    <w:p>
      <w:pPr>
        <w:pStyle w:val="Heading1"/>
      </w:pPr>
      <w:r>
        <w:t xml:space="preserve">Three Implementation Options</w:t>
      </w:r>
    </w:p>
    <w:p>
      <w:pPr>
        <w:pStyle w:val="FirstParagraph"/>
      </w:pPr>
      <w:r>
        <w:t xml:space="preserve">Option 1: Low Impact (Conservative Start)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Scope</w:t>
      </w:r>
      <w:r>
        <w:t xml:space="preserve">: Non-residential buildings ≥20,000 SF only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Climate Impact</w:t>
      </w:r>
      <w:r>
        <w:t xml:space="preserve">: 12% reduction in total Brookline GHG emissions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Buildings Affected</w:t>
      </w:r>
      <w:r>
        <w:t xml:space="preserve">: ~2% of Brookline buildings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Political Feasibility</w:t>
      </w:r>
      <w:r>
        <w:t xml:space="preserve">: High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Administrative Burden</w:t>
      </w:r>
      <w:r>
        <w:t xml:space="preserve">: Low</w:t>
      </w:r>
    </w:p>
    <w:p>
      <w:pPr>
        <w:pStyle w:val="FirstParagraph"/>
      </w:pPr>
      <w:r>
        <w:t xml:space="preserve">Option 2: Medium Impact (MA LBER Alignment)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Scope</w:t>
      </w:r>
      <w:r>
        <w:t xml:space="preserve">: All buildings subject to MA LBER (≥20,000 SF, commercial and residential)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Climate Impact</w:t>
      </w:r>
      <w:r>
        <w:t xml:space="preserve">: 19% reduction in total Brookline GHG emissions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Buildings Affected</w:t>
      </w:r>
      <w:r>
        <w:t xml:space="preserve">: ~5% of Brookline buildings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Political Feasibility</w:t>
      </w:r>
      <w:r>
        <w:t xml:space="preserve">: Moderate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Administrative Burden</w:t>
      </w:r>
      <w:r>
        <w:t xml:space="preserve">: Moderate</w:t>
      </w:r>
    </w:p>
    <w:p>
      <w:pPr>
        <w:pStyle w:val="FirstParagraph"/>
      </w:pPr>
      <w:r>
        <w:t xml:space="preserve">Option 3: High Impact (Comprehensive)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Scope</w:t>
      </w:r>
      <w:r>
        <w:t xml:space="preserve">: All buildings including 1-3 family homes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Climate Impact</w:t>
      </w:r>
      <w:r>
        <w:t xml:space="preserve">: 43% reduction in total Brookline GHG emissions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Buildings Affected</w:t>
      </w:r>
      <w:r>
        <w:t xml:space="preserve">: ~97% of Brookline buildings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Political Feasibility</w:t>
      </w:r>
      <w:r>
        <w:t xml:space="preserve">: Low initially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Administrative Burden</w:t>
      </w:r>
      <w:r>
        <w:t xml:space="preserve">: High</w:t>
      </w:r>
    </w:p>
    <w:bookmarkEnd w:id="24"/>
    <w:bookmarkStart w:id="30" w:name="phased-implementation-strategy"/>
    <w:p>
      <w:pPr>
        <w:pStyle w:val="Heading1"/>
      </w:pPr>
      <w:r>
        <w:t xml:space="preserve">PHASED IMPLEMENTATION STRATEGY</w:t>
      </w:r>
    </w:p>
    <w:p>
      <w:pPr>
        <w:pStyle w:val="FirstParagraph"/>
      </w:pPr>
      <w:r>
        <w:t xml:space="preserve">Recommended Approach: Progressive Phasing</w:t>
      </w:r>
    </w:p>
    <w:p>
      <w:pPr>
        <w:pStyle w:val="BodyText"/>
      </w:pPr>
      <w:r>
        <w:t xml:space="preserve">Start with Option 1 and expand over time to minimize opposition while building momentum.</w:t>
      </w:r>
    </w:p>
    <w:bookmarkStart w:id="25" w:name="phase-1-foundation-2026-2028"/>
    <w:p>
      <w:pPr>
        <w:pStyle w:val="Heading2"/>
      </w:pPr>
      <w:r>
        <w:t xml:space="preserve">Phase 1: Foundation (2026-2028)</w:t>
      </w:r>
    </w:p>
    <w:p>
      <w:pPr>
        <w:pStyle w:val="FirstParagraph"/>
      </w:pPr>
      <w:r>
        <w:rPr>
          <w:bCs/>
          <w:b/>
        </w:rPr>
        <w:t xml:space="preserve">Warrant Article Focus</w:t>
      </w:r>
      <w:r>
        <w:t xml:space="preserve">: Establish BERDO framework for non-residential buildings ≥20,000 SF</w:t>
      </w:r>
    </w:p>
    <w:p>
      <w:pPr>
        <w:pStyle w:val="BodyText"/>
      </w:pPr>
      <w:r>
        <w:t xml:space="preserve">Key Components:</w:t>
      </w:r>
    </w:p>
    <w:p>
      <w:pPr>
        <w:numPr>
          <w:ilvl w:val="0"/>
          <w:numId w:val="1005"/>
        </w:numPr>
      </w:pPr>
      <w:r>
        <w:t xml:space="preserve">Energy reporting requirements aligned with MA LBER</w:t>
      </w:r>
    </w:p>
    <w:p>
      <w:pPr>
        <w:numPr>
          <w:ilvl w:val="0"/>
          <w:numId w:val="1005"/>
        </w:numPr>
      </w:pPr>
      <w:r>
        <w:t xml:space="preserve">Creation of BERDO Review Board</w:t>
      </w:r>
    </w:p>
    <w:p>
      <w:pPr>
        <w:numPr>
          <w:ilvl w:val="0"/>
          <w:numId w:val="1005"/>
        </w:numPr>
      </w:pPr>
      <w:r>
        <w:t xml:space="preserve">Establishment of administrative structure</w:t>
      </w:r>
    </w:p>
    <w:p>
      <w:pPr>
        <w:numPr>
          <w:ilvl w:val="0"/>
          <w:numId w:val="1005"/>
        </w:numPr>
      </w:pPr>
      <w:r>
        <w:t xml:space="preserve">Voluntary participation incentives for residential buildings</w:t>
      </w:r>
    </w:p>
    <w:p>
      <w:pPr>
        <w:numPr>
          <w:ilvl w:val="0"/>
          <w:numId w:val="1005"/>
        </w:numPr>
      </w:pPr>
      <w:r>
        <w:t xml:space="preserve">Creation of Equitable Emissions Investment Fund</w:t>
      </w:r>
    </w:p>
    <w:p>
      <w:pPr>
        <w:pStyle w:val="FirstParagraph"/>
      </w:pPr>
      <w:r>
        <w:t xml:space="preserve">Timeline:</w:t>
      </w:r>
    </w:p>
    <w:p>
      <w:pPr>
        <w:numPr>
          <w:ilvl w:val="0"/>
          <w:numId w:val="1006"/>
        </w:numPr>
      </w:pPr>
      <w:r>
        <w:t xml:space="preserve">Spring 2026: Pass warrant article</w:t>
      </w:r>
    </w:p>
    <w:p>
      <w:pPr>
        <w:numPr>
          <w:ilvl w:val="0"/>
          <w:numId w:val="1006"/>
        </w:numPr>
      </w:pPr>
      <w:r>
        <w:t xml:space="preserve">Summer 2026: Establish Review Board and hire staff</w:t>
      </w:r>
    </w:p>
    <w:p>
      <w:pPr>
        <w:numPr>
          <w:ilvl w:val="0"/>
          <w:numId w:val="1006"/>
        </w:numPr>
      </w:pPr>
      <w:r>
        <w:t xml:space="preserve">Fall 2026: Develop reporting systems</w:t>
      </w:r>
    </w:p>
    <w:p>
      <w:pPr>
        <w:numPr>
          <w:ilvl w:val="0"/>
          <w:numId w:val="1006"/>
        </w:numPr>
      </w:pPr>
      <w:r>
        <w:t xml:space="preserve">2027: First reporting period (baseline year)</w:t>
      </w:r>
    </w:p>
    <w:p>
      <w:pPr>
        <w:numPr>
          <w:ilvl w:val="0"/>
          <w:numId w:val="1006"/>
        </w:numPr>
      </w:pPr>
      <w:r>
        <w:t xml:space="preserve">2028: First compliance assessments</w:t>
      </w:r>
    </w:p>
    <w:bookmarkEnd w:id="25"/>
    <w:bookmarkStart w:id="26" w:name="phase-2-residential-expansion-2029-2031"/>
    <w:p>
      <w:pPr>
        <w:pStyle w:val="Heading2"/>
      </w:pPr>
      <w:r>
        <w:t xml:space="preserve">Phase 2: Residential Expansion (2029-2031)</w:t>
      </w:r>
    </w:p>
    <w:p>
      <w:pPr>
        <w:pStyle w:val="FirstParagraph"/>
      </w:pPr>
      <w:r>
        <w:rPr>
          <w:bCs/>
          <w:b/>
        </w:rPr>
        <w:t xml:space="preserve">Amendment via Future Warrant Article</w:t>
      </w:r>
      <w:r>
        <w:t xml:space="preserve">: Add large residential buildings</w:t>
      </w:r>
    </w:p>
    <w:p>
      <w:pPr>
        <w:pStyle w:val="BodyText"/>
      </w:pPr>
      <w:r>
        <w:t xml:space="preserve">Key Components:</w:t>
      </w:r>
    </w:p>
    <w:p>
      <w:pPr>
        <w:numPr>
          <w:ilvl w:val="0"/>
          <w:numId w:val="1007"/>
        </w:numPr>
      </w:pPr>
      <w:r>
        <w:t xml:space="preserve">Include apartment buildings and condominiums ≥20,000 SF</w:t>
      </w:r>
    </w:p>
    <w:p>
      <w:pPr>
        <w:numPr>
          <w:ilvl w:val="0"/>
          <w:numId w:val="1007"/>
        </w:numPr>
      </w:pPr>
      <w:r>
        <w:t xml:space="preserve">Implement Alternative Compliance Payment system ($234/MT CO2e)</w:t>
      </w:r>
    </w:p>
    <w:p>
      <w:pPr>
        <w:numPr>
          <w:ilvl w:val="0"/>
          <w:numId w:val="1007"/>
        </w:numPr>
      </w:pPr>
      <w:r>
        <w:t xml:space="preserve">Develop equity provisions for affordable housing</w:t>
      </w:r>
    </w:p>
    <w:p>
      <w:pPr>
        <w:numPr>
          <w:ilvl w:val="0"/>
          <w:numId w:val="1007"/>
        </w:numPr>
      </w:pPr>
      <w:r>
        <w:t xml:space="preserve">Create End of Useful Life Escrow Account option</w:t>
      </w:r>
    </w:p>
    <w:p>
      <w:pPr>
        <w:pStyle w:val="FirstParagraph"/>
      </w:pPr>
      <w:r>
        <w:t xml:space="preserve">Timeline:</w:t>
      </w:r>
    </w:p>
    <w:p>
      <w:pPr>
        <w:numPr>
          <w:ilvl w:val="0"/>
          <w:numId w:val="1008"/>
        </w:numPr>
      </w:pPr>
      <w:r>
        <w:t xml:space="preserve">Spring 2029: Pass amendment to include large residential</w:t>
      </w:r>
    </w:p>
    <w:p>
      <w:pPr>
        <w:numPr>
          <w:ilvl w:val="0"/>
          <w:numId w:val="1008"/>
        </w:numPr>
      </w:pPr>
      <w:r>
        <w:t xml:space="preserve">2030: First reporting for large residential</w:t>
      </w:r>
    </w:p>
    <w:p>
      <w:pPr>
        <w:numPr>
          <w:ilvl w:val="0"/>
          <w:numId w:val="1008"/>
        </w:numPr>
      </w:pPr>
      <w:r>
        <w:t xml:space="preserve">2031: Begin compliance enforcement</w:t>
      </w:r>
    </w:p>
    <w:bookmarkEnd w:id="26"/>
    <w:bookmarkStart w:id="27" w:name="section"/>
    <w:p>
      <w:pPr>
        <w:pStyle w:val="Heading2"/>
      </w:pPr>
    </w:p>
    <w:bookmarkEnd w:id="27"/>
    <w:bookmarkStart w:id="28" w:name="phase-3-comprehensive-coverage-2032-2035"/>
    <w:p>
      <w:pPr>
        <w:pStyle w:val="Heading2"/>
      </w:pPr>
      <w:r>
        <w:t xml:space="preserve">Phase 3: Comprehensive Coverage (2032-2035)</w:t>
      </w:r>
    </w:p>
    <w:p>
      <w:pPr>
        <w:pStyle w:val="FirstParagraph"/>
      </w:pPr>
      <w:r>
        <w:rPr>
          <w:bCs/>
          <w:b/>
        </w:rPr>
        <w:t xml:space="preserve">Amendment via Future Warrant Article</w:t>
      </w:r>
      <w:r>
        <w:t xml:space="preserve">: Phased inclusion of smaller buildings</w:t>
      </w:r>
    </w:p>
    <w:p>
      <w:pPr>
        <w:pStyle w:val="BodyText"/>
      </w:pPr>
      <w:r>
        <w:t xml:space="preserve">Key Components:</w:t>
      </w:r>
    </w:p>
    <w:p>
      <w:pPr>
        <w:numPr>
          <w:ilvl w:val="0"/>
          <w:numId w:val="1009"/>
        </w:numPr>
      </w:pPr>
      <w:r>
        <w:t xml:space="preserve">Gradual inclusion by decreasing square footage thresholds</w:t>
      </w:r>
    </w:p>
    <w:p>
      <w:pPr>
        <w:numPr>
          <w:ilvl w:val="0"/>
          <w:numId w:val="1009"/>
        </w:numPr>
      </w:pPr>
      <w:r>
        <w:t xml:space="preserve">Special provisions for 1-3 family homes</w:t>
      </w:r>
    </w:p>
    <w:p>
      <w:pPr>
        <w:numPr>
          <w:ilvl w:val="0"/>
          <w:numId w:val="1009"/>
        </w:numPr>
      </w:pPr>
      <w:r>
        <w:t xml:space="preserve">Enhanced financial assistance programs</w:t>
      </w:r>
    </w:p>
    <w:p>
      <w:pPr>
        <w:numPr>
          <w:ilvl w:val="0"/>
          <w:numId w:val="1009"/>
        </w:numPr>
      </w:pPr>
      <w:r>
        <w:t xml:space="preserve">Streamlined reporting for small properties</w:t>
      </w:r>
    </w:p>
    <w:p>
      <w:pPr>
        <w:pStyle w:val="FirstParagraph"/>
      </w:pPr>
      <w:r>
        <w:t xml:space="preserve">Timeline:</w:t>
      </w:r>
    </w:p>
    <w:p>
      <w:pPr>
        <w:numPr>
          <w:ilvl w:val="0"/>
          <w:numId w:val="1010"/>
        </w:numPr>
      </w:pPr>
      <w:r>
        <w:t xml:space="preserve">2032: Buildings ≥15,000 SF</w:t>
      </w:r>
    </w:p>
    <w:p>
      <w:pPr>
        <w:numPr>
          <w:ilvl w:val="0"/>
          <w:numId w:val="1010"/>
        </w:numPr>
      </w:pPr>
      <w:r>
        <w:t xml:space="preserve">2033: Buildings ≥10,000 SF</w:t>
      </w:r>
    </w:p>
    <w:p>
      <w:pPr>
        <w:numPr>
          <w:ilvl w:val="0"/>
          <w:numId w:val="1010"/>
        </w:numPr>
      </w:pPr>
      <w:r>
        <w:t xml:space="preserve">2034: Buildings ≥5,000 SF</w:t>
      </w:r>
    </w:p>
    <w:p>
      <w:pPr>
        <w:numPr>
          <w:ilvl w:val="0"/>
          <w:numId w:val="1010"/>
        </w:numPr>
      </w:pPr>
      <w:r>
        <w:t xml:space="preserve">2035: All buildings (with hardship exemptions)</w:t>
      </w:r>
    </w:p>
    <w:bookmarkEnd w:id="28"/>
    <w:bookmarkStart w:id="29" w:name="phase-4-full-implementation-2036-2040"/>
    <w:p>
      <w:pPr>
        <w:pStyle w:val="Heading2"/>
      </w:pPr>
      <w:r>
        <w:t xml:space="preserve">Phase 4: Full Implementation (2036-2040)</w:t>
      </w:r>
    </w:p>
    <w:p>
      <w:pPr>
        <w:pStyle w:val="FirstParagraph"/>
      </w:pPr>
      <w:r>
        <w:rPr>
          <w:bCs/>
          <w:b/>
        </w:rPr>
        <w:t xml:space="preserve">Focus</w:t>
      </w:r>
      <w:r>
        <w:t xml:space="preserve">: Achievement of net-zero goals</w:t>
      </w:r>
    </w:p>
    <w:p>
      <w:pPr>
        <w:pStyle w:val="BodyText"/>
      </w:pPr>
      <w:r>
        <w:t xml:space="preserve">Key Components:</w:t>
      </w:r>
    </w:p>
    <w:p>
      <w:pPr>
        <w:numPr>
          <w:ilvl w:val="0"/>
          <w:numId w:val="1011"/>
        </w:numPr>
      </w:pPr>
      <w:r>
        <w:t xml:space="preserve">Mandatory compliance for all covered buildings</w:t>
      </w:r>
    </w:p>
    <w:p>
      <w:pPr>
        <w:numPr>
          <w:ilvl w:val="0"/>
          <w:numId w:val="1011"/>
        </w:numPr>
      </w:pPr>
      <w:r>
        <w:t xml:space="preserve">Escalating emissions standards</w:t>
      </w:r>
    </w:p>
    <w:p>
      <w:pPr>
        <w:numPr>
          <w:ilvl w:val="0"/>
          <w:numId w:val="1011"/>
        </w:numPr>
      </w:pPr>
      <w:r>
        <w:t xml:space="preserve">Full Alternative Compliance Payment enforcement</w:t>
      </w:r>
    </w:p>
    <w:p>
      <w:pPr>
        <w:numPr>
          <w:ilvl w:val="0"/>
          <w:numId w:val="1011"/>
        </w:numPr>
      </w:pPr>
      <w:r>
        <w:t xml:space="preserve">Comprehensive support programs</w:t>
      </w:r>
    </w:p>
    <w:bookmarkEnd w:id="29"/>
    <w:bookmarkEnd w:id="30"/>
    <w:bookmarkStart w:id="32" w:name="resources-needed"/>
    <w:p>
      <w:pPr>
        <w:pStyle w:val="Heading1"/>
      </w:pPr>
      <w:r>
        <w:t xml:space="preserve">RESOURCES NEEDED</w:t>
      </w:r>
    </w:p>
    <w:bookmarkStart w:id="31" w:name="staffing-requirements"/>
    <w:p>
      <w:pPr>
        <w:pStyle w:val="Heading2"/>
      </w:pPr>
      <w:r>
        <w:t xml:space="preserve">Staffing Requirements</w:t>
      </w:r>
    </w:p>
    <w:p>
      <w:pPr>
        <w:pStyle w:val="FirstParagraph"/>
      </w:pPr>
      <w:r>
        <w:t xml:space="preserve">Year 1 (2026-2027)</w:t>
      </w:r>
    </w:p>
    <w:p>
      <w:pPr>
        <w:numPr>
          <w:ilvl w:val="0"/>
          <w:numId w:val="1012"/>
        </w:numPr>
      </w:pPr>
      <w:r>
        <w:t xml:space="preserve">1.0 FTE BERDO Program Manager</w:t>
      </w:r>
    </w:p>
    <w:p>
      <w:pPr>
        <w:numPr>
          <w:ilvl w:val="0"/>
          <w:numId w:val="1012"/>
        </w:numPr>
      </w:pPr>
      <w:r>
        <w:t xml:space="preserve">0.5 FTE Data Analyst</w:t>
      </w:r>
    </w:p>
    <w:p>
      <w:pPr>
        <w:numPr>
          <w:ilvl w:val="0"/>
          <w:numId w:val="1012"/>
        </w:numPr>
      </w:pPr>
      <w:r>
        <w:t xml:space="preserve">0.5 FTE Community Outreach Coordinator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Estimated Cost</w:t>
      </w:r>
      <w:r>
        <w:t xml:space="preserve">: $200,000/year</w:t>
      </w:r>
    </w:p>
    <w:p>
      <w:pPr>
        <w:pStyle w:val="FirstParagraph"/>
      </w:pPr>
      <w:r>
        <w:t xml:space="preserve">Years 2-3 (2028-2029)</w:t>
      </w:r>
    </w:p>
    <w:p>
      <w:pPr>
        <w:numPr>
          <w:ilvl w:val="0"/>
          <w:numId w:val="1013"/>
        </w:numPr>
      </w:pPr>
      <w:r>
        <w:t xml:space="preserve">2.0 FTE Program Staff</w:t>
      </w:r>
    </w:p>
    <w:p>
      <w:pPr>
        <w:numPr>
          <w:ilvl w:val="0"/>
          <w:numId w:val="1013"/>
        </w:numPr>
      </w:pPr>
      <w:r>
        <w:t xml:space="preserve">1.0 FTE Technical Assistance Coordinator</w:t>
      </w:r>
    </w:p>
    <w:p>
      <w:pPr>
        <w:numPr>
          <w:ilvl w:val="0"/>
          <w:numId w:val="1013"/>
        </w:numPr>
      </w:pPr>
      <w:r>
        <w:t xml:space="preserve">0.5 FTE Equity Program Manager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Estimated Cost</w:t>
      </w:r>
      <w:r>
        <w:t xml:space="preserve">: $350,000/year</w:t>
      </w:r>
    </w:p>
    <w:p>
      <w:pPr>
        <w:pStyle w:val="FirstParagraph"/>
      </w:pPr>
      <w:r>
        <w:t xml:space="preserve">Full Implementation (2030+)</w:t>
      </w:r>
    </w:p>
    <w:p>
      <w:pPr>
        <w:numPr>
          <w:ilvl w:val="0"/>
          <w:numId w:val="1014"/>
        </w:numPr>
      </w:pPr>
      <w:r>
        <w:t xml:space="preserve">4-5 FTE total staff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Estimated Cost</w:t>
      </w:r>
      <w:r>
        <w:t xml:space="preserve">: $500,000/year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Note</w:t>
      </w:r>
      <w:r>
        <w:t xml:space="preserve">: Costs may be offset by Alternative Compliance Payments</w:t>
      </w:r>
    </w:p>
    <w:p>
      <w:pPr>
        <w:pStyle w:val="FirstParagraph"/>
      </w:pPr>
      <w:r>
        <w:t xml:space="preserve">Financial ResourcesInitial Investment (2026-2027)</w:t>
      </w:r>
    </w:p>
    <w:p>
      <w:pPr>
        <w:numPr>
          <w:ilvl w:val="0"/>
          <w:numId w:val="1015"/>
        </w:numPr>
      </w:pPr>
      <w:r>
        <w:t xml:space="preserve">Program setup: $150,000</w:t>
      </w:r>
    </w:p>
    <w:p>
      <w:pPr>
        <w:numPr>
          <w:ilvl w:val="0"/>
          <w:numId w:val="1015"/>
        </w:numPr>
      </w:pPr>
      <w:r>
        <w:t xml:space="preserve">IT systems and reporting platform: $100,000</w:t>
      </w:r>
    </w:p>
    <w:p>
      <w:pPr>
        <w:numPr>
          <w:ilvl w:val="0"/>
          <w:numId w:val="1015"/>
        </w:numPr>
      </w:pPr>
      <w:r>
        <w:t xml:space="preserve">Community engagement: $50,000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Total</w:t>
      </w:r>
      <w:r>
        <w:t xml:space="preserve">: $300,000</w:t>
      </w:r>
    </w:p>
    <w:p>
      <w:pPr>
        <w:pStyle w:val="FirstParagraph"/>
      </w:pPr>
      <w:r>
        <w:t xml:space="preserve">Ongoing Annual Costs</w:t>
      </w:r>
    </w:p>
    <w:p>
      <w:pPr>
        <w:numPr>
          <w:ilvl w:val="0"/>
          <w:numId w:val="1016"/>
        </w:numPr>
      </w:pPr>
      <w:r>
        <w:t xml:space="preserve">Staff salaries: $200,000-500,000</w:t>
      </w:r>
    </w:p>
    <w:p>
      <w:pPr>
        <w:numPr>
          <w:ilvl w:val="0"/>
          <w:numId w:val="1016"/>
        </w:numPr>
      </w:pPr>
      <w:r>
        <w:t xml:space="preserve">Technical assistance programs: $100,000</w:t>
      </w:r>
    </w:p>
    <w:p>
      <w:pPr>
        <w:numPr>
          <w:ilvl w:val="0"/>
          <w:numId w:val="1016"/>
        </w:numPr>
      </w:pPr>
      <w:r>
        <w:t xml:space="preserve">Administrative costs: $50,000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Potential Revenue</w:t>
      </w:r>
      <w:r>
        <w:t xml:space="preserve">: $2-5 million/year from Alternative Compliance Payments</w:t>
      </w:r>
    </w:p>
    <w:p>
      <w:pPr>
        <w:pStyle w:val="FirstParagraph"/>
      </w:pPr>
      <w:r>
        <w:t xml:space="preserve">Technical Resources</w:t>
      </w:r>
    </w:p>
    <w:p>
      <w:pPr>
        <w:numPr>
          <w:ilvl w:val="0"/>
          <w:numId w:val="1017"/>
        </w:numPr>
      </w:pPr>
      <w:r>
        <w:t xml:space="preserve">Energy reporting platform (possibly shared with other municipalities)</w:t>
      </w:r>
    </w:p>
    <w:p>
      <w:pPr>
        <w:numPr>
          <w:ilvl w:val="0"/>
          <w:numId w:val="1017"/>
        </w:numPr>
      </w:pPr>
      <w:r>
        <w:t xml:space="preserve">Integration with MA LBER systems</w:t>
      </w:r>
    </w:p>
    <w:p>
      <w:pPr>
        <w:numPr>
          <w:ilvl w:val="0"/>
          <w:numId w:val="1017"/>
        </w:numPr>
      </w:pPr>
      <w:r>
        <w:t xml:space="preserve">GHG emissions calculation tools</w:t>
      </w:r>
    </w:p>
    <w:p>
      <w:pPr>
        <w:numPr>
          <w:ilvl w:val="0"/>
          <w:numId w:val="1017"/>
        </w:numPr>
      </w:pPr>
      <w:r>
        <w:t xml:space="preserve">Building owner support portal</w:t>
      </w:r>
    </w:p>
    <w:p>
      <w:pPr>
        <w:numPr>
          <w:ilvl w:val="0"/>
          <w:numId w:val="1017"/>
        </w:numPr>
      </w:pPr>
      <w:r>
        <w:t xml:space="preserve">Case management system for exemptions/appeals</w:t>
      </w:r>
    </w:p>
    <w:p>
      <w:pPr>
        <w:pStyle w:val="FirstParagraph"/>
      </w:pPr>
      <w:r>
        <w:t xml:space="preserve">Community Resources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Partnerships Needed</w:t>
      </w:r>
      <w:r>
        <w:t xml:space="preserve">:</w:t>
      </w:r>
    </w:p>
    <w:p>
      <w:pPr>
        <w:numPr>
          <w:ilvl w:val="1"/>
          <w:numId w:val="1019"/>
        </w:numPr>
      </w:pPr>
      <w:r>
        <w:t xml:space="preserve">Mass Save program coordination</w:t>
      </w:r>
    </w:p>
    <w:p>
      <w:pPr>
        <w:numPr>
          <w:ilvl w:val="1"/>
          <w:numId w:val="1019"/>
        </w:numPr>
      </w:pPr>
      <w:r>
        <w:t xml:space="preserve">Local HVAC contractors training program</w:t>
      </w:r>
    </w:p>
    <w:p>
      <w:pPr>
        <w:numPr>
          <w:ilvl w:val="1"/>
          <w:numId w:val="1019"/>
        </w:numPr>
      </w:pPr>
      <w:r>
        <w:t xml:space="preserve">Financial institutions for green financing</w:t>
      </w:r>
    </w:p>
    <w:p>
      <w:pPr>
        <w:numPr>
          <w:ilvl w:val="1"/>
          <w:numId w:val="1019"/>
        </w:numPr>
      </w:pPr>
      <w:r>
        <w:t xml:space="preserve">Community organizations for equity outreach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Support Programs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Technical assistance for building assessments</w:t>
      </w:r>
    </w:p>
    <w:p>
      <w:pPr>
        <w:numPr>
          <w:ilvl w:val="1"/>
          <w:numId w:val="1020"/>
        </w:numPr>
      </w:pPr>
      <w:r>
        <w:t xml:space="preserve">Contractor certification program</w:t>
      </w:r>
    </w:p>
    <w:p>
      <w:pPr>
        <w:numPr>
          <w:ilvl w:val="1"/>
          <w:numId w:val="1020"/>
        </w:numPr>
      </w:pPr>
      <w:r>
        <w:t xml:space="preserve">Financing options development</w:t>
      </w:r>
    </w:p>
    <w:p>
      <w:pPr>
        <w:numPr>
          <w:ilvl w:val="1"/>
          <w:numId w:val="1020"/>
        </w:numPr>
      </w:pPr>
      <w:r>
        <w:t xml:space="preserve">Multilingual outreach materials</w:t>
      </w:r>
    </w:p>
    <w:bookmarkEnd w:id="31"/>
    <w:bookmarkEnd w:id="32"/>
    <w:bookmarkStart w:id="33" w:name="X7841bae81a6497c12264df0b7c402c5ade8bcbf"/>
    <w:p>
      <w:pPr>
        <w:pStyle w:val="Heading1"/>
      </w:pPr>
      <w:r>
        <w:t xml:space="preserve">WARRANT ARTICLE STRUCTURE RECOMMENDATIONS</w:t>
      </w:r>
    </w:p>
    <w:p>
      <w:pPr>
        <w:pStyle w:val="FirstParagraph"/>
      </w:pPr>
      <w:r>
        <w:t xml:space="preserve">Article Components for Phase 1 (2026)</w:t>
      </w:r>
    </w:p>
    <w:p>
      <w:pPr>
        <w:pStyle w:val="BodyText"/>
      </w:pPr>
      <w:r>
        <w:t xml:space="preserve">Section 1: Purpose and Authority</w:t>
      </w:r>
    </w:p>
    <w:p>
      <w:pPr>
        <w:numPr>
          <w:ilvl w:val="0"/>
          <w:numId w:val="1021"/>
        </w:numPr>
      </w:pPr>
      <w:r>
        <w:t xml:space="preserve">Reference to WA37 and 2040 net-zero goal</w:t>
      </w:r>
    </w:p>
    <w:p>
      <w:pPr>
        <w:numPr>
          <w:ilvl w:val="0"/>
          <w:numId w:val="1021"/>
        </w:numPr>
      </w:pPr>
      <w:r>
        <w:t xml:space="preserve">Climate emergency declaration context</w:t>
      </w:r>
    </w:p>
    <w:p>
      <w:pPr>
        <w:numPr>
          <w:ilvl w:val="0"/>
          <w:numId w:val="1021"/>
        </w:numPr>
      </w:pPr>
      <w:r>
        <w:t xml:space="preserve">Home rule petition if needed</w:t>
      </w:r>
    </w:p>
    <w:p>
      <w:pPr>
        <w:pStyle w:val="FirstParagraph"/>
      </w:pPr>
      <w:r>
        <w:t xml:space="preserve">Section 2: Definitions</w:t>
      </w:r>
    </w:p>
    <w:p>
      <w:pPr>
        <w:numPr>
          <w:ilvl w:val="0"/>
          <w:numId w:val="1022"/>
        </w:numPr>
      </w:pPr>
      <w:r>
        <w:t xml:space="preserve">Covered buildings (initially non-residential ≥20,000 SF)</w:t>
      </w:r>
    </w:p>
    <w:p>
      <w:pPr>
        <w:numPr>
          <w:ilvl w:val="0"/>
          <w:numId w:val="1022"/>
        </w:numPr>
      </w:pPr>
      <w:r>
        <w:t xml:space="preserve">Emissions standards</w:t>
      </w:r>
    </w:p>
    <w:p>
      <w:pPr>
        <w:numPr>
          <w:ilvl w:val="0"/>
          <w:numId w:val="1022"/>
        </w:numPr>
      </w:pPr>
      <w:r>
        <w:t xml:space="preserve">Reporting requirements</w:t>
      </w:r>
    </w:p>
    <w:p>
      <w:pPr>
        <w:numPr>
          <w:ilvl w:val="0"/>
          <w:numId w:val="1022"/>
        </w:numPr>
      </w:pPr>
      <w:r>
        <w:t xml:space="preserve">Compliance pathways</w:t>
      </w:r>
    </w:p>
    <w:p>
      <w:pPr>
        <w:pStyle w:val="FirstParagraph"/>
      </w:pPr>
      <w:r>
        <w:t xml:space="preserve">Section 3: Reporting Requirements</w:t>
      </w:r>
    </w:p>
    <w:p>
      <w:pPr>
        <w:numPr>
          <w:ilvl w:val="0"/>
          <w:numId w:val="1023"/>
        </w:numPr>
      </w:pPr>
      <w:r>
        <w:t xml:space="preserve">Annual energy use reporting</w:t>
      </w:r>
    </w:p>
    <w:p>
      <w:pPr>
        <w:numPr>
          <w:ilvl w:val="0"/>
          <w:numId w:val="1023"/>
        </w:numPr>
      </w:pPr>
      <w:r>
        <w:t xml:space="preserve">GHG emissions calculations</w:t>
      </w:r>
    </w:p>
    <w:p>
      <w:pPr>
        <w:numPr>
          <w:ilvl w:val="0"/>
          <w:numId w:val="1023"/>
        </w:numPr>
      </w:pPr>
      <w:r>
        <w:t xml:space="preserve">Alignment with MA LBER</w:t>
      </w:r>
    </w:p>
    <w:p>
      <w:pPr>
        <w:numPr>
          <w:ilvl w:val="0"/>
          <w:numId w:val="1023"/>
        </w:numPr>
      </w:pPr>
      <w:r>
        <w:t xml:space="preserve">Public disclosure provisions</w:t>
      </w:r>
    </w:p>
    <w:p>
      <w:pPr>
        <w:pStyle w:val="FirstParagraph"/>
      </w:pPr>
      <w:r>
        <w:t xml:space="preserve">Section 4: Governance</w:t>
      </w:r>
    </w:p>
    <w:p>
      <w:pPr>
        <w:numPr>
          <w:ilvl w:val="0"/>
          <w:numId w:val="1024"/>
        </w:numPr>
      </w:pPr>
      <w:r>
        <w:t xml:space="preserve">BERDO Review Board composition (7-9 members)</w:t>
      </w:r>
    </w:p>
    <w:p>
      <w:pPr>
        <w:numPr>
          <w:ilvl w:val="0"/>
          <w:numId w:val="1024"/>
        </w:numPr>
      </w:pPr>
      <w:r>
        <w:t xml:space="preserve">Appeals process</w:t>
      </w:r>
    </w:p>
    <w:p>
      <w:pPr>
        <w:numPr>
          <w:ilvl w:val="0"/>
          <w:numId w:val="1024"/>
        </w:numPr>
      </w:pPr>
      <w:r>
        <w:t xml:space="preserve">Hardship exemptions</w:t>
      </w:r>
    </w:p>
    <w:p>
      <w:pPr>
        <w:numPr>
          <w:ilvl w:val="0"/>
          <w:numId w:val="1024"/>
        </w:numPr>
      </w:pPr>
      <w:r>
        <w:t xml:space="preserve">Enforcement mechanisms</w:t>
      </w:r>
    </w:p>
    <w:p>
      <w:pPr>
        <w:pStyle w:val="FirstParagraph"/>
      </w:pPr>
      <w:r>
        <w:t xml:space="preserve">Section 5: Compliance Options</w:t>
      </w:r>
    </w:p>
    <w:p>
      <w:pPr>
        <w:numPr>
          <w:ilvl w:val="0"/>
          <w:numId w:val="1025"/>
        </w:numPr>
      </w:pPr>
      <w:r>
        <w:t xml:space="preserve">Primary compliance (emissions reduction)</w:t>
      </w:r>
    </w:p>
    <w:p>
      <w:pPr>
        <w:numPr>
          <w:ilvl w:val="0"/>
          <w:numId w:val="1025"/>
        </w:numPr>
      </w:pPr>
      <w:r>
        <w:t xml:space="preserve">Alternative Compliance Payments</w:t>
      </w:r>
    </w:p>
    <w:p>
      <w:pPr>
        <w:numPr>
          <w:ilvl w:val="0"/>
          <w:numId w:val="1025"/>
        </w:numPr>
      </w:pPr>
      <w:r>
        <w:t xml:space="preserve">End of Useful Life provisions</w:t>
      </w:r>
    </w:p>
    <w:p>
      <w:pPr>
        <w:numPr>
          <w:ilvl w:val="0"/>
          <w:numId w:val="1025"/>
        </w:numPr>
      </w:pPr>
      <w:r>
        <w:t xml:space="preserve">Credit for renewable energy</w:t>
      </w:r>
    </w:p>
    <w:p>
      <w:pPr>
        <w:pStyle w:val="FirstParagraph"/>
      </w:pPr>
      <w:r>
        <w:t xml:space="preserve">Section 6: Equity Provisions</w:t>
      </w:r>
    </w:p>
    <w:p>
      <w:pPr>
        <w:numPr>
          <w:ilvl w:val="0"/>
          <w:numId w:val="1026"/>
        </w:numPr>
      </w:pPr>
      <w:r>
        <w:t xml:space="preserve">Environmental Justice considerations</w:t>
      </w:r>
    </w:p>
    <w:p>
      <w:pPr>
        <w:numPr>
          <w:ilvl w:val="0"/>
          <w:numId w:val="1026"/>
        </w:numPr>
      </w:pPr>
      <w:r>
        <w:t xml:space="preserve">Equitable Emissions Investment Fund</w:t>
      </w:r>
    </w:p>
    <w:p>
      <w:pPr>
        <w:numPr>
          <w:ilvl w:val="0"/>
          <w:numId w:val="1026"/>
        </w:numPr>
      </w:pPr>
      <w:r>
        <w:t xml:space="preserve">Support for disadvantaged building owners</w:t>
      </w:r>
    </w:p>
    <w:p>
      <w:pPr>
        <w:numPr>
          <w:ilvl w:val="0"/>
          <w:numId w:val="1026"/>
        </w:numPr>
      </w:pPr>
      <w:r>
        <w:t xml:space="preserve">Anti-displacement measures</w:t>
      </w:r>
    </w:p>
    <w:p>
      <w:pPr>
        <w:pStyle w:val="FirstParagraph"/>
      </w:pPr>
      <w:r>
        <w:t xml:space="preserve">Section 7: Implementation Timeline</w:t>
      </w:r>
    </w:p>
    <w:p>
      <w:pPr>
        <w:numPr>
          <w:ilvl w:val="0"/>
          <w:numId w:val="1027"/>
        </w:numPr>
      </w:pPr>
      <w:r>
        <w:t xml:space="preserve">Effective dates</w:t>
      </w:r>
    </w:p>
    <w:p>
      <w:pPr>
        <w:numPr>
          <w:ilvl w:val="0"/>
          <w:numId w:val="1027"/>
        </w:numPr>
      </w:pPr>
      <w:r>
        <w:t xml:space="preserve">Reporting deadlines</w:t>
      </w:r>
    </w:p>
    <w:p>
      <w:pPr>
        <w:numPr>
          <w:ilvl w:val="0"/>
          <w:numId w:val="1027"/>
        </w:numPr>
      </w:pPr>
      <w:r>
        <w:t xml:space="preserve">Compliance phase-in schedule</w:t>
      </w:r>
    </w:p>
    <w:p>
      <w:pPr>
        <w:numPr>
          <w:ilvl w:val="0"/>
          <w:numId w:val="1027"/>
        </w:numPr>
      </w:pPr>
      <w:r>
        <w:t xml:space="preserve">Review and amendment provisions</w:t>
      </w:r>
    </w:p>
    <w:p>
      <w:pPr>
        <w:pStyle w:val="FirstParagraph"/>
      </w:pPr>
      <w:r>
        <w:t xml:space="preserve">Built-in Expansion Mechanisms</w:t>
      </w:r>
    </w:p>
    <w:p>
      <w:pPr>
        <w:pStyle w:val="BodyText"/>
      </w:pPr>
      <w:r>
        <w:t xml:space="preserve">Include provisions that allow Town Meeting to expand coverage via future amendments without rewriting the entire ordinance:</w:t>
      </w:r>
    </w:p>
    <w:p>
      <w:pPr>
        <w:numPr>
          <w:ilvl w:val="0"/>
          <w:numId w:val="1028"/>
        </w:numPr>
      </w:pPr>
      <w:r>
        <w:t xml:space="preserve">Adjustable building size thresholds</w:t>
      </w:r>
    </w:p>
    <w:p>
      <w:pPr>
        <w:numPr>
          <w:ilvl w:val="0"/>
          <w:numId w:val="1028"/>
        </w:numPr>
      </w:pPr>
      <w:r>
        <w:t xml:space="preserve">Expandable building type definitions</w:t>
      </w:r>
    </w:p>
    <w:p>
      <w:pPr>
        <w:numPr>
          <w:ilvl w:val="0"/>
          <w:numId w:val="1028"/>
        </w:numPr>
      </w:pPr>
      <w:r>
        <w:t xml:space="preserve">Scalable emissions standards</w:t>
      </w:r>
    </w:p>
    <w:p>
      <w:pPr>
        <w:numPr>
          <w:ilvl w:val="0"/>
          <w:numId w:val="1028"/>
        </w:numPr>
      </w:pPr>
      <w:r>
        <w:t xml:space="preserve">Flexible compliance timelines</w:t>
      </w:r>
    </w:p>
    <w:bookmarkEnd w:id="33"/>
    <w:bookmarkStart w:id="34" w:name="stakeholder-engagement-plan"/>
    <w:p>
      <w:pPr>
        <w:pStyle w:val="Heading1"/>
      </w:pPr>
      <w:r>
        <w:t xml:space="preserve">STAKEHOLDER ENGAGEMENT PLAN</w:t>
      </w:r>
    </w:p>
    <w:p>
      <w:pPr>
        <w:pStyle w:val="FirstParagraph"/>
      </w:pPr>
      <w:r>
        <w:t xml:space="preserve">Phase 1A: Pre-Filing (Fall 2025)</w:t>
      </w:r>
    </w:p>
    <w:p>
      <w:pPr>
        <w:numPr>
          <w:ilvl w:val="0"/>
          <w:numId w:val="1029"/>
        </w:numPr>
      </w:pPr>
      <w:r>
        <w:t xml:space="preserve">Form BERDO Working Group</w:t>
      </w:r>
    </w:p>
    <w:p>
      <w:pPr>
        <w:numPr>
          <w:ilvl w:val="0"/>
          <w:numId w:val="1029"/>
        </w:numPr>
      </w:pPr>
      <w:r>
        <w:t xml:space="preserve">Create informational documentation for distribution</w:t>
      </w:r>
    </w:p>
    <w:p>
      <w:pPr>
        <w:numPr>
          <w:ilvl w:val="0"/>
          <w:numId w:val="1029"/>
        </w:numPr>
      </w:pPr>
      <w:r>
        <w:t xml:space="preserve">Work with local advocacy groups</w:t>
      </w:r>
    </w:p>
    <w:p>
      <w:pPr>
        <w:numPr>
          <w:ilvl w:val="0"/>
          <w:numId w:val="1029"/>
        </w:numPr>
      </w:pPr>
      <w:r>
        <w:t xml:space="preserve">Outreach to TMMs, Select Board Members, Town Staff</w:t>
      </w:r>
    </w:p>
    <w:p>
      <w:pPr>
        <w:numPr>
          <w:ilvl w:val="0"/>
          <w:numId w:val="1029"/>
        </w:numPr>
      </w:pPr>
      <w:r>
        <w:t xml:space="preserve">Conduct public meeting(s) with:</w:t>
      </w:r>
    </w:p>
    <w:p>
      <w:pPr>
        <w:numPr>
          <w:ilvl w:val="1"/>
          <w:numId w:val="1030"/>
        </w:numPr>
      </w:pPr>
      <w:r>
        <w:t xml:space="preserve">Commercial property owners</w:t>
      </w:r>
    </w:p>
    <w:p>
      <w:pPr>
        <w:numPr>
          <w:ilvl w:val="1"/>
          <w:numId w:val="1030"/>
        </w:numPr>
      </w:pPr>
      <w:r>
        <w:t xml:space="preserve">Residential property managers</w:t>
      </w:r>
    </w:p>
    <w:p>
      <w:pPr>
        <w:numPr>
          <w:ilvl w:val="1"/>
          <w:numId w:val="1030"/>
        </w:numPr>
      </w:pPr>
      <w:r>
        <w:t xml:space="preserve">Environmental groups</w:t>
      </w:r>
    </w:p>
    <w:p>
      <w:pPr>
        <w:numPr>
          <w:ilvl w:val="1"/>
          <w:numId w:val="1030"/>
        </w:numPr>
      </w:pPr>
      <w:r>
        <w:t xml:space="preserve">Equity advocates</w:t>
      </w:r>
    </w:p>
    <w:p>
      <w:pPr>
        <w:numPr>
          <w:ilvl w:val="1"/>
          <w:numId w:val="1030"/>
        </w:numPr>
      </w:pPr>
      <w:r>
        <w:t xml:space="preserve">Business associations</w:t>
      </w:r>
    </w:p>
    <w:p>
      <w:pPr>
        <w:pStyle w:val="FirstParagraph"/>
      </w:pPr>
      <w:r>
        <w:t xml:space="preserve">Phase 1B: Development (Winter 2025-26)</w:t>
      </w:r>
    </w:p>
    <w:p>
      <w:pPr>
        <w:numPr>
          <w:ilvl w:val="0"/>
          <w:numId w:val="1031"/>
        </w:numPr>
      </w:pPr>
      <w:r>
        <w:t xml:space="preserve">Draft warrant article with legal review</w:t>
      </w:r>
    </w:p>
    <w:p>
      <w:pPr>
        <w:numPr>
          <w:ilvl w:val="0"/>
          <w:numId w:val="1031"/>
        </w:numPr>
      </w:pPr>
      <w:r>
        <w:t xml:space="preserve">Public comment period</w:t>
      </w:r>
    </w:p>
    <w:p>
      <w:pPr>
        <w:numPr>
          <w:ilvl w:val="0"/>
          <w:numId w:val="1031"/>
        </w:numPr>
      </w:pPr>
      <w:r>
        <w:t xml:space="preserve">Advisory committee reviews</w:t>
      </w:r>
    </w:p>
    <w:p>
      <w:pPr>
        <w:numPr>
          <w:ilvl w:val="0"/>
          <w:numId w:val="1031"/>
        </w:numPr>
      </w:pPr>
      <w:r>
        <w:t xml:space="preserve">Refinement based on feedback</w:t>
      </w:r>
    </w:p>
    <w:p>
      <w:pPr>
        <w:pStyle w:val="FirstParagraph"/>
      </w:pPr>
      <w:r>
        <w:t xml:space="preserve">Phase 1C: Advocacy (Spring 2026)</w:t>
      </w:r>
    </w:p>
    <w:p>
      <w:pPr>
        <w:numPr>
          <w:ilvl w:val="0"/>
          <w:numId w:val="1032"/>
        </w:numPr>
      </w:pPr>
      <w:r>
        <w:t xml:space="preserve">Public education campaign</w:t>
      </w:r>
    </w:p>
    <w:p>
      <w:pPr>
        <w:numPr>
          <w:ilvl w:val="0"/>
          <w:numId w:val="1032"/>
        </w:numPr>
      </w:pPr>
      <w:r>
        <w:t xml:space="preserve">Building owner workshops</w:t>
      </w:r>
    </w:p>
    <w:p>
      <w:pPr>
        <w:numPr>
          <w:ilvl w:val="0"/>
          <w:numId w:val="1032"/>
        </w:numPr>
      </w:pPr>
      <w:r>
        <w:t xml:space="preserve">Financial impact assessments</w:t>
      </w:r>
    </w:p>
    <w:p>
      <w:pPr>
        <w:numPr>
          <w:ilvl w:val="0"/>
          <w:numId w:val="1032"/>
        </w:numPr>
      </w:pPr>
      <w:r>
        <w:t xml:space="preserve">Coalition building</w:t>
      </w:r>
    </w:p>
    <w:p>
      <w:pPr>
        <w:pStyle w:val="FirstParagraph"/>
      </w:pPr>
      <w:r>
        <w:t xml:space="preserve">Political</w:t>
      </w:r>
    </w:p>
    <w:p>
      <w:pPr>
        <w:numPr>
          <w:ilvl w:val="0"/>
          <w:numId w:val="1033"/>
        </w:numPr>
      </w:pPr>
      <w:r>
        <w:t xml:space="preserve">Start conservatively to build trust</w:t>
      </w:r>
    </w:p>
    <w:p>
      <w:pPr>
        <w:numPr>
          <w:ilvl w:val="0"/>
          <w:numId w:val="1033"/>
        </w:numPr>
      </w:pPr>
      <w:r>
        <w:t xml:space="preserve">Show success before expanding</w:t>
      </w:r>
    </w:p>
    <w:p>
      <w:pPr>
        <w:numPr>
          <w:ilvl w:val="0"/>
          <w:numId w:val="1033"/>
        </w:numPr>
      </w:pPr>
      <w:r>
        <w:t xml:space="preserve">Emphasize voluntary participation initially</w:t>
      </w:r>
    </w:p>
    <w:p>
      <w:pPr>
        <w:numPr>
          <w:ilvl w:val="0"/>
          <w:numId w:val="1033"/>
        </w:numPr>
      </w:pPr>
      <w:r>
        <w:t xml:space="preserve">Highlight peer community examples</w:t>
      </w:r>
    </w:p>
    <w:p>
      <w:pPr>
        <w:pStyle w:val="FirstParagraph"/>
      </w:pPr>
      <w:r>
        <w:t xml:space="preserve">Financial</w:t>
      </w:r>
    </w:p>
    <w:p>
      <w:pPr>
        <w:numPr>
          <w:ilvl w:val="0"/>
          <w:numId w:val="1034"/>
        </w:numPr>
      </w:pPr>
      <w:r>
        <w:t xml:space="preserve">Minimize initial costs to building owners</w:t>
      </w:r>
    </w:p>
    <w:p>
      <w:pPr>
        <w:numPr>
          <w:ilvl w:val="0"/>
          <w:numId w:val="1034"/>
        </w:numPr>
      </w:pPr>
      <w:r>
        <w:t xml:space="preserve">Develop robust assistance programs</w:t>
      </w:r>
    </w:p>
    <w:p>
      <w:pPr>
        <w:numPr>
          <w:ilvl w:val="0"/>
          <w:numId w:val="1034"/>
        </w:numPr>
      </w:pPr>
      <w:r>
        <w:t xml:space="preserve">Use ACP revenue for support programs</w:t>
      </w:r>
    </w:p>
    <w:p>
      <w:pPr>
        <w:numPr>
          <w:ilvl w:val="0"/>
          <w:numId w:val="1034"/>
        </w:numPr>
      </w:pPr>
      <w:r>
        <w:t xml:space="preserve">Partner with existing efficiency programs</w:t>
      </w:r>
    </w:p>
    <w:p>
      <w:pPr>
        <w:pStyle w:val="FirstParagraph"/>
      </w:pPr>
      <w:r>
        <w:t xml:space="preserve">Technical</w:t>
      </w:r>
    </w:p>
    <w:p>
      <w:pPr>
        <w:numPr>
          <w:ilvl w:val="0"/>
          <w:numId w:val="1035"/>
        </w:numPr>
      </w:pPr>
      <w:r>
        <w:t xml:space="preserve">Leverage MA LBER infrastructure</w:t>
      </w:r>
    </w:p>
    <w:p>
      <w:pPr>
        <w:numPr>
          <w:ilvl w:val="0"/>
          <w:numId w:val="1035"/>
        </w:numPr>
      </w:pPr>
      <w:r>
        <w:t xml:space="preserve">Learn from Newton's implementation</w:t>
      </w:r>
    </w:p>
    <w:p>
      <w:pPr>
        <w:numPr>
          <w:ilvl w:val="0"/>
          <w:numId w:val="1035"/>
        </w:numPr>
      </w:pPr>
      <w:r>
        <w:t xml:space="preserve">Provide extensive technical assistance</w:t>
      </w:r>
    </w:p>
    <w:p>
      <w:pPr>
        <w:numPr>
          <w:ilvl w:val="0"/>
          <w:numId w:val="1035"/>
        </w:numPr>
      </w:pPr>
      <w:r>
        <w:t xml:space="preserve">Simplify reporting where possible</w:t>
      </w:r>
    </w:p>
    <w:bookmarkEnd w:id="34"/>
    <w:bookmarkStart w:id="37" w:name="marketing-material"/>
    <w:p>
      <w:pPr>
        <w:pStyle w:val="Heading1"/>
      </w:pPr>
      <w:r>
        <w:t xml:space="preserve">MARKETING MATERIAL</w:t>
      </w:r>
    </w:p>
    <w:bookmarkStart w:id="35" w:name="X3a1806150d387b41d821795fb341c80e81c5526"/>
    <w:p>
      <w:pPr>
        <w:pStyle w:val="Heading2"/>
      </w:pPr>
      <w:r>
        <w:t xml:space="preserve">1. Persuasive / Political Version (for Town Meeting Members &amp; Policy Stakeholders)</w:t>
      </w:r>
    </w:p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rPr>
          <w:iCs/>
          <w:i/>
        </w:rPr>
        <w:t xml:space="preserve">BERDO: Building Brookline’s Path to Net Zero</w:t>
      </w:r>
    </w:p>
    <w:p>
      <w:pPr>
        <w:pStyle w:val="BodyText"/>
      </w:pPr>
      <w:r>
        <w:rPr>
          <w:bCs/>
          <w:b/>
        </w:rPr>
        <w:t xml:space="preserve">Why BERDO?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43% of emissions</w:t>
      </w:r>
      <w:r>
        <w:t xml:space="preserve"> </w:t>
      </w:r>
      <w:r>
        <w:t xml:space="preserve">in Brookline come from buildings.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Peer towns (Boston, Cambridge, Lexington, Newton)</w:t>
      </w:r>
      <w:r>
        <w:t xml:space="preserve"> </w:t>
      </w:r>
      <w:r>
        <w:t xml:space="preserve">already have BERDOs.</w:t>
      </w:r>
    </w:p>
    <w:p>
      <w:pPr>
        <w:numPr>
          <w:ilvl w:val="0"/>
          <w:numId w:val="1036"/>
        </w:numPr>
      </w:pPr>
      <w:r>
        <w:t xml:space="preserve">A phased Brookline BERDO ensures</w:t>
      </w:r>
      <w:r>
        <w:t xml:space="preserve"> </w:t>
      </w:r>
      <w:r>
        <w:rPr>
          <w:bCs/>
          <w:b/>
        </w:rPr>
        <w:t xml:space="preserve">measurable reductions, local control, and equity protections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Key Benefits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Climate Leadership:</w:t>
      </w:r>
      <w:r>
        <w:t xml:space="preserve"> </w:t>
      </w:r>
      <w:r>
        <w:t xml:space="preserve">Positions Brookline as a leader in Massachusetts municipal climate policy.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Economic Sense:</w:t>
      </w:r>
      <w:r>
        <w:t xml:space="preserve"> </w:t>
      </w:r>
      <w:r>
        <w:t xml:space="preserve">Alternative Compliance Payments could generate</w:t>
      </w:r>
      <w:r>
        <w:t xml:space="preserve"> </w:t>
      </w:r>
      <w:r>
        <w:rPr>
          <w:bCs/>
          <w:b/>
        </w:rPr>
        <w:t xml:space="preserve">$2–5M annually</w:t>
      </w:r>
      <w:r>
        <w:t xml:space="preserve"> </w:t>
      </w:r>
      <w:r>
        <w:t xml:space="preserve">to offset program costs and fund equity programs.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Political Strategy:</w:t>
      </w:r>
      <w:r>
        <w:t xml:space="preserve"> </w:t>
      </w:r>
      <w:r>
        <w:t xml:space="preserve">Start conservatively, prove success, then expand.</w:t>
      </w:r>
    </w:p>
    <w:p>
      <w:pPr>
        <w:pStyle w:val="FirstParagraph"/>
      </w:pPr>
      <w:r>
        <w:rPr>
          <w:bCs/>
          <w:b/>
        </w:rPr>
        <w:t xml:space="preserve">Implementation Strategy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Phase 1 (2026–28):</w:t>
      </w:r>
      <w:r>
        <w:t xml:space="preserve"> </w:t>
      </w:r>
      <w:r>
        <w:t xml:space="preserve">Cover large non-residential buildings ≥20,000 SF. Establish Review Board, reporting, and compliance systems.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Phase 2 (2029–31):</w:t>
      </w:r>
      <w:r>
        <w:t xml:space="preserve"> </w:t>
      </w:r>
      <w:r>
        <w:t xml:space="preserve">Add large residential buildings. Introduce ACP system and equity fund.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Phase 3 (2032–35):</w:t>
      </w:r>
      <w:r>
        <w:t xml:space="preserve"> </w:t>
      </w:r>
      <w:r>
        <w:t xml:space="preserve">Gradually expand to smaller buildings, with exemptions and assistance.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Phase 4 (2036–40):</w:t>
      </w:r>
      <w:r>
        <w:t xml:space="preserve"> </w:t>
      </w:r>
      <w:r>
        <w:t xml:space="preserve">Full net-zero coverage.</w:t>
      </w:r>
    </w:p>
    <w:p>
      <w:pPr>
        <w:pStyle w:val="FirstParagraph"/>
      </w:pPr>
      <w:r>
        <w:rPr>
          <w:bCs/>
          <w:b/>
        </w:rPr>
        <w:t xml:space="preserve">Governance &amp; Resources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Review Board:</w:t>
      </w:r>
      <w:r>
        <w:t xml:space="preserve"> </w:t>
      </w:r>
      <w:r>
        <w:t xml:space="preserve">7–9 members, with equity and environmental expertise.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Staffing:</w:t>
      </w:r>
      <w:r>
        <w:t xml:space="preserve"> </w:t>
      </w:r>
      <w:r>
        <w:t xml:space="preserve">4–5 FTE at maturity; fully offset by ACP revenue.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Flexibility:</w:t>
      </w:r>
      <w:r>
        <w:t xml:space="preserve"> </w:t>
      </w:r>
      <w:r>
        <w:t xml:space="preserve">Ordinance drafted to allow future expansions via amendments, without rewriting.</w:t>
      </w:r>
    </w:p>
    <w:p>
      <w:pPr>
        <w:pStyle w:val="FirstParagraph"/>
      </w:pPr>
      <w:r>
        <w:rPr>
          <w:bCs/>
          <w:b/>
        </w:rPr>
        <w:t xml:space="preserve">Why Town Meeting Should Support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Low political risk:</w:t>
      </w:r>
      <w:r>
        <w:t xml:space="preserve"> </w:t>
      </w:r>
      <w:r>
        <w:t xml:space="preserve">Conservative start with high feasibility.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High return:</w:t>
      </w:r>
      <w:r>
        <w:t xml:space="preserve"> </w:t>
      </w:r>
      <w:r>
        <w:t xml:space="preserve">Significant emissions reductions, self-funding mechanism.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Equity-first design:</w:t>
      </w:r>
      <w:r>
        <w:t xml:space="preserve"> </w:t>
      </w:r>
      <w:r>
        <w:t xml:space="preserve">Prevents burden on vulnerable households.</w:t>
      </w:r>
    </w:p>
    <w:bookmarkEnd w:id="35"/>
    <w:bookmarkStart w:id="36" w:name="X7661658cadbc92cc7a33fedd04de5b7100a5c23"/>
    <w:p>
      <w:pPr>
        <w:pStyle w:val="Heading2"/>
      </w:pPr>
      <w:r>
        <w:t xml:space="preserve">2. Public-Friendly Flyer (for Residents &amp; Building Owners)</w:t>
      </w:r>
    </w:p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rPr>
          <w:iCs/>
          <w:i/>
        </w:rPr>
        <w:t xml:space="preserve">Cleaner, Healthier, Smarter Buildings for Brookline</w:t>
      </w:r>
      <w:r>
        <w:br/>
      </w:r>
      <w:r>
        <w:rPr>
          <w:iCs/>
          <w:i/>
        </w:rPr>
        <w:t xml:space="preserve">What is BERDO and why does it matter for you?</w:t>
      </w:r>
    </w:p>
    <w:p>
      <w:pPr>
        <w:pStyle w:val="BodyText"/>
      </w:pPr>
      <w:r>
        <w:rPr>
          <w:bCs/>
          <w:b/>
        </w:rPr>
        <w:t xml:space="preserve">What is BERDO?</w:t>
      </w:r>
    </w:p>
    <w:p>
      <w:pPr>
        <w:pStyle w:val="BodyText"/>
      </w:pPr>
      <w:r>
        <w:t xml:space="preserve">BERDO =</w:t>
      </w:r>
      <w:r>
        <w:t xml:space="preserve"> </w:t>
      </w:r>
      <w:r>
        <w:rPr>
          <w:bCs/>
          <w:b/>
        </w:rPr>
        <w:t xml:space="preserve">Building Energy Reporting and Disclosure Ordinance</w:t>
      </w:r>
      <w:r>
        <w:t xml:space="preserve">.</w:t>
      </w:r>
      <w:r>
        <w:br/>
      </w:r>
      <w:r>
        <w:t xml:space="preserve">It’s a law that helps us</w:t>
      </w:r>
      <w:r>
        <w:t xml:space="preserve"> </w:t>
      </w:r>
      <w:r>
        <w:rPr>
          <w:bCs/>
          <w:b/>
        </w:rPr>
        <w:t xml:space="preserve">track, report, and reduce energy use in buildings</w:t>
      </w:r>
      <w:r>
        <w:t xml:space="preserve">, making Brookline healthier and more affordable.</w:t>
      </w:r>
    </w:p>
    <w:p>
      <w:pPr>
        <w:pStyle w:val="BodyText"/>
      </w:pPr>
      <w:r>
        <w:rPr>
          <w:bCs/>
          <w:b/>
        </w:rPr>
        <w:t xml:space="preserve">Why Buildings?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43% of our greenhouse gases come from buildings.</w:t>
      </w:r>
    </w:p>
    <w:p>
      <w:pPr>
        <w:numPr>
          <w:ilvl w:val="0"/>
          <w:numId w:val="1041"/>
        </w:numPr>
      </w:pPr>
      <w:r>
        <w:t xml:space="preserve">Homes, apartments, offices—all contribute to climate change.</w:t>
      </w:r>
    </w:p>
    <w:p>
      <w:pPr>
        <w:numPr>
          <w:ilvl w:val="0"/>
          <w:numId w:val="1041"/>
        </w:numPr>
      </w:pPr>
      <w:r>
        <w:t xml:space="preserve">Cleaner buildings mean</w:t>
      </w:r>
      <w:r>
        <w:t xml:space="preserve"> </w:t>
      </w:r>
      <w:r>
        <w:rPr>
          <w:bCs/>
          <w:b/>
        </w:rPr>
        <w:t xml:space="preserve">lower bills, healthier air, and stronger neighborhoods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What Will Happen First?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2026–2028:</w:t>
      </w:r>
      <w:r>
        <w:t xml:space="preserve"> </w:t>
      </w:r>
      <w:r>
        <w:t xml:space="preserve">Only big commercial buildings (like offices and institutions) need to report energy use.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2029–2031:</w:t>
      </w:r>
      <w:r>
        <w:t xml:space="preserve"> </w:t>
      </w:r>
      <w:r>
        <w:t xml:space="preserve">Large apartment buildings and condos join.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2032–2035:</w:t>
      </w:r>
      <w:r>
        <w:t xml:space="preserve"> </w:t>
      </w:r>
      <w:r>
        <w:t xml:space="preserve">Gradual expansion to more properties with lots of support programs.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By 2040:</w:t>
      </w:r>
      <w:r>
        <w:t xml:space="preserve"> </w:t>
      </w:r>
      <w:r>
        <w:t xml:space="preserve">Every building in Brookline is part of the solution.</w:t>
      </w:r>
    </w:p>
    <w:p>
      <w:pPr>
        <w:pStyle w:val="FirstParagraph"/>
      </w:pPr>
      <w:r>
        <w:rPr>
          <w:bCs/>
          <w:b/>
        </w:rPr>
        <w:t xml:space="preserve">How Will This Help Me?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Lower energy bills</w:t>
      </w:r>
      <w:r>
        <w:t xml:space="preserve"> </w:t>
      </w:r>
      <w:r>
        <w:t xml:space="preserve">from efficiency upgrades.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Cleaner air indoors and outdoors</w:t>
      </w:r>
      <w:r>
        <w:t xml:space="preserve"> </w:t>
      </w:r>
      <w:r>
        <w:t xml:space="preserve">by reducing fossil fuels.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Support for all residents</w:t>
      </w:r>
      <w:r>
        <w:t xml:space="preserve">—equity programs ensure affordability and protect renters.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Local jobs and training</w:t>
      </w:r>
      <w:r>
        <w:t xml:space="preserve"> </w:t>
      </w:r>
      <w:r>
        <w:t xml:space="preserve">in clean energy.</w:t>
      </w:r>
    </w:p>
    <w:p>
      <w:pPr>
        <w:pStyle w:val="FirstParagraph"/>
      </w:pPr>
      <w:r>
        <w:rPr>
          <w:bCs/>
          <w:b/>
        </w:rPr>
        <w:t xml:space="preserve">Who’s Paying?</w:t>
      </w:r>
    </w:p>
    <w:p>
      <w:pPr>
        <w:numPr>
          <w:ilvl w:val="0"/>
          <w:numId w:val="1044"/>
        </w:numPr>
      </w:pPr>
      <w:r>
        <w:t xml:space="preserve">Initial setup is modest ($300k).</w:t>
      </w:r>
    </w:p>
    <w:p>
      <w:pPr>
        <w:numPr>
          <w:ilvl w:val="0"/>
          <w:numId w:val="1044"/>
        </w:numPr>
      </w:pPr>
      <w:r>
        <w:t xml:space="preserve">Over time, building owners who don’t meet standards can make an</w:t>
      </w:r>
      <w:r>
        <w:t xml:space="preserve"> </w:t>
      </w:r>
      <w:r>
        <w:rPr>
          <w:bCs/>
          <w:b/>
        </w:rPr>
        <w:t xml:space="preserve">Alternative Compliance Payment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These payments will fund</w:t>
      </w:r>
      <w:r>
        <w:t xml:space="preserve"> </w:t>
      </w:r>
      <w:r>
        <w:rPr>
          <w:bCs/>
          <w:b/>
        </w:rPr>
        <w:t xml:space="preserve">millions in local support programs</w:t>
      </w:r>
      <w:r>
        <w:t xml:space="preserve"> </w:t>
      </w:r>
      <w:r>
        <w:t xml:space="preserve">to help residents and building owners.</w:t>
      </w:r>
    </w:p>
    <w:p>
      <w:pPr>
        <w:pStyle w:val="FirstParagraph"/>
      </w:pPr>
      <w:r>
        <w:rPr>
          <w:bCs/>
          <w:b/>
        </w:rPr>
        <w:t xml:space="preserve">Brookline Joins Our Neighbors</w:t>
      </w:r>
    </w:p>
    <w:p>
      <w:pPr>
        <w:pStyle w:val="BodyText"/>
      </w:pPr>
      <w:r>
        <w:t xml:space="preserve">Boston, Cambridge, Lexington, and Newton already have BERDOs. Brookline should, too. Together, we can lead Massachusetts toward a</w:t>
      </w:r>
      <w:r>
        <w:t xml:space="preserve"> </w:t>
      </w:r>
      <w:r>
        <w:rPr>
          <w:bCs/>
          <w:b/>
        </w:rPr>
        <w:t xml:space="preserve">healthier, more affordable, net-zero future</w:t>
      </w:r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2025-09-18T11:10:32Z</dcterms:created>
  <dcterms:modified xsi:type="dcterms:W3CDTF">2025-09-18T11:10:32Z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