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63B7D4" w14:textId="52C5B1C7" w:rsidR="005B0325" w:rsidRPr="008C623C" w:rsidRDefault="005B0325" w:rsidP="004B570D">
      <w:pPr>
        <w:pStyle w:val="p3"/>
        <w:rPr>
          <w:rFonts w:ascii="Arial" w:hAnsi="Arial" w:cs="Arial"/>
          <w:b/>
          <w:bCs/>
          <w:sz w:val="24"/>
          <w:szCs w:val="24"/>
        </w:rPr>
      </w:pPr>
      <w:r w:rsidRPr="008C623C">
        <w:rPr>
          <w:rFonts w:ascii="Arial" w:hAnsi="Arial" w:cs="Arial"/>
          <w:b/>
          <w:bCs/>
          <w:sz w:val="24"/>
          <w:szCs w:val="24"/>
        </w:rPr>
        <w:t>ZEAB BERDO INITIATIVE</w:t>
      </w:r>
      <w:r w:rsidR="006202EF">
        <w:rPr>
          <w:rFonts w:ascii="Arial" w:hAnsi="Arial" w:cs="Arial"/>
          <w:b/>
          <w:bCs/>
          <w:sz w:val="24"/>
          <w:szCs w:val="24"/>
        </w:rPr>
        <w:t xml:space="preserve"> SYNOPSIS</w:t>
      </w:r>
    </w:p>
    <w:p w14:paraId="4FF506F9" w14:textId="77777777" w:rsidR="005B0325" w:rsidRDefault="005B0325" w:rsidP="004B570D">
      <w:pPr>
        <w:pStyle w:val="p3"/>
        <w:rPr>
          <w:rFonts w:ascii="Arial" w:hAnsi="Arial" w:cs="Arial"/>
          <w:sz w:val="24"/>
          <w:szCs w:val="24"/>
        </w:rPr>
      </w:pPr>
    </w:p>
    <w:p w14:paraId="701BBFD2" w14:textId="77777777" w:rsidR="002C3821" w:rsidRDefault="002C3821" w:rsidP="002C3821">
      <w:pPr>
        <w:pStyle w:val="p3"/>
        <w:rPr>
          <w:rFonts w:ascii="Arial" w:hAnsi="Arial" w:cs="Arial"/>
          <w:sz w:val="24"/>
          <w:szCs w:val="24"/>
        </w:rPr>
      </w:pPr>
    </w:p>
    <w:tbl>
      <w:tblPr>
        <w:tblStyle w:val="TableGrid"/>
        <w:tblW w:w="0" w:type="auto"/>
        <w:tblLook w:val="04A0" w:firstRow="1" w:lastRow="0" w:firstColumn="1" w:lastColumn="0" w:noHBand="0" w:noVBand="1"/>
      </w:tblPr>
      <w:tblGrid>
        <w:gridCol w:w="4315"/>
        <w:gridCol w:w="5035"/>
      </w:tblGrid>
      <w:tr w:rsidR="00494587" w14:paraId="4DEDDF50" w14:textId="77777777" w:rsidTr="001C279F">
        <w:tc>
          <w:tcPr>
            <w:tcW w:w="9350" w:type="dxa"/>
            <w:gridSpan w:val="2"/>
          </w:tcPr>
          <w:p w14:paraId="5746B07F" w14:textId="4A6407E8" w:rsidR="00494587" w:rsidRDefault="00494587" w:rsidP="00B86F58">
            <w:pPr>
              <w:pStyle w:val="p3"/>
              <w:jc w:val="center"/>
              <w:rPr>
                <w:rFonts w:ascii="Arial" w:hAnsi="Arial" w:cs="Arial"/>
                <w:sz w:val="24"/>
                <w:szCs w:val="24"/>
              </w:rPr>
            </w:pPr>
            <w:r>
              <w:rPr>
                <w:rFonts w:ascii="Arial" w:hAnsi="Arial" w:cs="Arial"/>
                <w:sz w:val="24"/>
                <w:szCs w:val="24"/>
              </w:rPr>
              <w:t>GHG Emissions from Onsite Combustion of Natural Gas and Heating Oil</w:t>
            </w:r>
          </w:p>
        </w:tc>
      </w:tr>
      <w:tr w:rsidR="002C3821" w14:paraId="2D8AEC64" w14:textId="77777777" w:rsidTr="00B86F58">
        <w:tc>
          <w:tcPr>
            <w:tcW w:w="4315" w:type="dxa"/>
          </w:tcPr>
          <w:p w14:paraId="739AD4F8" w14:textId="77777777" w:rsidR="002C3821" w:rsidRDefault="002C3821" w:rsidP="00B86F58">
            <w:pPr>
              <w:pStyle w:val="p3"/>
              <w:rPr>
                <w:rFonts w:ascii="Arial" w:hAnsi="Arial" w:cs="Arial"/>
                <w:sz w:val="24"/>
                <w:szCs w:val="24"/>
              </w:rPr>
            </w:pPr>
          </w:p>
        </w:tc>
        <w:tc>
          <w:tcPr>
            <w:tcW w:w="5035" w:type="dxa"/>
            <w:vAlign w:val="center"/>
          </w:tcPr>
          <w:p w14:paraId="15E92DB3" w14:textId="77777777" w:rsidR="002C3821" w:rsidRDefault="002C3821" w:rsidP="00B86F58">
            <w:pPr>
              <w:pStyle w:val="p3"/>
              <w:jc w:val="center"/>
              <w:rPr>
                <w:rFonts w:ascii="Arial" w:hAnsi="Arial" w:cs="Arial"/>
                <w:sz w:val="24"/>
                <w:szCs w:val="24"/>
              </w:rPr>
            </w:pPr>
            <w:r>
              <w:rPr>
                <w:rFonts w:ascii="Arial" w:hAnsi="Arial" w:cs="Arial"/>
                <w:sz w:val="24"/>
                <w:szCs w:val="24"/>
              </w:rPr>
              <w:t>Portion of All Brookline GHG Emissions</w:t>
            </w:r>
          </w:p>
        </w:tc>
      </w:tr>
      <w:tr w:rsidR="002C3821" w14:paraId="331943FF" w14:textId="77777777" w:rsidTr="00B86F58">
        <w:tc>
          <w:tcPr>
            <w:tcW w:w="4315" w:type="dxa"/>
          </w:tcPr>
          <w:p w14:paraId="459B934B" w14:textId="0796DB37" w:rsidR="002C3821" w:rsidRDefault="002C3821" w:rsidP="00B86F58">
            <w:pPr>
              <w:pStyle w:val="p3"/>
              <w:rPr>
                <w:rFonts w:ascii="Arial" w:hAnsi="Arial" w:cs="Arial"/>
                <w:sz w:val="24"/>
                <w:szCs w:val="24"/>
              </w:rPr>
            </w:pPr>
            <w:r>
              <w:rPr>
                <w:rFonts w:ascii="Arial" w:hAnsi="Arial" w:cs="Arial"/>
                <w:sz w:val="24"/>
                <w:szCs w:val="24"/>
              </w:rPr>
              <w:t>Non-Residential Buildings</w:t>
            </w:r>
          </w:p>
        </w:tc>
        <w:tc>
          <w:tcPr>
            <w:tcW w:w="5035" w:type="dxa"/>
            <w:vAlign w:val="center"/>
          </w:tcPr>
          <w:p w14:paraId="7C6E6B5A" w14:textId="77777777" w:rsidR="002C3821" w:rsidRDefault="002C3821" w:rsidP="00B86F58">
            <w:pPr>
              <w:pStyle w:val="p3"/>
              <w:jc w:val="center"/>
              <w:rPr>
                <w:rFonts w:ascii="Arial" w:hAnsi="Arial" w:cs="Arial"/>
                <w:sz w:val="24"/>
                <w:szCs w:val="24"/>
              </w:rPr>
            </w:pPr>
            <w:r>
              <w:rPr>
                <w:rFonts w:ascii="Arial" w:hAnsi="Arial" w:cs="Arial"/>
                <w:sz w:val="24"/>
                <w:szCs w:val="24"/>
              </w:rPr>
              <w:t>19%</w:t>
            </w:r>
          </w:p>
        </w:tc>
      </w:tr>
      <w:tr w:rsidR="002C3821" w14:paraId="0FF1C690" w14:textId="77777777" w:rsidTr="00B86F58">
        <w:tc>
          <w:tcPr>
            <w:tcW w:w="4315" w:type="dxa"/>
          </w:tcPr>
          <w:p w14:paraId="6B52617B" w14:textId="4D6F58D4" w:rsidR="002C3821" w:rsidRDefault="002C3821" w:rsidP="00B86F58">
            <w:pPr>
              <w:pStyle w:val="p3"/>
              <w:rPr>
                <w:rFonts w:ascii="Arial" w:hAnsi="Arial" w:cs="Arial"/>
                <w:sz w:val="24"/>
                <w:szCs w:val="24"/>
              </w:rPr>
            </w:pPr>
            <w:r>
              <w:rPr>
                <w:rFonts w:ascii="Arial" w:hAnsi="Arial" w:cs="Arial"/>
                <w:sz w:val="24"/>
                <w:szCs w:val="24"/>
              </w:rPr>
              <w:t>One to Three Family Homes</w:t>
            </w:r>
          </w:p>
        </w:tc>
        <w:tc>
          <w:tcPr>
            <w:tcW w:w="5035" w:type="dxa"/>
            <w:vAlign w:val="center"/>
          </w:tcPr>
          <w:p w14:paraId="52728F56" w14:textId="77777777" w:rsidR="002C3821" w:rsidRDefault="002C3821" w:rsidP="00B86F58">
            <w:pPr>
              <w:pStyle w:val="p3"/>
              <w:jc w:val="center"/>
              <w:rPr>
                <w:rFonts w:ascii="Arial" w:hAnsi="Arial" w:cs="Arial"/>
                <w:sz w:val="24"/>
                <w:szCs w:val="24"/>
              </w:rPr>
            </w:pPr>
            <w:r>
              <w:rPr>
                <w:rFonts w:ascii="Arial" w:hAnsi="Arial" w:cs="Arial"/>
                <w:sz w:val="24"/>
                <w:szCs w:val="24"/>
              </w:rPr>
              <w:t>13%</w:t>
            </w:r>
          </w:p>
        </w:tc>
      </w:tr>
      <w:tr w:rsidR="002C3821" w14:paraId="723310D6" w14:textId="77777777" w:rsidTr="00B86F58">
        <w:tc>
          <w:tcPr>
            <w:tcW w:w="4315" w:type="dxa"/>
          </w:tcPr>
          <w:p w14:paraId="495B4081" w14:textId="7F401E49" w:rsidR="002C3821" w:rsidRDefault="002C3821" w:rsidP="00B86F58">
            <w:pPr>
              <w:pStyle w:val="p3"/>
              <w:rPr>
                <w:rFonts w:ascii="Arial" w:hAnsi="Arial" w:cs="Arial"/>
                <w:sz w:val="24"/>
                <w:szCs w:val="24"/>
              </w:rPr>
            </w:pPr>
            <w:r>
              <w:rPr>
                <w:rFonts w:ascii="Arial" w:hAnsi="Arial" w:cs="Arial"/>
                <w:sz w:val="24"/>
                <w:szCs w:val="24"/>
              </w:rPr>
              <w:t>Condominiums</w:t>
            </w:r>
          </w:p>
        </w:tc>
        <w:tc>
          <w:tcPr>
            <w:tcW w:w="5035" w:type="dxa"/>
            <w:vAlign w:val="center"/>
          </w:tcPr>
          <w:p w14:paraId="4CC66590" w14:textId="5BD6FE49" w:rsidR="002C3821" w:rsidRDefault="004A13F9" w:rsidP="00B86F58">
            <w:pPr>
              <w:pStyle w:val="p3"/>
              <w:jc w:val="center"/>
              <w:rPr>
                <w:rFonts w:ascii="Arial" w:hAnsi="Arial" w:cs="Arial"/>
                <w:sz w:val="24"/>
                <w:szCs w:val="24"/>
              </w:rPr>
            </w:pPr>
            <w:r>
              <w:rPr>
                <w:rFonts w:ascii="Arial" w:hAnsi="Arial" w:cs="Arial"/>
                <w:sz w:val="24"/>
                <w:szCs w:val="24"/>
              </w:rPr>
              <w:t>9</w:t>
            </w:r>
            <w:r w:rsidR="002C3821">
              <w:rPr>
                <w:rFonts w:ascii="Arial" w:hAnsi="Arial" w:cs="Arial"/>
                <w:sz w:val="24"/>
                <w:szCs w:val="24"/>
              </w:rPr>
              <w:t>%</w:t>
            </w:r>
          </w:p>
        </w:tc>
      </w:tr>
      <w:tr w:rsidR="002C3821" w14:paraId="0CBB5882" w14:textId="77777777" w:rsidTr="00B86F58">
        <w:tc>
          <w:tcPr>
            <w:tcW w:w="4315" w:type="dxa"/>
          </w:tcPr>
          <w:p w14:paraId="2C19E58B" w14:textId="31AB9122" w:rsidR="002C3821" w:rsidRDefault="002C3821" w:rsidP="00B86F58">
            <w:pPr>
              <w:pStyle w:val="p3"/>
              <w:rPr>
                <w:rFonts w:ascii="Arial" w:hAnsi="Arial" w:cs="Arial"/>
                <w:sz w:val="24"/>
                <w:szCs w:val="24"/>
              </w:rPr>
            </w:pPr>
            <w:r>
              <w:rPr>
                <w:rFonts w:ascii="Arial" w:hAnsi="Arial" w:cs="Arial"/>
                <w:sz w:val="24"/>
                <w:szCs w:val="24"/>
              </w:rPr>
              <w:t>Apartment Buildings</w:t>
            </w:r>
          </w:p>
        </w:tc>
        <w:tc>
          <w:tcPr>
            <w:tcW w:w="5035" w:type="dxa"/>
            <w:vAlign w:val="center"/>
          </w:tcPr>
          <w:p w14:paraId="7887CC73" w14:textId="77777777" w:rsidR="002C3821" w:rsidRDefault="002C3821" w:rsidP="00B86F58">
            <w:pPr>
              <w:pStyle w:val="p3"/>
              <w:jc w:val="center"/>
              <w:rPr>
                <w:rFonts w:ascii="Arial" w:hAnsi="Arial" w:cs="Arial"/>
                <w:sz w:val="24"/>
                <w:szCs w:val="24"/>
              </w:rPr>
            </w:pPr>
            <w:r>
              <w:rPr>
                <w:rFonts w:ascii="Arial" w:hAnsi="Arial" w:cs="Arial"/>
                <w:sz w:val="24"/>
                <w:szCs w:val="24"/>
              </w:rPr>
              <w:t>4%</w:t>
            </w:r>
          </w:p>
        </w:tc>
      </w:tr>
    </w:tbl>
    <w:p w14:paraId="69A85D4D" w14:textId="77777777" w:rsidR="002C3821" w:rsidRDefault="002C3821" w:rsidP="00F04054">
      <w:pPr>
        <w:pStyle w:val="p3"/>
        <w:rPr>
          <w:rFonts w:ascii="Arial" w:hAnsi="Arial" w:cs="Arial"/>
          <w:sz w:val="24"/>
          <w:szCs w:val="24"/>
        </w:rPr>
      </w:pPr>
    </w:p>
    <w:p w14:paraId="422E8779" w14:textId="7699774E" w:rsidR="00061E6B" w:rsidRPr="0037704D" w:rsidRDefault="00061E6B" w:rsidP="00061E6B">
      <w:pPr>
        <w:pStyle w:val="p3"/>
        <w:rPr>
          <w:rFonts w:ascii="Arial" w:hAnsi="Arial" w:cs="Arial"/>
          <w:color w:val="auto"/>
          <w:sz w:val="24"/>
          <w:szCs w:val="24"/>
        </w:rPr>
      </w:pPr>
      <w:r w:rsidRPr="0037704D">
        <w:rPr>
          <w:rFonts w:ascii="Arial" w:hAnsi="Arial" w:cs="Arial"/>
          <w:color w:val="auto"/>
          <w:sz w:val="24"/>
          <w:szCs w:val="24"/>
        </w:rPr>
        <w:t xml:space="preserve">Voluntary decarbonization/retrofit programs are not keeping </w:t>
      </w:r>
      <w:r>
        <w:rPr>
          <w:rFonts w:ascii="Arial" w:hAnsi="Arial" w:cs="Arial"/>
          <w:color w:val="auto"/>
          <w:sz w:val="24"/>
          <w:szCs w:val="24"/>
        </w:rPr>
        <w:t>Massachusetts</w:t>
      </w:r>
      <w:r w:rsidRPr="0037704D">
        <w:rPr>
          <w:rFonts w:ascii="Arial" w:hAnsi="Arial" w:cs="Arial"/>
          <w:color w:val="auto"/>
          <w:sz w:val="24"/>
          <w:szCs w:val="24"/>
        </w:rPr>
        <w:t xml:space="preserve"> on pace to meet </w:t>
      </w:r>
      <w:r w:rsidR="00E7489D">
        <w:rPr>
          <w:rFonts w:ascii="Arial" w:hAnsi="Arial" w:cs="Arial"/>
          <w:color w:val="auto"/>
          <w:sz w:val="24"/>
          <w:szCs w:val="24"/>
        </w:rPr>
        <w:t>its</w:t>
      </w:r>
      <w:r w:rsidRPr="0037704D">
        <w:rPr>
          <w:rFonts w:ascii="Arial" w:hAnsi="Arial" w:cs="Arial"/>
          <w:color w:val="auto"/>
          <w:sz w:val="24"/>
          <w:szCs w:val="24"/>
        </w:rPr>
        <w:t xml:space="preserve"> Net Zero goals</w:t>
      </w:r>
      <w:r>
        <w:rPr>
          <w:rFonts w:ascii="Arial" w:hAnsi="Arial" w:cs="Arial"/>
          <w:color w:val="auto"/>
          <w:sz w:val="24"/>
          <w:szCs w:val="24"/>
        </w:rPr>
        <w:t xml:space="preserve">.  </w:t>
      </w:r>
      <w:r w:rsidR="0035358F">
        <w:rPr>
          <w:rFonts w:ascii="Arial" w:hAnsi="Arial" w:cs="Arial"/>
          <w:color w:val="auto"/>
          <w:sz w:val="24"/>
          <w:szCs w:val="24"/>
        </w:rPr>
        <w:t>Several</w:t>
      </w:r>
      <w:r>
        <w:rPr>
          <w:rFonts w:ascii="Arial" w:hAnsi="Arial" w:cs="Arial"/>
          <w:color w:val="auto"/>
          <w:sz w:val="24"/>
          <w:szCs w:val="24"/>
        </w:rPr>
        <w:t xml:space="preserve"> municipalities have addressed this by enacting Building Energy Reporting and Disclosure Ordinances</w:t>
      </w:r>
      <w:r w:rsidR="0035358F">
        <w:rPr>
          <w:rFonts w:ascii="Arial" w:hAnsi="Arial" w:cs="Arial"/>
          <w:color w:val="auto"/>
          <w:sz w:val="24"/>
          <w:szCs w:val="24"/>
        </w:rPr>
        <w:t xml:space="preserve"> (BERDO)</w:t>
      </w:r>
      <w:r>
        <w:rPr>
          <w:rFonts w:ascii="Arial" w:hAnsi="Arial" w:cs="Arial"/>
          <w:color w:val="auto"/>
          <w:sz w:val="24"/>
          <w:szCs w:val="24"/>
        </w:rPr>
        <w:t>.</w:t>
      </w:r>
    </w:p>
    <w:p w14:paraId="1635450E" w14:textId="77777777" w:rsidR="00061E6B" w:rsidRDefault="00061E6B" w:rsidP="00F04054">
      <w:pPr>
        <w:pStyle w:val="p3"/>
        <w:rPr>
          <w:rFonts w:ascii="Arial" w:hAnsi="Arial" w:cs="Arial"/>
          <w:sz w:val="24"/>
          <w:szCs w:val="24"/>
        </w:rPr>
      </w:pPr>
    </w:p>
    <w:p w14:paraId="20A37004" w14:textId="77777777" w:rsidR="00546E39" w:rsidRDefault="00B41652" w:rsidP="00F04054">
      <w:pPr>
        <w:pStyle w:val="p3"/>
        <w:rPr>
          <w:rFonts w:ascii="Arial" w:hAnsi="Arial" w:cs="Arial"/>
          <w:sz w:val="24"/>
          <w:szCs w:val="24"/>
        </w:rPr>
      </w:pPr>
      <w:r>
        <w:rPr>
          <w:rFonts w:ascii="Arial" w:hAnsi="Arial" w:cs="Arial"/>
          <w:sz w:val="24"/>
          <w:szCs w:val="24"/>
        </w:rPr>
        <w:t>Four</w:t>
      </w:r>
      <w:r w:rsidR="004B570D" w:rsidRPr="004B570D">
        <w:rPr>
          <w:rFonts w:ascii="Arial" w:hAnsi="Arial" w:cs="Arial"/>
          <w:sz w:val="24"/>
          <w:szCs w:val="24"/>
        </w:rPr>
        <w:t xml:space="preserve"> </w:t>
      </w:r>
      <w:r w:rsidR="00DA2812" w:rsidRPr="004B570D">
        <w:rPr>
          <w:rFonts w:ascii="Arial" w:hAnsi="Arial" w:cs="Arial"/>
          <w:sz w:val="24"/>
          <w:szCs w:val="24"/>
        </w:rPr>
        <w:t>Massachusetts</w:t>
      </w:r>
      <w:r w:rsidR="004B570D" w:rsidRPr="004B570D">
        <w:rPr>
          <w:rFonts w:ascii="Arial" w:hAnsi="Arial" w:cs="Arial"/>
          <w:sz w:val="24"/>
          <w:szCs w:val="24"/>
        </w:rPr>
        <w:t xml:space="preserve"> municipalities, Boston, Cambridge, Lexington, and Newton </w:t>
      </w:r>
      <w:r>
        <w:rPr>
          <w:rFonts w:ascii="Arial" w:hAnsi="Arial" w:cs="Arial"/>
          <w:sz w:val="24"/>
          <w:szCs w:val="24"/>
        </w:rPr>
        <w:t>have</w:t>
      </w:r>
      <w:r w:rsidR="004B570D" w:rsidRPr="004B570D">
        <w:rPr>
          <w:rFonts w:ascii="Arial" w:hAnsi="Arial" w:cs="Arial"/>
          <w:sz w:val="24"/>
          <w:szCs w:val="24"/>
        </w:rPr>
        <w:t xml:space="preserve"> BERDO laws in effect as of this writing. In some cases, building owners</w:t>
      </w:r>
      <w:r w:rsidR="00FD5582">
        <w:rPr>
          <w:rFonts w:ascii="Arial" w:hAnsi="Arial" w:cs="Arial"/>
          <w:sz w:val="24"/>
          <w:szCs w:val="24"/>
        </w:rPr>
        <w:t xml:space="preserve"> </w:t>
      </w:r>
      <w:r w:rsidR="004B570D" w:rsidRPr="004B570D">
        <w:rPr>
          <w:rFonts w:ascii="Arial" w:hAnsi="Arial" w:cs="Arial"/>
          <w:sz w:val="24"/>
          <w:szCs w:val="24"/>
        </w:rPr>
        <w:t xml:space="preserve">are only required to report </w:t>
      </w:r>
      <w:r w:rsidR="00EC7B66">
        <w:rPr>
          <w:rFonts w:ascii="Arial" w:hAnsi="Arial" w:cs="Arial"/>
          <w:sz w:val="24"/>
          <w:szCs w:val="24"/>
        </w:rPr>
        <w:t xml:space="preserve">energy consumption and </w:t>
      </w:r>
      <w:r w:rsidR="004B570D" w:rsidRPr="004B570D">
        <w:rPr>
          <w:rFonts w:ascii="Arial" w:hAnsi="Arial" w:cs="Arial"/>
          <w:sz w:val="24"/>
          <w:szCs w:val="24"/>
        </w:rPr>
        <w:t>greenhouse gas (GHG) emissions. In others, building owners</w:t>
      </w:r>
      <w:r w:rsidR="00FD5582">
        <w:rPr>
          <w:rFonts w:ascii="Arial" w:hAnsi="Arial" w:cs="Arial"/>
          <w:sz w:val="24"/>
          <w:szCs w:val="24"/>
        </w:rPr>
        <w:t xml:space="preserve"> </w:t>
      </w:r>
      <w:r w:rsidR="004B570D" w:rsidRPr="004B570D">
        <w:rPr>
          <w:rFonts w:ascii="Arial" w:hAnsi="Arial" w:cs="Arial"/>
          <w:sz w:val="24"/>
          <w:szCs w:val="24"/>
        </w:rPr>
        <w:t xml:space="preserve">must report GHG emissions and </w:t>
      </w:r>
      <w:r w:rsidR="00444473">
        <w:rPr>
          <w:rFonts w:ascii="Arial" w:hAnsi="Arial" w:cs="Arial"/>
          <w:sz w:val="24"/>
          <w:szCs w:val="24"/>
        </w:rPr>
        <w:t>make</w:t>
      </w:r>
      <w:r w:rsidR="004B570D" w:rsidRPr="004B570D">
        <w:rPr>
          <w:rFonts w:ascii="Arial" w:hAnsi="Arial" w:cs="Arial"/>
          <w:sz w:val="24"/>
          <w:szCs w:val="24"/>
        </w:rPr>
        <w:t xml:space="preserve"> an Alternative Compliance </w:t>
      </w:r>
      <w:r w:rsidR="00DA05CE">
        <w:rPr>
          <w:rFonts w:ascii="Arial" w:hAnsi="Arial" w:cs="Arial"/>
          <w:sz w:val="24"/>
          <w:szCs w:val="24"/>
        </w:rPr>
        <w:t>P</w:t>
      </w:r>
      <w:r w:rsidR="004B570D" w:rsidRPr="004B570D">
        <w:rPr>
          <w:rFonts w:ascii="Arial" w:hAnsi="Arial" w:cs="Arial"/>
          <w:sz w:val="24"/>
          <w:szCs w:val="24"/>
        </w:rPr>
        <w:t>ayment of $234 per</w:t>
      </w:r>
      <w:r w:rsidR="00FD5582">
        <w:rPr>
          <w:rFonts w:ascii="Arial" w:hAnsi="Arial" w:cs="Arial"/>
          <w:sz w:val="24"/>
          <w:szCs w:val="24"/>
        </w:rPr>
        <w:t xml:space="preserve"> </w:t>
      </w:r>
      <w:r w:rsidR="004B570D" w:rsidRPr="004B570D">
        <w:rPr>
          <w:rFonts w:ascii="Arial" w:hAnsi="Arial" w:cs="Arial"/>
          <w:sz w:val="24"/>
          <w:szCs w:val="24"/>
        </w:rPr>
        <w:t xml:space="preserve">metric ton CO2e if they exceed allowable </w:t>
      </w:r>
      <w:r>
        <w:rPr>
          <w:rFonts w:ascii="Arial" w:hAnsi="Arial" w:cs="Arial"/>
          <w:sz w:val="24"/>
          <w:szCs w:val="24"/>
        </w:rPr>
        <w:t>emissions standards</w:t>
      </w:r>
      <w:r w:rsidR="004B570D" w:rsidRPr="004B570D">
        <w:rPr>
          <w:rFonts w:ascii="Arial" w:hAnsi="Arial" w:cs="Arial"/>
          <w:sz w:val="24"/>
          <w:szCs w:val="24"/>
        </w:rPr>
        <w:t>.</w:t>
      </w:r>
    </w:p>
    <w:p w14:paraId="4264273A" w14:textId="77777777" w:rsidR="00546E39" w:rsidRDefault="00546E39" w:rsidP="00F04054">
      <w:pPr>
        <w:pStyle w:val="p3"/>
        <w:rPr>
          <w:rFonts w:ascii="Arial" w:hAnsi="Arial" w:cs="Arial"/>
          <w:sz w:val="24"/>
          <w:szCs w:val="24"/>
        </w:rPr>
      </w:pPr>
    </w:p>
    <w:p w14:paraId="393912E2" w14:textId="390CFD74" w:rsidR="00F04054" w:rsidRPr="005A6EEC" w:rsidRDefault="00F04054" w:rsidP="00F04054">
      <w:pPr>
        <w:pStyle w:val="p3"/>
        <w:rPr>
          <w:rFonts w:ascii="Arial" w:hAnsi="Arial" w:cs="Arial"/>
          <w:sz w:val="24"/>
          <w:szCs w:val="24"/>
        </w:rPr>
      </w:pPr>
      <w:r>
        <w:rPr>
          <w:rFonts w:ascii="Arial" w:hAnsi="Arial" w:cs="Arial"/>
          <w:sz w:val="24"/>
          <w:szCs w:val="24"/>
        </w:rPr>
        <w:t>O</w:t>
      </w:r>
      <w:r w:rsidRPr="00F04054">
        <w:rPr>
          <w:rFonts w:ascii="Arial" w:hAnsi="Arial" w:cs="Arial"/>
          <w:sz w:val="24"/>
          <w:szCs w:val="24"/>
        </w:rPr>
        <w:t xml:space="preserve">ptions </w:t>
      </w:r>
      <w:r>
        <w:rPr>
          <w:rFonts w:ascii="Arial" w:hAnsi="Arial" w:cs="Arial"/>
          <w:sz w:val="24"/>
          <w:szCs w:val="24"/>
        </w:rPr>
        <w:t xml:space="preserve">are </w:t>
      </w:r>
      <w:r w:rsidRPr="00F04054">
        <w:rPr>
          <w:rFonts w:ascii="Arial" w:hAnsi="Arial" w:cs="Arial"/>
          <w:sz w:val="24"/>
          <w:szCs w:val="24"/>
        </w:rPr>
        <w:t xml:space="preserve">available to building owners to adjust their emissions limits and/or timelines for emissions reductions. These measures are subject to eligibility criteria, and most require approval from </w:t>
      </w:r>
      <w:r w:rsidR="00546E39">
        <w:rPr>
          <w:rFonts w:ascii="Arial" w:hAnsi="Arial" w:cs="Arial"/>
          <w:sz w:val="24"/>
          <w:szCs w:val="24"/>
        </w:rPr>
        <w:t>a</w:t>
      </w:r>
      <w:r w:rsidRPr="00F04054">
        <w:rPr>
          <w:rFonts w:ascii="Arial" w:hAnsi="Arial" w:cs="Arial"/>
          <w:sz w:val="24"/>
          <w:szCs w:val="24"/>
        </w:rPr>
        <w:t xml:space="preserve"> BERDO Review Board.</w:t>
      </w:r>
    </w:p>
    <w:p w14:paraId="67897670" w14:textId="77777777" w:rsidR="00F04054" w:rsidRDefault="00F04054" w:rsidP="005A6EEC">
      <w:pPr>
        <w:pStyle w:val="p1"/>
        <w:rPr>
          <w:rFonts w:ascii="Arial" w:hAnsi="Arial" w:cs="Arial"/>
          <w:color w:val="000000"/>
          <w:sz w:val="24"/>
          <w:szCs w:val="24"/>
        </w:rPr>
      </w:pPr>
    </w:p>
    <w:p w14:paraId="75E83935" w14:textId="5D963C05" w:rsidR="005A6EEC" w:rsidRDefault="005A6EEC" w:rsidP="005A6EEC">
      <w:pPr>
        <w:pStyle w:val="p1"/>
        <w:rPr>
          <w:rFonts w:ascii="Arial" w:hAnsi="Arial" w:cs="Arial"/>
          <w:color w:val="000000"/>
          <w:sz w:val="24"/>
          <w:szCs w:val="24"/>
        </w:rPr>
      </w:pPr>
      <w:r w:rsidRPr="00566F91">
        <w:rPr>
          <w:rFonts w:ascii="Arial" w:hAnsi="Arial" w:cs="Arial"/>
          <w:color w:val="000000"/>
          <w:sz w:val="24"/>
          <w:szCs w:val="24"/>
        </w:rPr>
        <w:t xml:space="preserve">Boston has established an Equitable Emissions Investment Fund.  </w:t>
      </w:r>
      <w:r>
        <w:rPr>
          <w:rFonts w:ascii="Arial" w:hAnsi="Arial" w:cs="Arial"/>
          <w:color w:val="000000"/>
          <w:sz w:val="24"/>
          <w:szCs w:val="24"/>
        </w:rPr>
        <w:t>Boston’s BERDO Ordinance states the following: “</w:t>
      </w:r>
      <w:r w:rsidRPr="00566F91">
        <w:rPr>
          <w:rFonts w:ascii="Arial" w:hAnsi="Arial" w:cs="Arial"/>
          <w:color w:val="000000"/>
          <w:sz w:val="24"/>
          <w:szCs w:val="24"/>
        </w:rPr>
        <w:t>Money in the Fund shall be expended for the support, implementation, and administration</w:t>
      </w:r>
      <w:r>
        <w:rPr>
          <w:rFonts w:ascii="Arial" w:hAnsi="Arial" w:cs="Arial"/>
          <w:color w:val="000000"/>
          <w:sz w:val="24"/>
          <w:szCs w:val="24"/>
        </w:rPr>
        <w:t xml:space="preserve"> </w:t>
      </w:r>
      <w:r w:rsidRPr="00566F91">
        <w:rPr>
          <w:rFonts w:ascii="Arial" w:hAnsi="Arial" w:cs="Arial"/>
          <w:color w:val="000000"/>
          <w:sz w:val="24"/>
          <w:szCs w:val="24"/>
        </w:rPr>
        <w:t>of local building carbon abatement projects that benefit the City of Boston’s emissions</w:t>
      </w:r>
      <w:r>
        <w:rPr>
          <w:rFonts w:ascii="Arial" w:hAnsi="Arial" w:cs="Arial"/>
          <w:color w:val="000000"/>
          <w:sz w:val="24"/>
          <w:szCs w:val="24"/>
        </w:rPr>
        <w:t xml:space="preserve"> </w:t>
      </w:r>
      <w:r w:rsidRPr="00566F91">
        <w:rPr>
          <w:rFonts w:ascii="Arial" w:hAnsi="Arial" w:cs="Arial"/>
          <w:color w:val="000000"/>
          <w:sz w:val="24"/>
          <w:szCs w:val="24"/>
        </w:rPr>
        <w:t>reduction goals. Fund expenditures shall prioritize projects that benefit Environmental</w:t>
      </w:r>
      <w:r>
        <w:rPr>
          <w:rFonts w:ascii="Arial" w:hAnsi="Arial" w:cs="Arial"/>
          <w:color w:val="000000"/>
          <w:sz w:val="24"/>
          <w:szCs w:val="24"/>
        </w:rPr>
        <w:t xml:space="preserve"> </w:t>
      </w:r>
      <w:r w:rsidRPr="00566F91">
        <w:rPr>
          <w:rFonts w:ascii="Arial" w:hAnsi="Arial" w:cs="Arial"/>
          <w:color w:val="000000"/>
          <w:sz w:val="24"/>
          <w:szCs w:val="24"/>
        </w:rPr>
        <w:t>Justice Populations and populations disproportionately affected by air pollution</w:t>
      </w:r>
      <w:r>
        <w:rPr>
          <w:rFonts w:ascii="Arial" w:hAnsi="Arial" w:cs="Arial"/>
          <w:color w:val="000000"/>
          <w:sz w:val="24"/>
          <w:szCs w:val="24"/>
        </w:rPr>
        <w:t>.”</w:t>
      </w:r>
    </w:p>
    <w:p w14:paraId="496EB51D" w14:textId="77777777" w:rsidR="006202EF" w:rsidRDefault="006202EF" w:rsidP="005A6EEC">
      <w:pPr>
        <w:pStyle w:val="p1"/>
        <w:rPr>
          <w:rFonts w:ascii="Arial" w:hAnsi="Arial" w:cs="Arial"/>
          <w:color w:val="000000"/>
          <w:sz w:val="24"/>
          <w:szCs w:val="24"/>
        </w:rPr>
      </w:pPr>
    </w:p>
    <w:p w14:paraId="4D81CB6A" w14:textId="432DA18E" w:rsidR="006202EF" w:rsidRPr="006202EF" w:rsidRDefault="006202EF" w:rsidP="006202EF">
      <w:pPr>
        <w:rPr>
          <w:rFonts w:ascii="Arial" w:eastAsia="Times New Roman" w:hAnsi="Arial" w:cs="Arial"/>
          <w:color w:val="000000"/>
          <w:kern w:val="0"/>
          <w14:ligatures w14:val="none"/>
        </w:rPr>
      </w:pPr>
      <w:r>
        <w:rPr>
          <w:rFonts w:ascii="Arial" w:eastAsia="Times New Roman" w:hAnsi="Arial" w:cs="Arial"/>
          <w:color w:val="000000"/>
          <w:kern w:val="0"/>
          <w14:ligatures w14:val="none"/>
        </w:rPr>
        <w:t>In Cambridge: “</w:t>
      </w:r>
      <w:r w:rsidRPr="006202EF">
        <w:rPr>
          <w:rFonts w:ascii="Arial" w:eastAsia="Times New Roman" w:hAnsi="Arial" w:cs="Arial"/>
          <w:color w:val="000000"/>
          <w:kern w:val="0"/>
          <w14:ligatures w14:val="none"/>
        </w:rPr>
        <w:t>Monies from Alternative Compliance Credits</w:t>
      </w:r>
      <w:r>
        <w:rPr>
          <w:rFonts w:ascii="Arial" w:eastAsia="Times New Roman" w:hAnsi="Arial" w:cs="Arial"/>
          <w:color w:val="000000"/>
          <w:kern w:val="0"/>
          <w14:ligatures w14:val="none"/>
        </w:rPr>
        <w:t xml:space="preserve"> </w:t>
      </w:r>
      <w:r w:rsidRPr="006202EF">
        <w:rPr>
          <w:rFonts w:ascii="Arial" w:eastAsia="Times New Roman" w:hAnsi="Arial" w:cs="Arial"/>
          <w:color w:val="000000"/>
          <w:kern w:val="0"/>
          <w14:ligatures w14:val="none"/>
        </w:rPr>
        <w:t>shall be used by the City solely for City programs and projects that directly reduce carbon</w:t>
      </w:r>
      <w:r>
        <w:rPr>
          <w:rFonts w:ascii="Arial" w:eastAsia="Times New Roman" w:hAnsi="Arial" w:cs="Arial"/>
          <w:color w:val="000000"/>
          <w:kern w:val="0"/>
          <w14:ligatures w14:val="none"/>
        </w:rPr>
        <w:t xml:space="preserve"> </w:t>
      </w:r>
      <w:r w:rsidRPr="006202EF">
        <w:rPr>
          <w:rFonts w:ascii="Arial" w:eastAsia="Times New Roman" w:hAnsi="Arial" w:cs="Arial"/>
          <w:color w:val="000000"/>
          <w:kern w:val="0"/>
          <w14:ligatures w14:val="none"/>
        </w:rPr>
        <w:t>emissions, including but not limited to, greenhouse gas reduction projects in Affordable Housing</w:t>
      </w:r>
      <w:r>
        <w:rPr>
          <w:rFonts w:ascii="Arial" w:eastAsia="Times New Roman" w:hAnsi="Arial" w:cs="Arial"/>
          <w:color w:val="000000"/>
          <w:kern w:val="0"/>
          <w14:ligatures w14:val="none"/>
        </w:rPr>
        <w:t xml:space="preserve"> </w:t>
      </w:r>
      <w:r w:rsidRPr="006202EF">
        <w:rPr>
          <w:rFonts w:ascii="Arial" w:eastAsia="Times New Roman" w:hAnsi="Arial" w:cs="Arial"/>
          <w:color w:val="000000"/>
          <w:kern w:val="0"/>
          <w14:ligatures w14:val="none"/>
        </w:rPr>
        <w:t>properties, if approved by the Cambridge Affordable Housing Trust.</w:t>
      </w:r>
      <w:r>
        <w:rPr>
          <w:rFonts w:ascii="Arial" w:eastAsia="Times New Roman" w:hAnsi="Arial" w:cs="Arial"/>
          <w:color w:val="000000"/>
          <w:kern w:val="0"/>
          <w14:ligatures w14:val="none"/>
        </w:rPr>
        <w:t>”</w:t>
      </w:r>
    </w:p>
    <w:p w14:paraId="6AD24CE0" w14:textId="77777777" w:rsidR="006202EF" w:rsidRDefault="006202EF" w:rsidP="005A6EEC">
      <w:pPr>
        <w:pStyle w:val="p1"/>
        <w:rPr>
          <w:rFonts w:ascii="Arial" w:hAnsi="Arial" w:cs="Arial"/>
          <w:color w:val="000000"/>
          <w:sz w:val="24"/>
          <w:szCs w:val="24"/>
        </w:rPr>
      </w:pPr>
    </w:p>
    <w:p w14:paraId="20CCB92C" w14:textId="62533E01" w:rsidR="004B570D" w:rsidRPr="004B570D" w:rsidRDefault="004B570D" w:rsidP="004B570D">
      <w:pPr>
        <w:pStyle w:val="p3"/>
        <w:rPr>
          <w:rFonts w:ascii="Arial" w:hAnsi="Arial" w:cs="Arial"/>
          <w:sz w:val="24"/>
          <w:szCs w:val="24"/>
        </w:rPr>
      </w:pPr>
      <w:r w:rsidRPr="004B570D">
        <w:rPr>
          <w:rFonts w:ascii="Arial" w:hAnsi="Arial" w:cs="Arial"/>
          <w:sz w:val="24"/>
          <w:szCs w:val="24"/>
        </w:rPr>
        <w:t xml:space="preserve">BERDO </w:t>
      </w:r>
      <w:r w:rsidR="00D30893">
        <w:rPr>
          <w:rFonts w:ascii="Arial" w:hAnsi="Arial" w:cs="Arial"/>
          <w:sz w:val="24"/>
          <w:szCs w:val="24"/>
        </w:rPr>
        <w:t>ordinances</w:t>
      </w:r>
      <w:r w:rsidRPr="004B570D">
        <w:rPr>
          <w:rFonts w:ascii="Arial" w:hAnsi="Arial" w:cs="Arial"/>
          <w:sz w:val="24"/>
          <w:szCs w:val="24"/>
        </w:rPr>
        <w:t xml:space="preserve"> typically </w:t>
      </w:r>
      <w:r w:rsidR="00D8565D">
        <w:rPr>
          <w:rFonts w:ascii="Arial" w:hAnsi="Arial" w:cs="Arial"/>
          <w:sz w:val="24"/>
          <w:szCs w:val="24"/>
        </w:rPr>
        <w:t xml:space="preserve">target commercial buildings that have </w:t>
      </w:r>
      <w:r w:rsidRPr="004B570D">
        <w:rPr>
          <w:rFonts w:ascii="Arial" w:hAnsi="Arial" w:cs="Arial"/>
          <w:sz w:val="24"/>
          <w:szCs w:val="24"/>
        </w:rPr>
        <w:t>floor</w:t>
      </w:r>
      <w:r w:rsidR="00D07668">
        <w:rPr>
          <w:rFonts w:ascii="Arial" w:hAnsi="Arial" w:cs="Arial"/>
          <w:sz w:val="24"/>
          <w:szCs w:val="24"/>
        </w:rPr>
        <w:t xml:space="preserve"> </w:t>
      </w:r>
      <w:r w:rsidRPr="004B570D">
        <w:rPr>
          <w:rFonts w:ascii="Arial" w:hAnsi="Arial" w:cs="Arial"/>
          <w:sz w:val="24"/>
          <w:szCs w:val="24"/>
        </w:rPr>
        <w:t>areas 20,000 SF and above. Residential buildings are subject to BERDO if they have floor</w:t>
      </w:r>
      <w:r w:rsidR="00FD5582">
        <w:rPr>
          <w:rFonts w:ascii="Arial" w:hAnsi="Arial" w:cs="Arial"/>
          <w:sz w:val="24"/>
          <w:szCs w:val="24"/>
        </w:rPr>
        <w:t xml:space="preserve"> </w:t>
      </w:r>
      <w:r w:rsidRPr="004B570D">
        <w:rPr>
          <w:rFonts w:ascii="Arial" w:hAnsi="Arial" w:cs="Arial"/>
          <w:sz w:val="24"/>
          <w:szCs w:val="24"/>
        </w:rPr>
        <w:t xml:space="preserve">areas </w:t>
      </w:r>
      <w:r w:rsidR="00D30893">
        <w:rPr>
          <w:rFonts w:ascii="Arial" w:hAnsi="Arial" w:cs="Arial"/>
          <w:sz w:val="24"/>
          <w:szCs w:val="24"/>
        </w:rPr>
        <w:t>at least</w:t>
      </w:r>
      <w:r w:rsidRPr="004B570D">
        <w:rPr>
          <w:rFonts w:ascii="Arial" w:hAnsi="Arial" w:cs="Arial"/>
          <w:sz w:val="24"/>
          <w:szCs w:val="24"/>
        </w:rPr>
        <w:t xml:space="preserve"> 20,000 SF or, in some cases</w:t>
      </w:r>
      <w:r w:rsidR="00F30D4A">
        <w:rPr>
          <w:rFonts w:ascii="Arial" w:hAnsi="Arial" w:cs="Arial"/>
          <w:sz w:val="24"/>
          <w:szCs w:val="24"/>
        </w:rPr>
        <w:t>,</w:t>
      </w:r>
      <w:r w:rsidRPr="004B570D">
        <w:rPr>
          <w:rFonts w:ascii="Arial" w:hAnsi="Arial" w:cs="Arial"/>
          <w:sz w:val="24"/>
          <w:szCs w:val="24"/>
        </w:rPr>
        <w:t xml:space="preserve"> as few as 15 residential units.</w:t>
      </w:r>
    </w:p>
    <w:p w14:paraId="3430E6FA" w14:textId="77777777" w:rsidR="00FD5582" w:rsidRDefault="00FD5582" w:rsidP="004B570D">
      <w:pPr>
        <w:pStyle w:val="p3"/>
        <w:rPr>
          <w:rFonts w:ascii="Arial" w:hAnsi="Arial" w:cs="Arial"/>
          <w:sz w:val="24"/>
          <w:szCs w:val="24"/>
        </w:rPr>
      </w:pPr>
    </w:p>
    <w:p w14:paraId="638B8B45" w14:textId="3A268894" w:rsidR="0047109C" w:rsidRDefault="00DD1B41" w:rsidP="004B570D">
      <w:pPr>
        <w:pStyle w:val="p3"/>
        <w:rPr>
          <w:rFonts w:ascii="Arial" w:hAnsi="Arial" w:cs="Arial"/>
          <w:sz w:val="24"/>
          <w:szCs w:val="24"/>
        </w:rPr>
      </w:pPr>
      <w:r>
        <w:rPr>
          <w:rFonts w:ascii="Arial" w:hAnsi="Arial" w:cs="Arial"/>
          <w:sz w:val="24"/>
          <w:szCs w:val="24"/>
        </w:rPr>
        <w:t xml:space="preserve">The </w:t>
      </w:r>
      <w:r w:rsidR="004B570D" w:rsidRPr="004B570D">
        <w:rPr>
          <w:rFonts w:ascii="Arial" w:hAnsi="Arial" w:cs="Arial"/>
          <w:sz w:val="24"/>
          <w:szCs w:val="24"/>
        </w:rPr>
        <w:t>Massachusetts Large Building Energy Reporting (MA LBER)</w:t>
      </w:r>
      <w:r w:rsidR="00FD5582">
        <w:rPr>
          <w:rFonts w:ascii="Arial" w:hAnsi="Arial" w:cs="Arial"/>
          <w:sz w:val="24"/>
          <w:szCs w:val="24"/>
        </w:rPr>
        <w:t xml:space="preserve"> </w:t>
      </w:r>
      <w:r>
        <w:rPr>
          <w:rFonts w:ascii="Arial" w:hAnsi="Arial" w:cs="Arial"/>
          <w:sz w:val="24"/>
          <w:szCs w:val="24"/>
        </w:rPr>
        <w:t>legislation</w:t>
      </w:r>
      <w:r w:rsidR="004B570D" w:rsidRPr="004B570D">
        <w:rPr>
          <w:rFonts w:ascii="Arial" w:hAnsi="Arial" w:cs="Arial"/>
          <w:sz w:val="24"/>
          <w:szCs w:val="24"/>
        </w:rPr>
        <w:t xml:space="preserve"> applies to buildings 20,000 SF and larger,</w:t>
      </w:r>
      <w:r w:rsidR="00FD5582">
        <w:rPr>
          <w:rFonts w:ascii="Arial" w:hAnsi="Arial" w:cs="Arial"/>
          <w:sz w:val="24"/>
          <w:szCs w:val="24"/>
        </w:rPr>
        <w:t xml:space="preserve"> </w:t>
      </w:r>
      <w:r w:rsidR="00EC7B66">
        <w:rPr>
          <w:rFonts w:ascii="Arial" w:hAnsi="Arial" w:cs="Arial"/>
          <w:sz w:val="24"/>
          <w:szCs w:val="24"/>
        </w:rPr>
        <w:t>both</w:t>
      </w:r>
      <w:r w:rsidR="004B570D" w:rsidRPr="004B570D">
        <w:rPr>
          <w:rFonts w:ascii="Arial" w:hAnsi="Arial" w:cs="Arial"/>
          <w:sz w:val="24"/>
          <w:szCs w:val="24"/>
        </w:rPr>
        <w:t xml:space="preserve"> commercial </w:t>
      </w:r>
      <w:r w:rsidR="00EC7B66">
        <w:rPr>
          <w:rFonts w:ascii="Arial" w:hAnsi="Arial" w:cs="Arial"/>
          <w:sz w:val="24"/>
          <w:szCs w:val="24"/>
        </w:rPr>
        <w:t>and</w:t>
      </w:r>
      <w:r w:rsidR="004B570D" w:rsidRPr="004B570D">
        <w:rPr>
          <w:rFonts w:ascii="Arial" w:hAnsi="Arial" w:cs="Arial"/>
          <w:sz w:val="24"/>
          <w:szCs w:val="24"/>
        </w:rPr>
        <w:t xml:space="preserve"> residential.</w:t>
      </w:r>
      <w:r w:rsidR="0047109C">
        <w:rPr>
          <w:rFonts w:ascii="Arial" w:hAnsi="Arial" w:cs="Arial"/>
          <w:sz w:val="24"/>
          <w:szCs w:val="24"/>
        </w:rPr>
        <w:t xml:space="preserve">  Owners of large buildings in Brookline and throughout the state must file </w:t>
      </w:r>
      <w:r w:rsidR="00E92D42">
        <w:rPr>
          <w:rFonts w:ascii="Arial" w:hAnsi="Arial" w:cs="Arial"/>
          <w:sz w:val="24"/>
          <w:szCs w:val="24"/>
        </w:rPr>
        <w:t xml:space="preserve">MA LBER </w:t>
      </w:r>
      <w:r w:rsidR="0047109C">
        <w:rPr>
          <w:rFonts w:ascii="Arial" w:hAnsi="Arial" w:cs="Arial"/>
          <w:sz w:val="24"/>
          <w:szCs w:val="24"/>
        </w:rPr>
        <w:t>reports beginning June of this year.</w:t>
      </w:r>
      <w:r w:rsidR="006F043E">
        <w:rPr>
          <w:rFonts w:ascii="Arial" w:hAnsi="Arial" w:cs="Arial"/>
          <w:sz w:val="24"/>
          <w:szCs w:val="24"/>
        </w:rPr>
        <w:t xml:space="preserve">  </w:t>
      </w:r>
      <w:r w:rsidR="00E92D42">
        <w:rPr>
          <w:rFonts w:ascii="Arial" w:hAnsi="Arial" w:cs="Arial"/>
          <w:sz w:val="24"/>
          <w:szCs w:val="24"/>
        </w:rPr>
        <w:t>The state will publish the results</w:t>
      </w:r>
      <w:r w:rsidR="00884D5D">
        <w:rPr>
          <w:rFonts w:ascii="Arial" w:hAnsi="Arial" w:cs="Arial"/>
          <w:sz w:val="24"/>
          <w:szCs w:val="24"/>
        </w:rPr>
        <w:t xml:space="preserve"> annually, beginning</w:t>
      </w:r>
      <w:r w:rsidR="00E92D42">
        <w:rPr>
          <w:rFonts w:ascii="Arial" w:hAnsi="Arial" w:cs="Arial"/>
          <w:sz w:val="24"/>
          <w:szCs w:val="24"/>
        </w:rPr>
        <w:t xml:space="preserve"> this fall</w:t>
      </w:r>
      <w:r w:rsidR="00FA60C4">
        <w:rPr>
          <w:rFonts w:ascii="Arial" w:hAnsi="Arial" w:cs="Arial"/>
          <w:sz w:val="24"/>
          <w:szCs w:val="24"/>
        </w:rPr>
        <w:t>.</w:t>
      </w:r>
    </w:p>
    <w:p w14:paraId="4EEE8EF4" w14:textId="77777777" w:rsidR="00FA60C4" w:rsidRDefault="00FA60C4" w:rsidP="004B570D">
      <w:pPr>
        <w:pStyle w:val="p3"/>
        <w:rPr>
          <w:rFonts w:ascii="Arial" w:hAnsi="Arial" w:cs="Arial"/>
          <w:sz w:val="24"/>
          <w:szCs w:val="24"/>
        </w:rPr>
      </w:pPr>
    </w:p>
    <w:p w14:paraId="2D9B54C4" w14:textId="4C101CBF" w:rsidR="00D8565D" w:rsidRDefault="00D8565D" w:rsidP="00D8565D">
      <w:pPr>
        <w:pStyle w:val="p3"/>
        <w:rPr>
          <w:rFonts w:ascii="Arial" w:hAnsi="Arial" w:cs="Arial"/>
          <w:sz w:val="24"/>
          <w:szCs w:val="24"/>
        </w:rPr>
      </w:pPr>
      <w:r w:rsidRPr="004B570D">
        <w:rPr>
          <w:rFonts w:ascii="Arial" w:hAnsi="Arial" w:cs="Arial"/>
          <w:sz w:val="24"/>
          <w:szCs w:val="24"/>
        </w:rPr>
        <w:lastRenderedPageBreak/>
        <w:t>MA LBER</w:t>
      </w:r>
      <w:r>
        <w:rPr>
          <w:rFonts w:ascii="Arial" w:hAnsi="Arial" w:cs="Arial"/>
          <w:sz w:val="24"/>
          <w:szCs w:val="24"/>
        </w:rPr>
        <w:t xml:space="preserve"> reporting</w:t>
      </w:r>
      <w:r w:rsidRPr="004B570D">
        <w:rPr>
          <w:rFonts w:ascii="Arial" w:hAnsi="Arial" w:cs="Arial"/>
          <w:sz w:val="24"/>
          <w:szCs w:val="24"/>
        </w:rPr>
        <w:t xml:space="preserve"> is a </w:t>
      </w:r>
      <w:r>
        <w:rPr>
          <w:rFonts w:ascii="Arial" w:hAnsi="Arial" w:cs="Arial"/>
          <w:sz w:val="24"/>
          <w:szCs w:val="24"/>
        </w:rPr>
        <w:t>starting</w:t>
      </w:r>
      <w:r w:rsidRPr="004B570D">
        <w:rPr>
          <w:rFonts w:ascii="Arial" w:hAnsi="Arial" w:cs="Arial"/>
          <w:sz w:val="24"/>
          <w:szCs w:val="24"/>
        </w:rPr>
        <w:t xml:space="preserve"> point for</w:t>
      </w:r>
      <w:r>
        <w:rPr>
          <w:rFonts w:ascii="Arial" w:hAnsi="Arial" w:cs="Arial"/>
          <w:sz w:val="24"/>
          <w:szCs w:val="24"/>
        </w:rPr>
        <w:t xml:space="preserve"> </w:t>
      </w:r>
      <w:r w:rsidRPr="004B570D">
        <w:rPr>
          <w:rFonts w:ascii="Arial" w:hAnsi="Arial" w:cs="Arial"/>
          <w:sz w:val="24"/>
          <w:szCs w:val="24"/>
        </w:rPr>
        <w:t xml:space="preserve">Brookline since it </w:t>
      </w:r>
      <w:r w:rsidR="00D07668">
        <w:rPr>
          <w:rFonts w:ascii="Arial" w:hAnsi="Arial" w:cs="Arial"/>
          <w:sz w:val="24"/>
          <w:szCs w:val="24"/>
        </w:rPr>
        <w:t xml:space="preserve">will </w:t>
      </w:r>
      <w:r w:rsidRPr="004B570D">
        <w:rPr>
          <w:rFonts w:ascii="Arial" w:hAnsi="Arial" w:cs="Arial"/>
          <w:sz w:val="24"/>
          <w:szCs w:val="24"/>
        </w:rPr>
        <w:t>provide a valuable database of energy usage and GHG emissions.</w:t>
      </w:r>
      <w:r>
        <w:rPr>
          <w:rFonts w:ascii="Arial" w:hAnsi="Arial" w:cs="Arial"/>
          <w:sz w:val="24"/>
          <w:szCs w:val="24"/>
        </w:rPr>
        <w:t xml:space="preserve">  The question is how far a Brookline BERDO ordinance should venture beyond MA LBER.  Should it only include commercial buildings, or should residential buildings be covered as well?</w:t>
      </w:r>
    </w:p>
    <w:p w14:paraId="48C8537C" w14:textId="77777777" w:rsidR="0047109C" w:rsidRDefault="0047109C" w:rsidP="004B570D">
      <w:pPr>
        <w:pStyle w:val="p3"/>
        <w:rPr>
          <w:rFonts w:ascii="Arial" w:hAnsi="Arial" w:cs="Arial"/>
          <w:sz w:val="24"/>
          <w:szCs w:val="24"/>
        </w:rPr>
      </w:pPr>
    </w:p>
    <w:p w14:paraId="36F15CA9" w14:textId="0EF18817" w:rsidR="004B570D" w:rsidRDefault="00304840" w:rsidP="004B570D">
      <w:pPr>
        <w:pStyle w:val="p3"/>
        <w:rPr>
          <w:rFonts w:ascii="Arial" w:hAnsi="Arial" w:cs="Arial"/>
          <w:sz w:val="24"/>
          <w:szCs w:val="24"/>
        </w:rPr>
      </w:pPr>
      <w:r>
        <w:rPr>
          <w:rFonts w:ascii="Arial" w:hAnsi="Arial" w:cs="Arial"/>
          <w:sz w:val="24"/>
          <w:szCs w:val="24"/>
        </w:rPr>
        <w:t>Finally, a</w:t>
      </w:r>
      <w:r w:rsidR="004B570D" w:rsidRPr="004B570D">
        <w:rPr>
          <w:rFonts w:ascii="Arial" w:hAnsi="Arial" w:cs="Arial"/>
          <w:sz w:val="24"/>
          <w:szCs w:val="24"/>
        </w:rPr>
        <w:t xml:space="preserve">ny BERDO ordinance in Brookline </w:t>
      </w:r>
      <w:r w:rsidR="00D8565D">
        <w:rPr>
          <w:rFonts w:ascii="Arial" w:hAnsi="Arial" w:cs="Arial"/>
          <w:sz w:val="24"/>
          <w:szCs w:val="24"/>
        </w:rPr>
        <w:t xml:space="preserve">that goes </w:t>
      </w:r>
      <w:r>
        <w:rPr>
          <w:rFonts w:ascii="Arial" w:hAnsi="Arial" w:cs="Arial"/>
          <w:sz w:val="24"/>
          <w:szCs w:val="24"/>
        </w:rPr>
        <w:t>beyond MA LBER will have to be</w:t>
      </w:r>
      <w:r w:rsidR="004B570D" w:rsidRPr="004B570D">
        <w:rPr>
          <w:rFonts w:ascii="Arial" w:hAnsi="Arial" w:cs="Arial"/>
          <w:sz w:val="24"/>
          <w:szCs w:val="24"/>
        </w:rPr>
        <w:t xml:space="preserve"> phased in over </w:t>
      </w:r>
      <w:r w:rsidR="00494587">
        <w:rPr>
          <w:rFonts w:ascii="Arial" w:hAnsi="Arial" w:cs="Arial"/>
          <w:sz w:val="24"/>
          <w:szCs w:val="24"/>
        </w:rPr>
        <w:t>many</w:t>
      </w:r>
      <w:r w:rsidR="004B570D" w:rsidRPr="004B570D">
        <w:rPr>
          <w:rFonts w:ascii="Arial" w:hAnsi="Arial" w:cs="Arial"/>
          <w:sz w:val="24"/>
          <w:szCs w:val="24"/>
        </w:rPr>
        <w:t xml:space="preserve"> years. This is consistent with the experience in Boston,</w:t>
      </w:r>
      <w:r w:rsidR="00FD5582">
        <w:rPr>
          <w:rFonts w:ascii="Arial" w:hAnsi="Arial" w:cs="Arial"/>
          <w:sz w:val="24"/>
          <w:szCs w:val="24"/>
        </w:rPr>
        <w:t xml:space="preserve"> </w:t>
      </w:r>
      <w:r w:rsidR="004B570D" w:rsidRPr="004B570D">
        <w:rPr>
          <w:rFonts w:ascii="Arial" w:hAnsi="Arial" w:cs="Arial"/>
          <w:sz w:val="24"/>
          <w:szCs w:val="24"/>
        </w:rPr>
        <w:t>Cambridge and Newton.</w:t>
      </w:r>
    </w:p>
    <w:p w14:paraId="7944DE8B" w14:textId="77777777" w:rsidR="008C623C" w:rsidRDefault="008C623C" w:rsidP="004B570D">
      <w:pPr>
        <w:pStyle w:val="p3"/>
        <w:rPr>
          <w:rFonts w:ascii="Arial" w:hAnsi="Arial" w:cs="Arial"/>
          <w:sz w:val="24"/>
          <w:szCs w:val="24"/>
        </w:rPr>
      </w:pPr>
    </w:p>
    <w:p w14:paraId="196943A3" w14:textId="77777777" w:rsidR="00566F91" w:rsidRDefault="00566F91" w:rsidP="00D72722">
      <w:pPr>
        <w:pStyle w:val="p3"/>
        <w:rPr>
          <w:rFonts w:ascii="Arial" w:hAnsi="Arial" w:cs="Arial"/>
          <w:b/>
          <w:bCs/>
          <w:sz w:val="24"/>
          <w:szCs w:val="24"/>
        </w:rPr>
      </w:pPr>
    </w:p>
    <w:p w14:paraId="79F2B19E" w14:textId="7C7E6EB0" w:rsidR="00CA4B22" w:rsidRDefault="008C623C" w:rsidP="00D72722">
      <w:pPr>
        <w:pStyle w:val="p3"/>
        <w:rPr>
          <w:rFonts w:ascii="Arial" w:hAnsi="Arial" w:cs="Arial"/>
          <w:b/>
          <w:bCs/>
          <w:sz w:val="24"/>
          <w:szCs w:val="24"/>
        </w:rPr>
      </w:pPr>
      <w:r w:rsidRPr="008C623C">
        <w:rPr>
          <w:rFonts w:ascii="Arial" w:hAnsi="Arial" w:cs="Arial"/>
          <w:b/>
          <w:bCs/>
          <w:sz w:val="24"/>
          <w:szCs w:val="24"/>
        </w:rPr>
        <w:t>OVERALL GOALS</w:t>
      </w:r>
    </w:p>
    <w:p w14:paraId="161FCDB5" w14:textId="77777777" w:rsidR="00D72722" w:rsidRDefault="00D72722" w:rsidP="00D72722">
      <w:pPr>
        <w:pStyle w:val="p3"/>
        <w:rPr>
          <w:rFonts w:ascii="Arial" w:hAnsi="Arial" w:cs="Arial"/>
          <w:b/>
          <w:bCs/>
          <w:sz w:val="24"/>
          <w:szCs w:val="24"/>
        </w:rPr>
      </w:pPr>
    </w:p>
    <w:p w14:paraId="3DD68DA4" w14:textId="20979C70" w:rsidR="00CC4099" w:rsidRPr="00CC4099" w:rsidRDefault="002B67D2" w:rsidP="00CC4099">
      <w:pPr>
        <w:pStyle w:val="p1"/>
        <w:numPr>
          <w:ilvl w:val="0"/>
          <w:numId w:val="16"/>
        </w:numPr>
        <w:rPr>
          <w:rFonts w:ascii="Times New Roman" w:hAnsi="Times New Roman"/>
          <w:color w:val="000000"/>
          <w:sz w:val="18"/>
          <w:szCs w:val="18"/>
        </w:rPr>
      </w:pPr>
      <w:r>
        <w:rPr>
          <w:rFonts w:ascii="Arial" w:hAnsi="Arial" w:cs="Arial"/>
          <w:sz w:val="24"/>
          <w:szCs w:val="24"/>
        </w:rPr>
        <w:t>E</w:t>
      </w:r>
      <w:r w:rsidR="009430CA">
        <w:rPr>
          <w:rFonts w:ascii="Arial" w:hAnsi="Arial" w:cs="Arial"/>
          <w:sz w:val="24"/>
          <w:szCs w:val="24"/>
        </w:rPr>
        <w:t>limina</w:t>
      </w:r>
      <w:r w:rsidR="00CC4099">
        <w:rPr>
          <w:rFonts w:ascii="Arial" w:hAnsi="Arial" w:cs="Arial"/>
          <w:sz w:val="24"/>
          <w:szCs w:val="24"/>
        </w:rPr>
        <w:t xml:space="preserve">te </w:t>
      </w:r>
      <w:r w:rsidR="009430CA">
        <w:rPr>
          <w:rFonts w:ascii="Arial" w:hAnsi="Arial" w:cs="Arial"/>
          <w:sz w:val="24"/>
          <w:szCs w:val="24"/>
        </w:rPr>
        <w:t>onsite combustion of fossil fuels from all buildings in Brookline by 2040</w:t>
      </w:r>
      <w:r w:rsidR="00CC4099">
        <w:rPr>
          <w:rFonts w:ascii="Arial" w:hAnsi="Arial" w:cs="Arial"/>
          <w:sz w:val="24"/>
          <w:szCs w:val="24"/>
        </w:rPr>
        <w:t xml:space="preserve"> </w:t>
      </w:r>
      <w:r w:rsidR="009430CA">
        <w:rPr>
          <w:rFonts w:ascii="Arial" w:hAnsi="Arial" w:cs="Arial"/>
          <w:sz w:val="24"/>
          <w:szCs w:val="24"/>
        </w:rPr>
        <w:t>consistent wit</w:t>
      </w:r>
      <w:r w:rsidR="00CC4099">
        <w:rPr>
          <w:rFonts w:ascii="Arial" w:hAnsi="Arial" w:cs="Arial"/>
          <w:sz w:val="24"/>
          <w:szCs w:val="24"/>
        </w:rPr>
        <w:t>h WA37 approved by Brookline Town Meeting in May 2021, which established a goal of net zero carbon emissions by 2040</w:t>
      </w:r>
    </w:p>
    <w:p w14:paraId="6F0B4D66" w14:textId="32DC7EA8" w:rsidR="00CC4099" w:rsidRPr="005A6EEC" w:rsidRDefault="002B67D2" w:rsidP="00CC4099">
      <w:pPr>
        <w:pStyle w:val="p1"/>
        <w:numPr>
          <w:ilvl w:val="0"/>
          <w:numId w:val="16"/>
        </w:numPr>
        <w:rPr>
          <w:rFonts w:ascii="Times New Roman" w:hAnsi="Times New Roman"/>
          <w:color w:val="000000"/>
          <w:sz w:val="18"/>
          <w:szCs w:val="18"/>
        </w:rPr>
      </w:pPr>
      <w:r>
        <w:rPr>
          <w:rFonts w:ascii="Arial" w:hAnsi="Arial" w:cs="Arial"/>
          <w:sz w:val="24"/>
          <w:szCs w:val="24"/>
        </w:rPr>
        <w:t>P</w:t>
      </w:r>
      <w:r w:rsidR="00C93B07">
        <w:rPr>
          <w:rFonts w:ascii="Arial" w:hAnsi="Arial" w:cs="Arial"/>
          <w:sz w:val="24"/>
          <w:szCs w:val="24"/>
        </w:rPr>
        <w:t>ropose, develop and enact a</w:t>
      </w:r>
      <w:r w:rsidR="00CC4099">
        <w:rPr>
          <w:rFonts w:ascii="Arial" w:hAnsi="Arial" w:cs="Arial"/>
          <w:sz w:val="24"/>
          <w:szCs w:val="24"/>
        </w:rPr>
        <w:t xml:space="preserve"> Building Energy Reporting and Disclosure Ordinance (BERDO)</w:t>
      </w:r>
    </w:p>
    <w:p w14:paraId="520BC401" w14:textId="3B1ED041" w:rsidR="005A6EEC" w:rsidRPr="00C93B07" w:rsidRDefault="005A6EEC" w:rsidP="00CC4099">
      <w:pPr>
        <w:pStyle w:val="p1"/>
        <w:numPr>
          <w:ilvl w:val="0"/>
          <w:numId w:val="16"/>
        </w:numPr>
        <w:rPr>
          <w:rFonts w:ascii="Times New Roman" w:hAnsi="Times New Roman"/>
          <w:color w:val="000000"/>
          <w:sz w:val="18"/>
          <w:szCs w:val="18"/>
        </w:rPr>
      </w:pPr>
      <w:r>
        <w:rPr>
          <w:rFonts w:ascii="Arial" w:hAnsi="Arial" w:cs="Arial"/>
          <w:sz w:val="24"/>
          <w:szCs w:val="24"/>
        </w:rPr>
        <w:t>Provide mechanisms to address equity issues such as cost and disruption that disproportionately affect Environmental Justice Populations.</w:t>
      </w:r>
    </w:p>
    <w:p w14:paraId="6895A3B4" w14:textId="1650CC53" w:rsidR="002B67D2" w:rsidRPr="002B67D2" w:rsidRDefault="002B67D2" w:rsidP="002B67D2">
      <w:pPr>
        <w:pStyle w:val="p1"/>
        <w:numPr>
          <w:ilvl w:val="0"/>
          <w:numId w:val="16"/>
        </w:numPr>
        <w:rPr>
          <w:rFonts w:ascii="Times New Roman" w:hAnsi="Times New Roman"/>
          <w:color w:val="000000"/>
          <w:sz w:val="18"/>
          <w:szCs w:val="18"/>
        </w:rPr>
      </w:pPr>
      <w:r>
        <w:rPr>
          <w:rFonts w:ascii="Arial" w:hAnsi="Arial" w:cs="Arial"/>
          <w:sz w:val="24"/>
          <w:szCs w:val="24"/>
        </w:rPr>
        <w:t>I</w:t>
      </w:r>
      <w:r w:rsidR="00C93B07">
        <w:rPr>
          <w:rFonts w:ascii="Arial" w:hAnsi="Arial" w:cs="Arial"/>
          <w:sz w:val="24"/>
          <w:szCs w:val="24"/>
        </w:rPr>
        <w:t>ncentivize building owners to gain support for BERDO</w:t>
      </w:r>
    </w:p>
    <w:p w14:paraId="7D031B6E" w14:textId="634F3FF5" w:rsidR="002B67D2" w:rsidRPr="00CC4099" w:rsidRDefault="002B67D2" w:rsidP="002B67D2">
      <w:pPr>
        <w:pStyle w:val="p1"/>
        <w:numPr>
          <w:ilvl w:val="0"/>
          <w:numId w:val="16"/>
        </w:numPr>
        <w:rPr>
          <w:rFonts w:ascii="Times New Roman" w:hAnsi="Times New Roman"/>
          <w:color w:val="000000"/>
          <w:sz w:val="18"/>
          <w:szCs w:val="18"/>
        </w:rPr>
      </w:pPr>
      <w:r>
        <w:rPr>
          <w:rFonts w:ascii="Arial" w:hAnsi="Arial" w:cs="Arial"/>
          <w:sz w:val="24"/>
          <w:szCs w:val="24"/>
        </w:rPr>
        <w:t xml:space="preserve">Incentivize building </w:t>
      </w:r>
      <w:r w:rsidR="007C27B2">
        <w:rPr>
          <w:rFonts w:ascii="Arial" w:hAnsi="Arial" w:cs="Arial"/>
          <w:sz w:val="24"/>
          <w:szCs w:val="24"/>
        </w:rPr>
        <w:t>decarbonization</w:t>
      </w:r>
    </w:p>
    <w:p w14:paraId="03B63137" w14:textId="7B404BE9" w:rsidR="00C93B07" w:rsidRPr="00CC4099" w:rsidRDefault="00C93B07" w:rsidP="002B67D2">
      <w:pPr>
        <w:pStyle w:val="p1"/>
        <w:rPr>
          <w:rFonts w:ascii="Times New Roman" w:hAnsi="Times New Roman"/>
          <w:color w:val="000000"/>
          <w:sz w:val="18"/>
          <w:szCs w:val="18"/>
        </w:rPr>
      </w:pPr>
    </w:p>
    <w:p w14:paraId="68AF5830" w14:textId="77777777" w:rsidR="00D85E30" w:rsidRDefault="00D85E30" w:rsidP="004B570D">
      <w:pPr>
        <w:pStyle w:val="p3"/>
        <w:rPr>
          <w:rFonts w:ascii="Arial" w:hAnsi="Arial" w:cs="Arial"/>
          <w:sz w:val="24"/>
          <w:szCs w:val="24"/>
        </w:rPr>
      </w:pPr>
    </w:p>
    <w:p w14:paraId="15D744BD" w14:textId="77777777" w:rsidR="006202EF" w:rsidRDefault="006202EF">
      <w:pPr>
        <w:rPr>
          <w:rFonts w:ascii="Arial" w:hAnsi="Arial" w:cs="Arial"/>
          <w:b/>
          <w:bCs/>
        </w:rPr>
      </w:pPr>
      <w:r>
        <w:rPr>
          <w:rFonts w:ascii="Arial" w:hAnsi="Arial" w:cs="Arial"/>
          <w:b/>
          <w:bCs/>
        </w:rPr>
        <w:br w:type="page"/>
      </w:r>
    </w:p>
    <w:p w14:paraId="2602C6B9" w14:textId="489BA35F" w:rsidR="008C623C" w:rsidRPr="00566F91" w:rsidRDefault="008C623C" w:rsidP="00566F91">
      <w:pPr>
        <w:rPr>
          <w:rFonts w:ascii="Arial" w:eastAsia="Times New Roman" w:hAnsi="Arial" w:cs="Arial"/>
          <w:b/>
          <w:bCs/>
          <w:color w:val="000000"/>
          <w:kern w:val="0"/>
          <w14:ligatures w14:val="none"/>
        </w:rPr>
      </w:pPr>
      <w:r w:rsidRPr="008C623C">
        <w:rPr>
          <w:rFonts w:ascii="Arial" w:hAnsi="Arial" w:cs="Arial"/>
          <w:b/>
          <w:bCs/>
        </w:rPr>
        <w:lastRenderedPageBreak/>
        <w:t>ASSUMPTIONS</w:t>
      </w:r>
    </w:p>
    <w:p w14:paraId="3D6F093F" w14:textId="77777777" w:rsidR="008C623C" w:rsidRDefault="008C623C" w:rsidP="004B570D">
      <w:pPr>
        <w:pStyle w:val="p3"/>
        <w:rPr>
          <w:rFonts w:ascii="Arial" w:hAnsi="Arial" w:cs="Arial"/>
          <w:sz w:val="24"/>
          <w:szCs w:val="24"/>
        </w:rPr>
      </w:pPr>
    </w:p>
    <w:p w14:paraId="7FB64600" w14:textId="62DC0A44" w:rsidR="00183D88" w:rsidRDefault="00C44B9A" w:rsidP="00ED2C53">
      <w:pPr>
        <w:pStyle w:val="p3"/>
        <w:numPr>
          <w:ilvl w:val="0"/>
          <w:numId w:val="17"/>
        </w:numPr>
        <w:rPr>
          <w:rFonts w:ascii="Arial" w:hAnsi="Arial" w:cs="Arial"/>
          <w:sz w:val="24"/>
          <w:szCs w:val="24"/>
        </w:rPr>
      </w:pPr>
      <w:r w:rsidRPr="00183D88">
        <w:rPr>
          <w:rFonts w:ascii="Arial" w:hAnsi="Arial" w:cs="Arial"/>
          <w:sz w:val="24"/>
          <w:szCs w:val="24"/>
        </w:rPr>
        <w:t xml:space="preserve">Building characteristics, </w:t>
      </w:r>
      <w:r w:rsidR="002C6F25">
        <w:rPr>
          <w:rFonts w:ascii="Arial" w:hAnsi="Arial" w:cs="Arial"/>
          <w:sz w:val="24"/>
          <w:szCs w:val="24"/>
        </w:rPr>
        <w:t>including</w:t>
      </w:r>
      <w:r w:rsidRPr="00183D88">
        <w:rPr>
          <w:rFonts w:ascii="Arial" w:hAnsi="Arial" w:cs="Arial"/>
          <w:sz w:val="24"/>
          <w:szCs w:val="24"/>
        </w:rPr>
        <w:t xml:space="preserve"> </w:t>
      </w:r>
      <w:r w:rsidR="00704E2E" w:rsidRPr="00183D88">
        <w:rPr>
          <w:rFonts w:ascii="Arial" w:hAnsi="Arial" w:cs="Arial"/>
          <w:sz w:val="24"/>
          <w:szCs w:val="24"/>
        </w:rPr>
        <w:t xml:space="preserve">type, </w:t>
      </w:r>
      <w:r w:rsidRPr="00183D88">
        <w:rPr>
          <w:rFonts w:ascii="Arial" w:hAnsi="Arial" w:cs="Arial"/>
          <w:sz w:val="24"/>
          <w:szCs w:val="24"/>
        </w:rPr>
        <w:t>size, number</w:t>
      </w:r>
      <w:r w:rsidR="00704E2E" w:rsidRPr="00183D88">
        <w:rPr>
          <w:rFonts w:ascii="Arial" w:hAnsi="Arial" w:cs="Arial"/>
          <w:sz w:val="24"/>
          <w:szCs w:val="24"/>
        </w:rPr>
        <w:t xml:space="preserve"> </w:t>
      </w:r>
      <w:r w:rsidR="00183D88" w:rsidRPr="00183D88">
        <w:rPr>
          <w:rFonts w:ascii="Arial" w:hAnsi="Arial" w:cs="Arial"/>
          <w:sz w:val="24"/>
          <w:szCs w:val="24"/>
        </w:rPr>
        <w:t>and GHG emissions are</w:t>
      </w:r>
      <w:r w:rsidR="00704E2E" w:rsidRPr="00183D88">
        <w:rPr>
          <w:rFonts w:ascii="Arial" w:hAnsi="Arial" w:cs="Arial"/>
          <w:sz w:val="24"/>
          <w:szCs w:val="24"/>
        </w:rPr>
        <w:t xml:space="preserve"> </w:t>
      </w:r>
      <w:r w:rsidR="00494587">
        <w:rPr>
          <w:rFonts w:ascii="Arial" w:hAnsi="Arial" w:cs="Arial"/>
          <w:sz w:val="24"/>
          <w:szCs w:val="24"/>
        </w:rPr>
        <w:t>approximations</w:t>
      </w:r>
      <w:r w:rsidR="00183D88">
        <w:rPr>
          <w:rFonts w:ascii="Arial" w:hAnsi="Arial" w:cs="Arial"/>
          <w:sz w:val="24"/>
          <w:szCs w:val="24"/>
        </w:rPr>
        <w:t xml:space="preserve"> based on </w:t>
      </w:r>
      <w:r w:rsidR="00494587">
        <w:rPr>
          <w:rFonts w:ascii="Arial" w:hAnsi="Arial" w:cs="Arial"/>
          <w:sz w:val="24"/>
          <w:szCs w:val="24"/>
        </w:rPr>
        <w:t xml:space="preserve">preliminary </w:t>
      </w:r>
      <w:r w:rsidR="002C6F25">
        <w:rPr>
          <w:rFonts w:ascii="Arial" w:hAnsi="Arial" w:cs="Arial"/>
          <w:sz w:val="24"/>
          <w:szCs w:val="24"/>
        </w:rPr>
        <w:t>information</w:t>
      </w:r>
      <w:r w:rsidR="00183D88">
        <w:rPr>
          <w:rFonts w:ascii="Arial" w:hAnsi="Arial" w:cs="Arial"/>
          <w:sz w:val="24"/>
          <w:szCs w:val="24"/>
        </w:rPr>
        <w:t xml:space="preserve"> from</w:t>
      </w:r>
      <w:r w:rsidR="002C6F25">
        <w:rPr>
          <w:rFonts w:ascii="Arial" w:hAnsi="Arial" w:cs="Arial"/>
          <w:sz w:val="24"/>
          <w:szCs w:val="24"/>
        </w:rPr>
        <w:t xml:space="preserve"> </w:t>
      </w:r>
      <w:r w:rsidR="00183D88">
        <w:rPr>
          <w:rFonts w:ascii="Arial" w:hAnsi="Arial" w:cs="Arial"/>
          <w:sz w:val="24"/>
          <w:szCs w:val="24"/>
        </w:rPr>
        <w:t>the Brookline Assessor’s FY2025 Property Database, the Brookline GIS Administrator’s Condominium Data, the Massachusetts LBER Covered Buildings List (March 31, 2025)</w:t>
      </w:r>
      <w:r w:rsidR="002C6F25">
        <w:rPr>
          <w:rFonts w:ascii="Arial" w:hAnsi="Arial" w:cs="Arial"/>
          <w:sz w:val="24"/>
          <w:szCs w:val="24"/>
        </w:rPr>
        <w:t>, and Blue Strike’s 2023 Brookline GHG Inventory.</w:t>
      </w:r>
      <w:r w:rsidR="00494587">
        <w:rPr>
          <w:rFonts w:ascii="Arial" w:hAnsi="Arial" w:cs="Arial"/>
          <w:sz w:val="24"/>
          <w:szCs w:val="24"/>
        </w:rPr>
        <w:t xml:space="preserve">  </w:t>
      </w:r>
    </w:p>
    <w:p w14:paraId="684B3117" w14:textId="762393CE" w:rsidR="00566F91" w:rsidRPr="00566F91" w:rsidRDefault="00566F91" w:rsidP="00566F91">
      <w:pPr>
        <w:pStyle w:val="p3"/>
        <w:numPr>
          <w:ilvl w:val="0"/>
          <w:numId w:val="17"/>
        </w:numPr>
        <w:rPr>
          <w:rFonts w:ascii="Arial" w:hAnsi="Arial" w:cs="Arial"/>
          <w:sz w:val="24"/>
          <w:szCs w:val="24"/>
        </w:rPr>
      </w:pPr>
      <w:r w:rsidRPr="00566F91">
        <w:rPr>
          <w:rFonts w:ascii="Arial" w:hAnsi="Arial" w:cs="Arial"/>
          <w:sz w:val="24"/>
          <w:szCs w:val="24"/>
        </w:rPr>
        <w:t xml:space="preserve">Allocation </w:t>
      </w:r>
      <w:r>
        <w:rPr>
          <w:rFonts w:ascii="Arial" w:hAnsi="Arial" w:cs="Arial"/>
          <w:sz w:val="24"/>
          <w:szCs w:val="24"/>
        </w:rPr>
        <w:t xml:space="preserve">of GHG emissions </w:t>
      </w:r>
      <w:r w:rsidRPr="00566F91">
        <w:rPr>
          <w:rFonts w:ascii="Arial" w:hAnsi="Arial" w:cs="Arial"/>
          <w:sz w:val="24"/>
          <w:szCs w:val="24"/>
        </w:rPr>
        <w:t xml:space="preserve">among building types is based on weighted </w:t>
      </w:r>
      <w:r w:rsidR="00304247">
        <w:rPr>
          <w:rFonts w:ascii="Arial" w:hAnsi="Arial" w:cs="Arial"/>
          <w:sz w:val="24"/>
          <w:szCs w:val="24"/>
        </w:rPr>
        <w:t>approximations</w:t>
      </w:r>
      <w:r w:rsidRPr="00566F91">
        <w:rPr>
          <w:rFonts w:ascii="Arial" w:hAnsi="Arial" w:cs="Arial"/>
          <w:sz w:val="24"/>
          <w:szCs w:val="24"/>
        </w:rPr>
        <w:t xml:space="preserve"> </w:t>
      </w:r>
      <w:r w:rsidR="00304247">
        <w:rPr>
          <w:rFonts w:ascii="Arial" w:hAnsi="Arial" w:cs="Arial"/>
          <w:sz w:val="24"/>
          <w:szCs w:val="24"/>
        </w:rPr>
        <w:t>of</w:t>
      </w:r>
      <w:r w:rsidRPr="00566F91">
        <w:rPr>
          <w:rFonts w:ascii="Arial" w:hAnsi="Arial" w:cs="Arial"/>
          <w:sz w:val="24"/>
          <w:szCs w:val="24"/>
        </w:rPr>
        <w:t xml:space="preserve"> emissions per square foot</w:t>
      </w:r>
      <w:r w:rsidR="00C910E6">
        <w:rPr>
          <w:rFonts w:ascii="Arial" w:hAnsi="Arial" w:cs="Arial"/>
          <w:sz w:val="24"/>
          <w:szCs w:val="24"/>
        </w:rPr>
        <w:t>.</w:t>
      </w:r>
    </w:p>
    <w:p w14:paraId="182D5D60" w14:textId="0EFB7EF1" w:rsidR="002C6F25" w:rsidRDefault="002C6F25" w:rsidP="002C6F25">
      <w:pPr>
        <w:pStyle w:val="ListParagraph"/>
        <w:numPr>
          <w:ilvl w:val="0"/>
          <w:numId w:val="17"/>
        </w:numPr>
        <w:rPr>
          <w:rFonts w:ascii="Arial" w:hAnsi="Arial" w:cs="Arial"/>
        </w:rPr>
      </w:pPr>
      <w:r w:rsidRPr="002C6F25">
        <w:rPr>
          <w:rFonts w:ascii="Arial" w:hAnsi="Arial" w:cs="Arial"/>
        </w:rPr>
        <w:t xml:space="preserve"> </w:t>
      </w:r>
      <w:r w:rsidR="00D8565D">
        <w:rPr>
          <w:rFonts w:ascii="Arial" w:hAnsi="Arial" w:cs="Arial"/>
        </w:rPr>
        <w:t>The c</w:t>
      </w:r>
      <w:r>
        <w:rPr>
          <w:rFonts w:ascii="Arial" w:hAnsi="Arial" w:cs="Arial"/>
        </w:rPr>
        <w:t xml:space="preserve">ost to decarbonize buildings </w:t>
      </w:r>
      <w:r w:rsidR="00D8565D">
        <w:rPr>
          <w:rFonts w:ascii="Arial" w:hAnsi="Arial" w:cs="Arial"/>
        </w:rPr>
        <w:t xml:space="preserve">is </w:t>
      </w:r>
      <w:r>
        <w:rPr>
          <w:rFonts w:ascii="Arial" w:hAnsi="Arial" w:cs="Arial"/>
        </w:rPr>
        <w:t xml:space="preserve">based on </w:t>
      </w:r>
      <w:r w:rsidRPr="002C6F25">
        <w:rPr>
          <w:rFonts w:ascii="Arial" w:hAnsi="Arial" w:cs="Arial"/>
          <w:i/>
          <w:iCs/>
        </w:rPr>
        <w:t>New York Building Electrification and Decarbonization Costs</w:t>
      </w:r>
      <w:r w:rsidRPr="002C6F25">
        <w:rPr>
          <w:rFonts w:ascii="Arial" w:hAnsi="Arial" w:cs="Arial"/>
        </w:rPr>
        <w:t>, Rosen Consulting Group, June 2022</w:t>
      </w:r>
      <w:r w:rsidR="00C910E6">
        <w:rPr>
          <w:rFonts w:ascii="Arial" w:hAnsi="Arial" w:cs="Arial"/>
        </w:rPr>
        <w:t>.</w:t>
      </w:r>
    </w:p>
    <w:p w14:paraId="0AD7F824" w14:textId="777C5055" w:rsidR="002C6F25" w:rsidRPr="002C6F25" w:rsidRDefault="00D8565D" w:rsidP="002C6F25">
      <w:pPr>
        <w:pStyle w:val="ListParagraph"/>
        <w:numPr>
          <w:ilvl w:val="0"/>
          <w:numId w:val="17"/>
        </w:numPr>
        <w:rPr>
          <w:rFonts w:ascii="Arial" w:hAnsi="Arial" w:cs="Arial"/>
        </w:rPr>
      </w:pPr>
      <w:r>
        <w:rPr>
          <w:rFonts w:ascii="Arial" w:hAnsi="Arial" w:cs="Arial"/>
        </w:rPr>
        <w:t>The c</w:t>
      </w:r>
      <w:r w:rsidR="002C6F25" w:rsidRPr="002C6F25">
        <w:rPr>
          <w:rFonts w:ascii="Arial" w:hAnsi="Arial" w:cs="Arial"/>
        </w:rPr>
        <w:t xml:space="preserve">ost to install heat pumps in single family homes from </w:t>
      </w:r>
      <w:r w:rsidR="002C6F25">
        <w:rPr>
          <w:rFonts w:ascii="Arial" w:hAnsi="Arial" w:cs="Arial"/>
        </w:rPr>
        <w:t>Massachusetts Clean Energy Center/Energy Sage Air Source Heat Pump Cost Estimator.</w:t>
      </w:r>
    </w:p>
    <w:p w14:paraId="085359F3" w14:textId="77777777" w:rsidR="00183D88" w:rsidRDefault="00183D88" w:rsidP="00183D88">
      <w:pPr>
        <w:pStyle w:val="p3"/>
        <w:rPr>
          <w:rFonts w:ascii="Arial" w:hAnsi="Arial" w:cs="Arial"/>
          <w:sz w:val="24"/>
          <w:szCs w:val="24"/>
        </w:rPr>
      </w:pPr>
    </w:p>
    <w:p w14:paraId="3D6FBF10" w14:textId="77777777" w:rsidR="00183D88" w:rsidRPr="00183D88" w:rsidRDefault="00183D88" w:rsidP="00183D88">
      <w:pPr>
        <w:pStyle w:val="p3"/>
        <w:rPr>
          <w:rFonts w:ascii="Arial" w:hAnsi="Arial" w:cs="Arial"/>
          <w:sz w:val="24"/>
          <w:szCs w:val="24"/>
        </w:rPr>
      </w:pPr>
    </w:p>
    <w:p w14:paraId="70368003" w14:textId="77777777" w:rsidR="00183D88" w:rsidRDefault="00183D88" w:rsidP="00183D88">
      <w:pPr>
        <w:pStyle w:val="p3"/>
        <w:rPr>
          <w:rFonts w:ascii="Arial" w:hAnsi="Arial" w:cs="Arial"/>
          <w:b/>
          <w:bCs/>
        </w:rPr>
      </w:pPr>
    </w:p>
    <w:p w14:paraId="10F2FF4B" w14:textId="77777777" w:rsidR="008B08FA" w:rsidRDefault="008B08FA" w:rsidP="001F0B95">
      <w:pPr>
        <w:rPr>
          <w:rFonts w:ascii="Arial" w:hAnsi="Arial" w:cs="Arial"/>
          <w:b/>
          <w:bCs/>
        </w:rPr>
      </w:pPr>
      <w:r>
        <w:rPr>
          <w:rFonts w:ascii="Arial" w:hAnsi="Arial" w:cs="Arial"/>
          <w:b/>
          <w:bCs/>
        </w:rPr>
        <w:t>EQUITY</w:t>
      </w:r>
    </w:p>
    <w:p w14:paraId="3F2BB949" w14:textId="77777777" w:rsidR="008B08FA" w:rsidRDefault="008B08FA" w:rsidP="001F0B95">
      <w:pPr>
        <w:rPr>
          <w:rFonts w:ascii="Arial" w:hAnsi="Arial" w:cs="Arial"/>
          <w:b/>
          <w:bCs/>
        </w:rPr>
      </w:pPr>
    </w:p>
    <w:p w14:paraId="15ECE09D" w14:textId="2650C99F" w:rsidR="00AE6519" w:rsidRPr="00815705" w:rsidRDefault="0096757D" w:rsidP="00322416">
      <w:pPr>
        <w:pStyle w:val="p1"/>
        <w:rPr>
          <w:rFonts w:ascii="Arial" w:hAnsi="Arial" w:cs="Arial"/>
          <w:color w:val="000000"/>
          <w:sz w:val="24"/>
          <w:szCs w:val="24"/>
        </w:rPr>
      </w:pPr>
      <w:r w:rsidRPr="00815705">
        <w:rPr>
          <w:rFonts w:ascii="Arial" w:hAnsi="Arial" w:cs="Arial"/>
          <w:color w:val="000000"/>
          <w:sz w:val="24"/>
          <w:szCs w:val="24"/>
        </w:rPr>
        <w:t>Northeast Energy Efficiency Partnerships</w:t>
      </w:r>
      <w:r>
        <w:rPr>
          <w:rFonts w:ascii="Arial" w:hAnsi="Arial" w:cs="Arial"/>
          <w:color w:val="000000"/>
          <w:sz w:val="24"/>
          <w:szCs w:val="24"/>
        </w:rPr>
        <w:t xml:space="preserve"> published a position paper, </w:t>
      </w:r>
      <w:r w:rsidRPr="00815705">
        <w:rPr>
          <w:rFonts w:ascii="Arial" w:hAnsi="Arial" w:cs="Arial"/>
          <w:i/>
          <w:iCs/>
          <w:color w:val="000000"/>
          <w:sz w:val="24"/>
          <w:szCs w:val="24"/>
        </w:rPr>
        <w:t xml:space="preserve">Centering Equity in the Rules and Regulations of </w:t>
      </w:r>
      <w:proofErr w:type="gramStart"/>
      <w:r w:rsidRPr="00815705">
        <w:rPr>
          <w:rFonts w:ascii="Arial" w:hAnsi="Arial" w:cs="Arial"/>
          <w:i/>
          <w:iCs/>
          <w:color w:val="000000"/>
          <w:sz w:val="24"/>
          <w:szCs w:val="24"/>
        </w:rPr>
        <w:t>A</w:t>
      </w:r>
      <w:proofErr w:type="gramEnd"/>
      <w:r w:rsidRPr="00815705">
        <w:rPr>
          <w:rFonts w:ascii="Arial" w:hAnsi="Arial" w:cs="Arial"/>
          <w:i/>
          <w:iCs/>
          <w:color w:val="000000"/>
          <w:sz w:val="24"/>
          <w:szCs w:val="24"/>
        </w:rPr>
        <w:t xml:space="preserve"> Building Performance Standard</w:t>
      </w:r>
      <w:r w:rsidRPr="00815705">
        <w:rPr>
          <w:rFonts w:ascii="Arial" w:hAnsi="Arial" w:cs="Arial"/>
          <w:color w:val="000000"/>
          <w:sz w:val="24"/>
          <w:szCs w:val="24"/>
        </w:rPr>
        <w:t xml:space="preserve">, </w:t>
      </w:r>
      <w:r>
        <w:rPr>
          <w:rFonts w:ascii="Arial" w:hAnsi="Arial" w:cs="Arial"/>
          <w:color w:val="000000"/>
          <w:sz w:val="24"/>
          <w:szCs w:val="24"/>
        </w:rPr>
        <w:t>that’s relevant to BERDO.  Highlights include the following:</w:t>
      </w:r>
    </w:p>
    <w:p w14:paraId="3CB59E71" w14:textId="77777777" w:rsidR="00AE6519" w:rsidRPr="00AE6519" w:rsidRDefault="00AE6519" w:rsidP="00AE6519">
      <w:pPr>
        <w:rPr>
          <w:rFonts w:ascii="Calibri" w:eastAsia="Times New Roman" w:hAnsi="Calibri" w:cs="Calibri"/>
          <w:color w:val="12909F"/>
          <w:kern w:val="0"/>
          <w:sz w:val="30"/>
          <w:szCs w:val="30"/>
          <w14:ligatures w14:val="none"/>
        </w:rPr>
      </w:pPr>
    </w:p>
    <w:p w14:paraId="11F58C09" w14:textId="19DAD0EA" w:rsidR="008B08FA" w:rsidRDefault="00AE6519" w:rsidP="0096757D">
      <w:pPr>
        <w:ind w:left="720"/>
        <w:rPr>
          <w:rFonts w:ascii="Arial" w:eastAsia="Times New Roman" w:hAnsi="Arial" w:cs="Arial"/>
          <w:color w:val="000000"/>
          <w:kern w:val="0"/>
          <w14:ligatures w14:val="none"/>
        </w:rPr>
      </w:pPr>
      <w:r>
        <w:rPr>
          <w:rFonts w:ascii="Arial" w:eastAsia="Times New Roman" w:hAnsi="Arial" w:cs="Arial"/>
          <w:color w:val="000000"/>
          <w:kern w:val="0"/>
          <w14:ligatures w14:val="none"/>
        </w:rPr>
        <w:t>“…</w:t>
      </w:r>
      <w:r w:rsidR="008B08FA" w:rsidRPr="008B08FA">
        <w:rPr>
          <w:rFonts w:ascii="Arial" w:eastAsia="Times New Roman" w:hAnsi="Arial" w:cs="Arial"/>
          <w:color w:val="000000"/>
          <w:kern w:val="0"/>
          <w14:ligatures w14:val="none"/>
        </w:rPr>
        <w:t>A BPS creates a burden on owners to make capital expenditures to improve performance. For many, these</w:t>
      </w:r>
      <w:r w:rsidR="008B08FA">
        <w:rPr>
          <w:rFonts w:ascii="Arial" w:eastAsia="Times New Roman" w:hAnsi="Arial" w:cs="Arial"/>
          <w:color w:val="000000"/>
          <w:kern w:val="0"/>
          <w14:ligatures w14:val="none"/>
        </w:rPr>
        <w:t xml:space="preserve"> </w:t>
      </w:r>
      <w:r w:rsidR="008B08FA" w:rsidRPr="008B08FA">
        <w:rPr>
          <w:rFonts w:ascii="Arial" w:eastAsia="Times New Roman" w:hAnsi="Arial" w:cs="Arial"/>
          <w:color w:val="000000"/>
          <w:kern w:val="0"/>
          <w14:ligatures w14:val="none"/>
        </w:rPr>
        <w:t>burdens are exacerbated by a lack of capital resources, staffing, and historical discrimination, such as red lining,</w:t>
      </w:r>
      <w:r w:rsidR="008B08FA">
        <w:rPr>
          <w:rFonts w:ascii="Arial" w:eastAsia="Times New Roman" w:hAnsi="Arial" w:cs="Arial"/>
          <w:color w:val="000000"/>
          <w:kern w:val="0"/>
          <w14:ligatures w14:val="none"/>
        </w:rPr>
        <w:t xml:space="preserve"> </w:t>
      </w:r>
      <w:r w:rsidR="008B08FA" w:rsidRPr="008B08FA">
        <w:rPr>
          <w:rFonts w:ascii="Arial" w:eastAsia="Times New Roman" w:hAnsi="Arial" w:cs="Arial"/>
          <w:color w:val="000000"/>
          <w:kern w:val="0"/>
          <w14:ligatures w14:val="none"/>
        </w:rPr>
        <w:t>that still shape the building landscape today. The least efficient buildings will have the most to gain from</w:t>
      </w:r>
      <w:r w:rsidR="0096757D">
        <w:rPr>
          <w:rFonts w:ascii="Arial" w:eastAsia="Times New Roman" w:hAnsi="Arial" w:cs="Arial"/>
          <w:color w:val="000000"/>
          <w:kern w:val="0"/>
          <w14:ligatures w14:val="none"/>
        </w:rPr>
        <w:t xml:space="preserve"> </w:t>
      </w:r>
      <w:r w:rsidR="008B08FA" w:rsidRPr="008B08FA">
        <w:rPr>
          <w:rFonts w:ascii="Arial" w:eastAsia="Times New Roman" w:hAnsi="Arial" w:cs="Arial"/>
          <w:color w:val="000000"/>
          <w:kern w:val="0"/>
          <w14:ligatures w14:val="none"/>
        </w:rPr>
        <w:t>complying with a BPS but will also cost the most to improve. It is not uncommon for older and neglected</w:t>
      </w:r>
      <w:r w:rsidR="008B08FA">
        <w:rPr>
          <w:rFonts w:ascii="Arial" w:eastAsia="Times New Roman" w:hAnsi="Arial" w:cs="Arial"/>
          <w:color w:val="000000"/>
          <w:kern w:val="0"/>
          <w14:ligatures w14:val="none"/>
        </w:rPr>
        <w:t xml:space="preserve"> </w:t>
      </w:r>
      <w:r w:rsidR="008B08FA" w:rsidRPr="008B08FA">
        <w:rPr>
          <w:rFonts w:ascii="Arial" w:eastAsia="Times New Roman" w:hAnsi="Arial" w:cs="Arial"/>
          <w:color w:val="000000"/>
          <w:kern w:val="0"/>
          <w14:ligatures w14:val="none"/>
        </w:rPr>
        <w:t>buildings to be owned by populations that will be challenged to make upgrades. Exempting this sector will only</w:t>
      </w:r>
      <w:r w:rsidR="008B08FA">
        <w:rPr>
          <w:rFonts w:ascii="Arial" w:eastAsia="Times New Roman" w:hAnsi="Arial" w:cs="Arial"/>
          <w:color w:val="000000"/>
          <w:kern w:val="0"/>
          <w14:ligatures w14:val="none"/>
        </w:rPr>
        <w:t xml:space="preserve"> </w:t>
      </w:r>
      <w:r w:rsidR="008B08FA" w:rsidRPr="008B08FA">
        <w:rPr>
          <w:rFonts w:ascii="Arial" w:eastAsia="Times New Roman" w:hAnsi="Arial" w:cs="Arial"/>
          <w:color w:val="000000"/>
          <w:kern w:val="0"/>
          <w14:ligatures w14:val="none"/>
        </w:rPr>
        <w:t>lead to bigger disparities between low-performing and average-performing buildings</w:t>
      </w:r>
      <w:r>
        <w:rPr>
          <w:rFonts w:ascii="Arial" w:eastAsia="Times New Roman" w:hAnsi="Arial" w:cs="Arial"/>
          <w:color w:val="000000"/>
          <w:kern w:val="0"/>
          <w14:ligatures w14:val="none"/>
        </w:rPr>
        <w:t>…</w:t>
      </w:r>
    </w:p>
    <w:p w14:paraId="088E2724" w14:textId="77777777" w:rsidR="00283ACE" w:rsidRDefault="00283ACE" w:rsidP="0096757D">
      <w:pPr>
        <w:ind w:left="720"/>
        <w:rPr>
          <w:rFonts w:ascii="Arial" w:eastAsia="Times New Roman" w:hAnsi="Arial" w:cs="Arial"/>
          <w:color w:val="000000"/>
          <w:kern w:val="0"/>
          <w14:ligatures w14:val="none"/>
        </w:rPr>
      </w:pPr>
    </w:p>
    <w:p w14:paraId="7824FCBC" w14:textId="65FB672E" w:rsidR="00283ACE" w:rsidRPr="00283ACE" w:rsidRDefault="00283ACE" w:rsidP="00283ACE">
      <w:pPr>
        <w:ind w:left="720"/>
        <w:rPr>
          <w:rFonts w:ascii="Arial" w:eastAsia="Times New Roman" w:hAnsi="Arial" w:cs="Arial"/>
          <w:color w:val="000000"/>
          <w:kern w:val="0"/>
          <w14:ligatures w14:val="none"/>
        </w:rPr>
      </w:pPr>
      <w:r>
        <w:rPr>
          <w:rFonts w:ascii="Arial" w:eastAsia="Times New Roman" w:hAnsi="Arial" w:cs="Arial"/>
          <w:color w:val="000000"/>
          <w:kern w:val="0"/>
          <w14:ligatures w14:val="none"/>
        </w:rPr>
        <w:t>…</w:t>
      </w:r>
      <w:r w:rsidRPr="00283ACE">
        <w:rPr>
          <w:rFonts w:ascii="Arial" w:eastAsia="Times New Roman" w:hAnsi="Arial" w:cs="Arial"/>
          <w:color w:val="000000"/>
          <w:kern w:val="0"/>
          <w14:ligatures w14:val="none"/>
        </w:rPr>
        <w:t>A BPS may also cause compounding issues, such as increased property values of upgraded buildings.</w:t>
      </w:r>
      <w:r>
        <w:rPr>
          <w:rFonts w:ascii="Arial" w:eastAsia="Times New Roman" w:hAnsi="Arial" w:cs="Arial"/>
          <w:color w:val="000000"/>
          <w:kern w:val="0"/>
          <w14:ligatures w14:val="none"/>
        </w:rPr>
        <w:t xml:space="preserve">  </w:t>
      </w:r>
      <w:r w:rsidRPr="00283ACE">
        <w:rPr>
          <w:rFonts w:ascii="Arial" w:eastAsia="Times New Roman" w:hAnsi="Arial" w:cs="Arial"/>
          <w:color w:val="000000"/>
          <w:kern w:val="0"/>
          <w14:ligatures w14:val="none"/>
        </w:rPr>
        <w:t>Compounding issues might include the</w:t>
      </w:r>
      <w:r>
        <w:rPr>
          <w:rFonts w:ascii="Arial" w:eastAsia="Times New Roman" w:hAnsi="Arial" w:cs="Arial"/>
          <w:color w:val="000000"/>
          <w:kern w:val="0"/>
          <w14:ligatures w14:val="none"/>
        </w:rPr>
        <w:t xml:space="preserve"> </w:t>
      </w:r>
      <w:r w:rsidRPr="00283ACE">
        <w:rPr>
          <w:rFonts w:ascii="Arial" w:eastAsia="Times New Roman" w:hAnsi="Arial" w:cs="Arial"/>
          <w:color w:val="000000"/>
          <w:kern w:val="0"/>
          <w14:ligatures w14:val="none"/>
        </w:rPr>
        <w:t>displacement of tenants if efficiency investments are made and result in</w:t>
      </w:r>
      <w:r>
        <w:rPr>
          <w:rFonts w:ascii="Arial" w:eastAsia="Times New Roman" w:hAnsi="Arial" w:cs="Arial"/>
          <w:color w:val="000000"/>
          <w:kern w:val="0"/>
          <w14:ligatures w14:val="none"/>
        </w:rPr>
        <w:t xml:space="preserve"> </w:t>
      </w:r>
      <w:r w:rsidRPr="00283ACE">
        <w:rPr>
          <w:rFonts w:ascii="Arial" w:eastAsia="Times New Roman" w:hAnsi="Arial" w:cs="Arial"/>
          <w:color w:val="000000"/>
          <w:kern w:val="0"/>
          <w14:ligatures w14:val="none"/>
        </w:rPr>
        <w:t>higher home values. Improvements that lower a building’s operating costs such as</w:t>
      </w:r>
      <w:r>
        <w:rPr>
          <w:rFonts w:ascii="Arial" w:eastAsia="Times New Roman" w:hAnsi="Arial" w:cs="Arial"/>
          <w:color w:val="000000"/>
          <w:kern w:val="0"/>
          <w14:ligatures w14:val="none"/>
        </w:rPr>
        <w:t xml:space="preserve"> </w:t>
      </w:r>
      <w:r w:rsidRPr="00283ACE">
        <w:rPr>
          <w:rFonts w:ascii="Arial" w:eastAsia="Times New Roman" w:hAnsi="Arial" w:cs="Arial"/>
          <w:color w:val="000000"/>
          <w:kern w:val="0"/>
          <w14:ligatures w14:val="none"/>
        </w:rPr>
        <w:t>modern efficient HVAC</w:t>
      </w:r>
      <w:r>
        <w:rPr>
          <w:rFonts w:ascii="Arial" w:eastAsia="Times New Roman" w:hAnsi="Arial" w:cs="Arial"/>
          <w:color w:val="000000"/>
          <w:kern w:val="0"/>
          <w14:ligatures w14:val="none"/>
        </w:rPr>
        <w:t xml:space="preserve"> </w:t>
      </w:r>
      <w:r w:rsidRPr="00283ACE">
        <w:rPr>
          <w:rFonts w:ascii="Arial" w:eastAsia="Times New Roman" w:hAnsi="Arial" w:cs="Arial"/>
          <w:color w:val="000000"/>
          <w:kern w:val="0"/>
          <w14:ligatures w14:val="none"/>
        </w:rPr>
        <w:t>systems and appliances, renewable energy, and</w:t>
      </w:r>
      <w:r>
        <w:rPr>
          <w:rFonts w:ascii="Arial" w:eastAsia="Times New Roman" w:hAnsi="Arial" w:cs="Arial"/>
          <w:color w:val="000000"/>
          <w:kern w:val="0"/>
          <w14:ligatures w14:val="none"/>
        </w:rPr>
        <w:t xml:space="preserve"> </w:t>
      </w:r>
      <w:r w:rsidRPr="00283ACE">
        <w:rPr>
          <w:rFonts w:ascii="Arial" w:eastAsia="Times New Roman" w:hAnsi="Arial" w:cs="Arial"/>
          <w:color w:val="000000"/>
          <w:kern w:val="0"/>
          <w14:ligatures w14:val="none"/>
        </w:rPr>
        <w:t>weatherization improvements make a building more desirable</w:t>
      </w:r>
      <w:r>
        <w:rPr>
          <w:rFonts w:ascii="Arial" w:eastAsia="Times New Roman" w:hAnsi="Arial" w:cs="Arial"/>
          <w:color w:val="000000"/>
          <w:kern w:val="0"/>
          <w14:ligatures w14:val="none"/>
        </w:rPr>
        <w:t xml:space="preserve"> </w:t>
      </w:r>
      <w:r w:rsidRPr="00283ACE">
        <w:rPr>
          <w:rFonts w:ascii="Arial" w:eastAsia="Times New Roman" w:hAnsi="Arial" w:cs="Arial"/>
          <w:color w:val="000000"/>
          <w:kern w:val="0"/>
          <w14:ligatures w14:val="none"/>
        </w:rPr>
        <w:t xml:space="preserve">and can </w:t>
      </w:r>
      <w:r>
        <w:rPr>
          <w:rFonts w:ascii="Arial" w:eastAsia="Times New Roman" w:hAnsi="Arial" w:cs="Arial"/>
          <w:color w:val="000000"/>
          <w:kern w:val="0"/>
          <w14:ligatures w14:val="none"/>
        </w:rPr>
        <w:t xml:space="preserve">increase </w:t>
      </w:r>
      <w:r w:rsidRPr="00283ACE">
        <w:rPr>
          <w:rFonts w:ascii="Arial" w:eastAsia="Times New Roman" w:hAnsi="Arial" w:cs="Arial"/>
          <w:color w:val="000000"/>
          <w:kern w:val="0"/>
          <w14:ligatures w14:val="none"/>
        </w:rPr>
        <w:t>the upfront cost to buy or rent the space, thus pushing out historicall</w:t>
      </w:r>
      <w:r>
        <w:rPr>
          <w:rFonts w:ascii="Arial" w:eastAsia="Times New Roman" w:hAnsi="Arial" w:cs="Arial"/>
          <w:color w:val="000000"/>
          <w:kern w:val="0"/>
          <w14:ligatures w14:val="none"/>
        </w:rPr>
        <w:t xml:space="preserve">y </w:t>
      </w:r>
      <w:r w:rsidRPr="00283ACE">
        <w:rPr>
          <w:rFonts w:ascii="Arial" w:eastAsia="Times New Roman" w:hAnsi="Arial" w:cs="Arial"/>
          <w:color w:val="000000"/>
          <w:kern w:val="0"/>
          <w14:ligatures w14:val="none"/>
        </w:rPr>
        <w:t>marginalized</w:t>
      </w:r>
      <w:r>
        <w:rPr>
          <w:rFonts w:ascii="Arial" w:eastAsia="Times New Roman" w:hAnsi="Arial" w:cs="Arial"/>
          <w:color w:val="000000"/>
          <w:kern w:val="0"/>
          <w14:ligatures w14:val="none"/>
        </w:rPr>
        <w:t xml:space="preserve"> </w:t>
      </w:r>
      <w:r w:rsidRPr="00283ACE">
        <w:rPr>
          <w:rFonts w:ascii="Arial" w:eastAsia="Times New Roman" w:hAnsi="Arial" w:cs="Arial"/>
          <w:color w:val="000000"/>
          <w:kern w:val="0"/>
          <w14:ligatures w14:val="none"/>
        </w:rPr>
        <w:t>populations. For rental spaces, BPS policies create landlord tenant split incentives that can lead to displacement.</w:t>
      </w:r>
      <w:r>
        <w:rPr>
          <w:rFonts w:ascii="Arial" w:eastAsia="Times New Roman" w:hAnsi="Arial" w:cs="Arial"/>
          <w:color w:val="000000"/>
          <w:kern w:val="0"/>
          <w14:ligatures w14:val="none"/>
        </w:rPr>
        <w:t xml:space="preserve">  </w:t>
      </w:r>
      <w:r w:rsidRPr="00283ACE">
        <w:rPr>
          <w:rFonts w:ascii="Arial" w:eastAsia="Times New Roman" w:hAnsi="Arial" w:cs="Arial"/>
          <w:color w:val="000000"/>
          <w:kern w:val="0"/>
          <w14:ligatures w14:val="none"/>
        </w:rPr>
        <w:t>When tenants pay for utilities, th</w:t>
      </w:r>
      <w:r>
        <w:rPr>
          <w:rFonts w:ascii="Arial" w:eastAsia="Times New Roman" w:hAnsi="Arial" w:cs="Arial"/>
          <w:color w:val="000000"/>
          <w:kern w:val="0"/>
          <w14:ligatures w14:val="none"/>
        </w:rPr>
        <w:t xml:space="preserve">e </w:t>
      </w:r>
      <w:r w:rsidRPr="00283ACE">
        <w:rPr>
          <w:rFonts w:ascii="Arial" w:eastAsia="Times New Roman" w:hAnsi="Arial" w:cs="Arial"/>
          <w:color w:val="000000"/>
          <w:kern w:val="0"/>
          <w14:ligatures w14:val="none"/>
        </w:rPr>
        <w:t>financial savings of energy improvement projects go to tenants, while owners</w:t>
      </w:r>
    </w:p>
    <w:p w14:paraId="3A73F21D" w14:textId="68ED757E" w:rsidR="00283ACE" w:rsidRPr="00283ACE" w:rsidRDefault="00283ACE" w:rsidP="00283ACE">
      <w:pPr>
        <w:ind w:left="720"/>
        <w:rPr>
          <w:rFonts w:ascii="Arial" w:eastAsia="Times New Roman" w:hAnsi="Arial" w:cs="Arial"/>
          <w:color w:val="000000"/>
          <w:kern w:val="0"/>
          <w14:ligatures w14:val="none"/>
        </w:rPr>
      </w:pPr>
      <w:r w:rsidRPr="00283ACE">
        <w:rPr>
          <w:rFonts w:ascii="Arial" w:eastAsia="Times New Roman" w:hAnsi="Arial" w:cs="Arial"/>
          <w:color w:val="000000"/>
          <w:kern w:val="0"/>
          <w14:ligatures w14:val="none"/>
        </w:rPr>
        <w:t>pay upfront cost. Thus, property owners may be inclined to increase rent to recoup losses from paying for the</w:t>
      </w:r>
      <w:r>
        <w:rPr>
          <w:rFonts w:ascii="Arial" w:eastAsia="Times New Roman" w:hAnsi="Arial" w:cs="Arial"/>
          <w:color w:val="000000"/>
          <w:kern w:val="0"/>
          <w14:ligatures w14:val="none"/>
        </w:rPr>
        <w:t xml:space="preserve"> </w:t>
      </w:r>
      <w:r w:rsidRPr="00283ACE">
        <w:rPr>
          <w:rFonts w:ascii="Arial" w:eastAsia="Times New Roman" w:hAnsi="Arial" w:cs="Arial"/>
          <w:color w:val="000000"/>
          <w:kern w:val="0"/>
          <w14:ligatures w14:val="none"/>
        </w:rPr>
        <w:t>efficiency upgrades</w:t>
      </w:r>
      <w:r>
        <w:rPr>
          <w:rFonts w:ascii="Arial" w:eastAsia="Times New Roman" w:hAnsi="Arial" w:cs="Arial"/>
          <w:color w:val="000000"/>
          <w:kern w:val="0"/>
          <w14:ligatures w14:val="none"/>
        </w:rPr>
        <w:t>…</w:t>
      </w:r>
    </w:p>
    <w:p w14:paraId="6402AC60" w14:textId="77777777" w:rsidR="00283ACE" w:rsidRDefault="00283ACE" w:rsidP="0096757D">
      <w:pPr>
        <w:ind w:left="720"/>
        <w:rPr>
          <w:rFonts w:ascii="Arial" w:eastAsia="Times New Roman" w:hAnsi="Arial" w:cs="Arial"/>
          <w:color w:val="000000"/>
          <w:kern w:val="0"/>
          <w14:ligatures w14:val="none"/>
        </w:rPr>
      </w:pPr>
    </w:p>
    <w:p w14:paraId="3F214B0F" w14:textId="77777777" w:rsidR="008B08FA" w:rsidRDefault="008B08FA" w:rsidP="0096757D">
      <w:pPr>
        <w:rPr>
          <w:rFonts w:ascii="Arial" w:eastAsia="Times New Roman" w:hAnsi="Arial" w:cs="Arial"/>
          <w:color w:val="000000"/>
          <w:kern w:val="0"/>
          <w14:ligatures w14:val="none"/>
        </w:rPr>
      </w:pPr>
    </w:p>
    <w:p w14:paraId="253BDBB8" w14:textId="3611E705" w:rsidR="008B08FA" w:rsidRPr="008B08FA" w:rsidRDefault="00AE6519" w:rsidP="0096757D">
      <w:pPr>
        <w:ind w:left="720"/>
        <w:rPr>
          <w:rFonts w:ascii="Arial" w:eastAsia="Times New Roman" w:hAnsi="Arial" w:cs="Arial"/>
          <w:color w:val="000000"/>
          <w:kern w:val="0"/>
          <w14:ligatures w14:val="none"/>
        </w:rPr>
      </w:pPr>
      <w:r>
        <w:rPr>
          <w:rFonts w:ascii="Arial" w:eastAsia="Times New Roman" w:hAnsi="Arial" w:cs="Arial"/>
          <w:color w:val="000000"/>
          <w:kern w:val="0"/>
          <w14:ligatures w14:val="none"/>
        </w:rPr>
        <w:lastRenderedPageBreak/>
        <w:t>…</w:t>
      </w:r>
      <w:r w:rsidR="008B08FA" w:rsidRPr="008B08FA">
        <w:rPr>
          <w:rFonts w:ascii="Arial" w:eastAsia="Times New Roman" w:hAnsi="Arial" w:cs="Arial"/>
          <w:color w:val="000000"/>
          <w:kern w:val="0"/>
          <w14:ligatures w14:val="none"/>
        </w:rPr>
        <w:t>There are two main considerations when determining which buildings should comply with the BPS. The</w:t>
      </w:r>
      <w:r w:rsidR="008B08FA">
        <w:rPr>
          <w:rFonts w:ascii="Arial" w:eastAsia="Times New Roman" w:hAnsi="Arial" w:cs="Arial"/>
          <w:color w:val="000000"/>
          <w:kern w:val="0"/>
          <w14:ligatures w14:val="none"/>
        </w:rPr>
        <w:t xml:space="preserve"> </w:t>
      </w:r>
      <w:r w:rsidR="008B08FA" w:rsidRPr="008B08FA">
        <w:rPr>
          <w:rFonts w:ascii="Arial" w:eastAsia="Times New Roman" w:hAnsi="Arial" w:cs="Arial"/>
          <w:color w:val="000000"/>
          <w:kern w:val="0"/>
          <w14:ligatures w14:val="none"/>
        </w:rPr>
        <w:t>first relates to the square footage threshold. The smaller the size threshold, the more family-owned, small, and</w:t>
      </w:r>
      <w:r w:rsidR="008B08FA">
        <w:rPr>
          <w:rFonts w:ascii="Arial" w:eastAsia="Times New Roman" w:hAnsi="Arial" w:cs="Arial"/>
          <w:color w:val="000000"/>
          <w:kern w:val="0"/>
          <w14:ligatures w14:val="none"/>
        </w:rPr>
        <w:t xml:space="preserve"> </w:t>
      </w:r>
      <w:r w:rsidR="008B08FA" w:rsidRPr="008B08FA">
        <w:rPr>
          <w:rFonts w:ascii="Arial" w:eastAsia="Times New Roman" w:hAnsi="Arial" w:cs="Arial"/>
          <w:color w:val="000000"/>
          <w:kern w:val="0"/>
          <w14:ligatures w14:val="none"/>
        </w:rPr>
        <w:t>independent businesses will be included in the BPS. These facilities may struggle with resources and may be</w:t>
      </w:r>
      <w:r w:rsidR="008B08FA">
        <w:rPr>
          <w:rFonts w:ascii="Arial" w:eastAsia="Times New Roman" w:hAnsi="Arial" w:cs="Arial"/>
          <w:color w:val="000000"/>
          <w:kern w:val="0"/>
          <w14:ligatures w14:val="none"/>
        </w:rPr>
        <w:t xml:space="preserve"> </w:t>
      </w:r>
      <w:r w:rsidR="008B08FA" w:rsidRPr="008B08FA">
        <w:rPr>
          <w:rFonts w:ascii="Arial" w:eastAsia="Times New Roman" w:hAnsi="Arial" w:cs="Arial"/>
          <w:color w:val="000000"/>
          <w:kern w:val="0"/>
          <w14:ligatures w14:val="none"/>
        </w:rPr>
        <w:t>unfamiliar with tracking and reporting energy usage. Larger buildings often benefit by being managed</w:t>
      </w:r>
      <w:r w:rsidR="008B08FA">
        <w:rPr>
          <w:rFonts w:ascii="Arial" w:eastAsia="Times New Roman" w:hAnsi="Arial" w:cs="Arial"/>
          <w:color w:val="000000"/>
          <w:kern w:val="0"/>
          <w14:ligatures w14:val="none"/>
        </w:rPr>
        <w:t xml:space="preserve"> </w:t>
      </w:r>
      <w:r w:rsidR="008B08FA" w:rsidRPr="008B08FA">
        <w:rPr>
          <w:rFonts w:ascii="Arial" w:eastAsia="Times New Roman" w:hAnsi="Arial" w:cs="Arial"/>
          <w:color w:val="000000"/>
          <w:kern w:val="0"/>
          <w14:ligatures w14:val="none"/>
        </w:rPr>
        <w:t>or owned</w:t>
      </w:r>
      <w:r w:rsidR="008B08FA">
        <w:rPr>
          <w:rFonts w:ascii="Arial" w:eastAsia="Times New Roman" w:hAnsi="Arial" w:cs="Arial"/>
          <w:color w:val="000000"/>
          <w:kern w:val="0"/>
          <w14:ligatures w14:val="none"/>
        </w:rPr>
        <w:t xml:space="preserve"> </w:t>
      </w:r>
      <w:r w:rsidR="008B08FA" w:rsidRPr="008B08FA">
        <w:rPr>
          <w:rFonts w:ascii="Arial" w:eastAsia="Times New Roman" w:hAnsi="Arial" w:cs="Arial"/>
          <w:color w:val="000000"/>
          <w:kern w:val="0"/>
          <w14:ligatures w14:val="none"/>
        </w:rPr>
        <w:t>by professional companies that have the sophistication to deal with a program such as a BPS, especially as</w:t>
      </w:r>
      <w:r w:rsidR="008B08FA">
        <w:rPr>
          <w:rFonts w:ascii="Arial" w:eastAsia="Times New Roman" w:hAnsi="Arial" w:cs="Arial"/>
          <w:color w:val="000000"/>
          <w:kern w:val="0"/>
          <w14:ligatures w14:val="none"/>
        </w:rPr>
        <w:t xml:space="preserve"> </w:t>
      </w:r>
      <w:r w:rsidR="008B08FA" w:rsidRPr="008B08FA">
        <w:rPr>
          <w:rFonts w:ascii="Arial" w:eastAsia="Times New Roman" w:hAnsi="Arial" w:cs="Arial"/>
          <w:color w:val="000000"/>
          <w:kern w:val="0"/>
          <w14:ligatures w14:val="none"/>
        </w:rPr>
        <w:t>performance standards increase in popularity across the country. The second consideration in defining covered</w:t>
      </w:r>
      <w:r w:rsidR="008B08FA">
        <w:rPr>
          <w:rFonts w:ascii="Arial" w:eastAsia="Times New Roman" w:hAnsi="Arial" w:cs="Arial"/>
          <w:color w:val="000000"/>
          <w:kern w:val="0"/>
          <w14:ligatures w14:val="none"/>
        </w:rPr>
        <w:t xml:space="preserve"> </w:t>
      </w:r>
      <w:r w:rsidR="008B08FA" w:rsidRPr="008B08FA">
        <w:rPr>
          <w:rFonts w:ascii="Arial" w:eastAsia="Times New Roman" w:hAnsi="Arial" w:cs="Arial"/>
          <w:color w:val="000000"/>
          <w:kern w:val="0"/>
          <w14:ligatures w14:val="none"/>
        </w:rPr>
        <w:t>buildings is how the square footage threshold impacts the number and type of affordable housing buildings</w:t>
      </w:r>
    </w:p>
    <w:p w14:paraId="46DD64AA" w14:textId="001EB080" w:rsidR="008B08FA" w:rsidRDefault="008B08FA" w:rsidP="0096757D">
      <w:pPr>
        <w:ind w:left="720"/>
        <w:rPr>
          <w:rFonts w:ascii="Arial" w:eastAsia="Times New Roman" w:hAnsi="Arial" w:cs="Arial"/>
          <w:color w:val="000000"/>
          <w:kern w:val="0"/>
          <w14:ligatures w14:val="none"/>
        </w:rPr>
      </w:pPr>
      <w:r w:rsidRPr="008B08FA">
        <w:rPr>
          <w:rFonts w:ascii="Arial" w:eastAsia="Times New Roman" w:hAnsi="Arial" w:cs="Arial"/>
          <w:color w:val="000000"/>
          <w:kern w:val="0"/>
          <w14:ligatures w14:val="none"/>
        </w:rPr>
        <w:t>within the covered buildings list. Affordable housing should be included to make sure</w:t>
      </w:r>
      <w:r>
        <w:rPr>
          <w:rFonts w:ascii="Arial" w:eastAsia="Times New Roman" w:hAnsi="Arial" w:cs="Arial"/>
          <w:color w:val="000000"/>
          <w:kern w:val="0"/>
          <w14:ligatures w14:val="none"/>
        </w:rPr>
        <w:t xml:space="preserve"> </w:t>
      </w:r>
      <w:r w:rsidRPr="008B08FA">
        <w:rPr>
          <w:rFonts w:ascii="Arial" w:eastAsia="Times New Roman" w:hAnsi="Arial" w:cs="Arial"/>
          <w:color w:val="000000"/>
          <w:kern w:val="0"/>
          <w14:ligatures w14:val="none"/>
        </w:rPr>
        <w:t>the benefits of a BPS are</w:t>
      </w:r>
      <w:r>
        <w:rPr>
          <w:rFonts w:ascii="Arial" w:eastAsia="Times New Roman" w:hAnsi="Arial" w:cs="Arial"/>
          <w:color w:val="000000"/>
          <w:kern w:val="0"/>
          <w14:ligatures w14:val="none"/>
        </w:rPr>
        <w:t xml:space="preserve"> </w:t>
      </w:r>
      <w:r w:rsidRPr="008B08FA">
        <w:rPr>
          <w:rFonts w:ascii="Arial" w:eastAsia="Times New Roman" w:hAnsi="Arial" w:cs="Arial"/>
          <w:color w:val="000000"/>
          <w:kern w:val="0"/>
          <w14:ligatures w14:val="none"/>
        </w:rPr>
        <w:t xml:space="preserve">distributed </w:t>
      </w:r>
      <w:r w:rsidR="00AE6519" w:rsidRPr="008B08FA">
        <w:rPr>
          <w:rFonts w:ascii="Arial" w:eastAsia="Times New Roman" w:hAnsi="Arial" w:cs="Arial"/>
          <w:color w:val="000000"/>
          <w:kern w:val="0"/>
          <w14:ligatures w14:val="none"/>
        </w:rPr>
        <w:t>equally,</w:t>
      </w:r>
      <w:r w:rsidRPr="008B08FA">
        <w:rPr>
          <w:rFonts w:ascii="Arial" w:eastAsia="Times New Roman" w:hAnsi="Arial" w:cs="Arial"/>
          <w:color w:val="000000"/>
          <w:kern w:val="0"/>
          <w14:ligatures w14:val="none"/>
        </w:rPr>
        <w:t xml:space="preserve"> and certain groups of people are not left out</w:t>
      </w:r>
      <w:r w:rsidR="00AE6519">
        <w:rPr>
          <w:rFonts w:ascii="Arial" w:eastAsia="Times New Roman" w:hAnsi="Arial" w:cs="Arial"/>
          <w:color w:val="000000"/>
          <w:kern w:val="0"/>
          <w14:ligatures w14:val="none"/>
        </w:rPr>
        <w:t>…</w:t>
      </w:r>
    </w:p>
    <w:p w14:paraId="1D3B1864" w14:textId="77777777" w:rsidR="00AE6519" w:rsidRDefault="00AE6519" w:rsidP="0096757D">
      <w:pPr>
        <w:ind w:left="720"/>
        <w:rPr>
          <w:rFonts w:ascii="Arial" w:eastAsia="Times New Roman" w:hAnsi="Arial" w:cs="Arial"/>
          <w:color w:val="000000"/>
          <w:kern w:val="0"/>
          <w14:ligatures w14:val="none"/>
        </w:rPr>
      </w:pPr>
    </w:p>
    <w:p w14:paraId="1929ECDD" w14:textId="7E99A85D" w:rsidR="00AE6519" w:rsidRDefault="00AE6519" w:rsidP="0096757D">
      <w:pPr>
        <w:ind w:left="720"/>
        <w:rPr>
          <w:rFonts w:ascii="Arial" w:eastAsia="Times New Roman" w:hAnsi="Arial" w:cs="Arial"/>
          <w:color w:val="000000"/>
          <w:kern w:val="0"/>
          <w14:ligatures w14:val="none"/>
        </w:rPr>
      </w:pPr>
      <w:r>
        <w:rPr>
          <w:rFonts w:ascii="Arial" w:eastAsia="Times New Roman" w:hAnsi="Arial" w:cs="Arial"/>
          <w:color w:val="000000"/>
          <w:kern w:val="0"/>
          <w14:ligatures w14:val="none"/>
        </w:rPr>
        <w:t>…</w:t>
      </w:r>
      <w:r w:rsidRPr="00AE6519">
        <w:rPr>
          <w:rFonts w:ascii="Arial" w:eastAsia="Times New Roman" w:hAnsi="Arial" w:cs="Arial"/>
          <w:color w:val="000000"/>
          <w:kern w:val="0"/>
          <w14:ligatures w14:val="none"/>
        </w:rPr>
        <w:t>There are some instances where complying with a BPS might be exceptionally or</w:t>
      </w:r>
      <w:r>
        <w:rPr>
          <w:rFonts w:ascii="Arial" w:eastAsia="Times New Roman" w:hAnsi="Arial" w:cs="Arial"/>
          <w:color w:val="000000"/>
          <w:kern w:val="0"/>
          <w14:ligatures w14:val="none"/>
        </w:rPr>
        <w:t xml:space="preserve"> </w:t>
      </w:r>
      <w:r w:rsidRPr="00AE6519">
        <w:rPr>
          <w:rFonts w:ascii="Arial" w:eastAsia="Times New Roman" w:hAnsi="Arial" w:cs="Arial"/>
          <w:color w:val="000000"/>
          <w:kern w:val="0"/>
          <w14:ligatures w14:val="none"/>
        </w:rPr>
        <w:t>unreasonably</w:t>
      </w:r>
      <w:r>
        <w:rPr>
          <w:rFonts w:ascii="Arial" w:eastAsia="Times New Roman" w:hAnsi="Arial" w:cs="Arial"/>
          <w:color w:val="000000"/>
          <w:kern w:val="0"/>
          <w14:ligatures w14:val="none"/>
        </w:rPr>
        <w:t xml:space="preserve"> </w:t>
      </w:r>
      <w:r w:rsidRPr="00AE6519">
        <w:rPr>
          <w:rFonts w:ascii="Arial" w:eastAsia="Times New Roman" w:hAnsi="Arial" w:cs="Arial"/>
          <w:color w:val="000000"/>
          <w:kern w:val="0"/>
          <w14:ligatures w14:val="none"/>
        </w:rPr>
        <w:t>burdensome for a building. Factors preventing compliance may include buildings that require major investments</w:t>
      </w:r>
      <w:r>
        <w:rPr>
          <w:rFonts w:ascii="Arial" w:eastAsia="Times New Roman" w:hAnsi="Arial" w:cs="Arial"/>
          <w:color w:val="000000"/>
          <w:kern w:val="0"/>
          <w14:ligatures w14:val="none"/>
        </w:rPr>
        <w:t xml:space="preserve"> </w:t>
      </w:r>
      <w:r w:rsidRPr="00AE6519">
        <w:rPr>
          <w:rFonts w:ascii="Arial" w:eastAsia="Times New Roman" w:hAnsi="Arial" w:cs="Arial"/>
          <w:color w:val="000000"/>
          <w:kern w:val="0"/>
          <w14:ligatures w14:val="none"/>
        </w:rPr>
        <w:t>and improvements, building owners that do not have the necessary financial or staffing resources to make</w:t>
      </w:r>
      <w:r>
        <w:rPr>
          <w:rFonts w:ascii="Arial" w:eastAsia="Times New Roman" w:hAnsi="Arial" w:cs="Arial"/>
          <w:color w:val="000000"/>
          <w:kern w:val="0"/>
          <w14:ligatures w14:val="none"/>
        </w:rPr>
        <w:t xml:space="preserve"> </w:t>
      </w:r>
      <w:r w:rsidRPr="00AE6519">
        <w:rPr>
          <w:rFonts w:ascii="Arial" w:eastAsia="Times New Roman" w:hAnsi="Arial" w:cs="Arial"/>
          <w:color w:val="000000"/>
          <w:kern w:val="0"/>
          <w14:ligatures w14:val="none"/>
        </w:rPr>
        <w:t>improvements, or buildings that have high energy or carbon emitting systems that still have a useful life and do</w:t>
      </w:r>
      <w:r>
        <w:rPr>
          <w:rFonts w:ascii="Arial" w:eastAsia="Times New Roman" w:hAnsi="Arial" w:cs="Arial"/>
          <w:color w:val="000000"/>
          <w:kern w:val="0"/>
          <w14:ligatures w14:val="none"/>
        </w:rPr>
        <w:t xml:space="preserve"> </w:t>
      </w:r>
      <w:r w:rsidRPr="00AE6519">
        <w:rPr>
          <w:rFonts w:ascii="Arial" w:eastAsia="Times New Roman" w:hAnsi="Arial" w:cs="Arial"/>
          <w:color w:val="000000"/>
          <w:kern w:val="0"/>
          <w14:ligatures w14:val="none"/>
        </w:rPr>
        <w:t>not make economic sense to replace yet.</w:t>
      </w:r>
      <w:r>
        <w:rPr>
          <w:rFonts w:ascii="Arial" w:eastAsia="Times New Roman" w:hAnsi="Arial" w:cs="Arial"/>
          <w:color w:val="000000"/>
          <w:kern w:val="0"/>
          <w14:ligatures w14:val="none"/>
        </w:rPr>
        <w:t>”</w:t>
      </w:r>
    </w:p>
    <w:p w14:paraId="17B9E83A" w14:textId="77777777" w:rsidR="00566F91" w:rsidRDefault="00566F91" w:rsidP="00AE6519">
      <w:pPr>
        <w:rPr>
          <w:rFonts w:ascii="Arial" w:eastAsia="Times New Roman" w:hAnsi="Arial" w:cs="Arial"/>
          <w:color w:val="000000"/>
          <w:kern w:val="0"/>
          <w14:ligatures w14:val="none"/>
        </w:rPr>
      </w:pPr>
    </w:p>
    <w:p w14:paraId="4A1E5BD9" w14:textId="1118F13E" w:rsidR="00566F91" w:rsidRDefault="00566F91" w:rsidP="00566F91">
      <w:pPr>
        <w:pStyle w:val="p1"/>
        <w:rPr>
          <w:rFonts w:ascii="Arial" w:hAnsi="Arial" w:cs="Arial"/>
          <w:color w:val="000000"/>
          <w:sz w:val="24"/>
          <w:szCs w:val="24"/>
        </w:rPr>
      </w:pPr>
      <w:r w:rsidRPr="00566F91">
        <w:rPr>
          <w:rFonts w:ascii="Arial" w:hAnsi="Arial" w:cs="Arial"/>
          <w:color w:val="000000"/>
          <w:sz w:val="24"/>
          <w:szCs w:val="24"/>
        </w:rPr>
        <w:t xml:space="preserve">Boston has established an Equitable Emissions Investment Fund.  </w:t>
      </w:r>
      <w:r>
        <w:rPr>
          <w:rFonts w:ascii="Arial" w:hAnsi="Arial" w:cs="Arial"/>
          <w:color w:val="000000"/>
          <w:sz w:val="24"/>
          <w:szCs w:val="24"/>
        </w:rPr>
        <w:t>Boston’s BERDO Ordinance states the following: “</w:t>
      </w:r>
      <w:r w:rsidRPr="00566F91">
        <w:rPr>
          <w:rFonts w:ascii="Arial" w:hAnsi="Arial" w:cs="Arial"/>
          <w:color w:val="000000"/>
          <w:sz w:val="24"/>
          <w:szCs w:val="24"/>
        </w:rPr>
        <w:t>Money in the Fund shall be expended for the support, implementation, and administration</w:t>
      </w:r>
      <w:r>
        <w:rPr>
          <w:rFonts w:ascii="Arial" w:hAnsi="Arial" w:cs="Arial"/>
          <w:color w:val="000000"/>
          <w:sz w:val="24"/>
          <w:szCs w:val="24"/>
        </w:rPr>
        <w:t xml:space="preserve"> </w:t>
      </w:r>
      <w:r w:rsidRPr="00566F91">
        <w:rPr>
          <w:rFonts w:ascii="Arial" w:hAnsi="Arial" w:cs="Arial"/>
          <w:color w:val="000000"/>
          <w:sz w:val="24"/>
          <w:szCs w:val="24"/>
        </w:rPr>
        <w:t>of local building carbon abatement projects that benefit the City of Boston’s emissions</w:t>
      </w:r>
      <w:r>
        <w:rPr>
          <w:rFonts w:ascii="Arial" w:hAnsi="Arial" w:cs="Arial"/>
          <w:color w:val="000000"/>
          <w:sz w:val="24"/>
          <w:szCs w:val="24"/>
        </w:rPr>
        <w:t xml:space="preserve"> </w:t>
      </w:r>
      <w:r w:rsidRPr="00566F91">
        <w:rPr>
          <w:rFonts w:ascii="Arial" w:hAnsi="Arial" w:cs="Arial"/>
          <w:color w:val="000000"/>
          <w:sz w:val="24"/>
          <w:szCs w:val="24"/>
        </w:rPr>
        <w:t>reduction goals. Fund expenditures shall prioritize projects that benefit Environmental</w:t>
      </w:r>
      <w:r>
        <w:rPr>
          <w:rFonts w:ascii="Arial" w:hAnsi="Arial" w:cs="Arial"/>
          <w:color w:val="000000"/>
          <w:sz w:val="24"/>
          <w:szCs w:val="24"/>
        </w:rPr>
        <w:t xml:space="preserve"> </w:t>
      </w:r>
      <w:r w:rsidRPr="00566F91">
        <w:rPr>
          <w:rFonts w:ascii="Arial" w:hAnsi="Arial" w:cs="Arial"/>
          <w:color w:val="000000"/>
          <w:sz w:val="24"/>
          <w:szCs w:val="24"/>
        </w:rPr>
        <w:t>Justice Populations and populations disproportionately affected by air pollution</w:t>
      </w:r>
      <w:r>
        <w:rPr>
          <w:rFonts w:ascii="Arial" w:hAnsi="Arial" w:cs="Arial"/>
          <w:color w:val="000000"/>
          <w:sz w:val="24"/>
          <w:szCs w:val="24"/>
        </w:rPr>
        <w:t>.”</w:t>
      </w:r>
    </w:p>
    <w:p w14:paraId="52D52751" w14:textId="61DAB8A6" w:rsidR="005A6EEC" w:rsidRPr="00566F91" w:rsidRDefault="005A6EEC" w:rsidP="00566F91">
      <w:pPr>
        <w:pStyle w:val="p1"/>
        <w:rPr>
          <w:rFonts w:ascii="Arial" w:hAnsi="Arial" w:cs="Arial"/>
          <w:color w:val="000000"/>
          <w:sz w:val="24"/>
          <w:szCs w:val="24"/>
        </w:rPr>
      </w:pPr>
    </w:p>
    <w:p w14:paraId="196B581C" w14:textId="09B66EA6" w:rsidR="00566F91" w:rsidRPr="00AE6519" w:rsidRDefault="00566F91" w:rsidP="00AE6519">
      <w:pPr>
        <w:rPr>
          <w:rFonts w:ascii="Arial" w:eastAsia="Times New Roman" w:hAnsi="Arial" w:cs="Arial"/>
          <w:color w:val="000000"/>
          <w:kern w:val="0"/>
          <w14:ligatures w14:val="none"/>
        </w:rPr>
      </w:pPr>
    </w:p>
    <w:p w14:paraId="2192A85F" w14:textId="77777777" w:rsidR="00566F91" w:rsidRDefault="00566F91" w:rsidP="001F0B95">
      <w:pPr>
        <w:rPr>
          <w:rFonts w:ascii="Arial" w:hAnsi="Arial" w:cs="Arial"/>
          <w:b/>
          <w:bCs/>
        </w:rPr>
      </w:pPr>
    </w:p>
    <w:p w14:paraId="2AA0894B" w14:textId="77777777" w:rsidR="00283ACE" w:rsidRDefault="00283ACE">
      <w:pPr>
        <w:rPr>
          <w:rFonts w:ascii="Arial" w:hAnsi="Arial" w:cs="Arial"/>
          <w:b/>
          <w:bCs/>
        </w:rPr>
      </w:pPr>
      <w:r>
        <w:rPr>
          <w:rFonts w:ascii="Arial" w:hAnsi="Arial" w:cs="Arial"/>
          <w:b/>
          <w:bCs/>
        </w:rPr>
        <w:br w:type="page"/>
      </w:r>
    </w:p>
    <w:p w14:paraId="7CCFDD8B" w14:textId="78C14C7E" w:rsidR="00BD7746" w:rsidRPr="008C623C" w:rsidRDefault="008C623C" w:rsidP="001F0B95">
      <w:pPr>
        <w:rPr>
          <w:rFonts w:ascii="Arial" w:hAnsi="Arial" w:cs="Arial"/>
          <w:b/>
          <w:bCs/>
        </w:rPr>
      </w:pPr>
      <w:r>
        <w:rPr>
          <w:rFonts w:ascii="Arial" w:hAnsi="Arial" w:cs="Arial"/>
          <w:b/>
          <w:bCs/>
        </w:rPr>
        <w:lastRenderedPageBreak/>
        <w:t>BARRIERS</w:t>
      </w:r>
    </w:p>
    <w:p w14:paraId="210E1A45" w14:textId="77777777" w:rsidR="00460298" w:rsidRDefault="00460298" w:rsidP="004B570D">
      <w:pPr>
        <w:pStyle w:val="p3"/>
        <w:rPr>
          <w:rFonts w:ascii="Arial" w:hAnsi="Arial" w:cs="Arial"/>
          <w:sz w:val="24"/>
          <w:szCs w:val="24"/>
        </w:rPr>
      </w:pPr>
    </w:p>
    <w:p w14:paraId="74AD7CAE" w14:textId="53F22542" w:rsidR="00BD7746" w:rsidRPr="0037704D" w:rsidRDefault="00BD7746" w:rsidP="00BD7746">
      <w:pPr>
        <w:pStyle w:val="p3"/>
        <w:rPr>
          <w:rFonts w:ascii="Arial" w:hAnsi="Arial" w:cs="Arial"/>
          <w:color w:val="auto"/>
          <w:sz w:val="24"/>
          <w:szCs w:val="24"/>
        </w:rPr>
      </w:pPr>
      <w:r w:rsidRPr="0037704D">
        <w:rPr>
          <w:rFonts w:ascii="Arial" w:hAnsi="Arial" w:cs="Arial"/>
          <w:color w:val="auto"/>
          <w:sz w:val="24"/>
          <w:szCs w:val="24"/>
        </w:rPr>
        <w:t xml:space="preserve">The </w:t>
      </w:r>
      <w:r w:rsidR="004E6407" w:rsidRPr="0037704D">
        <w:rPr>
          <w:rFonts w:ascii="Arial" w:hAnsi="Arial" w:cs="Arial"/>
          <w:color w:val="auto"/>
          <w:sz w:val="24"/>
          <w:szCs w:val="24"/>
        </w:rPr>
        <w:t xml:space="preserve">capital </w:t>
      </w:r>
      <w:r w:rsidRPr="0037704D">
        <w:rPr>
          <w:rFonts w:ascii="Arial" w:hAnsi="Arial" w:cs="Arial"/>
          <w:color w:val="auto"/>
          <w:sz w:val="24"/>
          <w:szCs w:val="24"/>
        </w:rPr>
        <w:t xml:space="preserve">cost to retrofit existing buildings </w:t>
      </w:r>
      <w:r w:rsidR="00E41736" w:rsidRPr="0037704D">
        <w:rPr>
          <w:rFonts w:ascii="Arial" w:hAnsi="Arial" w:cs="Arial"/>
          <w:color w:val="auto"/>
          <w:sz w:val="24"/>
          <w:szCs w:val="24"/>
        </w:rPr>
        <w:t>will be</w:t>
      </w:r>
      <w:r w:rsidRPr="0037704D">
        <w:rPr>
          <w:rFonts w:ascii="Arial" w:hAnsi="Arial" w:cs="Arial"/>
          <w:color w:val="auto"/>
          <w:sz w:val="24"/>
          <w:szCs w:val="24"/>
        </w:rPr>
        <w:t xml:space="preserve"> significantly more than th</w:t>
      </w:r>
      <w:r w:rsidR="004E6407" w:rsidRPr="0037704D">
        <w:rPr>
          <w:rFonts w:ascii="Arial" w:hAnsi="Arial" w:cs="Arial"/>
          <w:color w:val="auto"/>
          <w:sz w:val="24"/>
          <w:szCs w:val="24"/>
        </w:rPr>
        <w:t>at</w:t>
      </w:r>
      <w:r w:rsidRPr="0037704D">
        <w:rPr>
          <w:rFonts w:ascii="Arial" w:hAnsi="Arial" w:cs="Arial"/>
          <w:color w:val="auto"/>
          <w:sz w:val="24"/>
          <w:szCs w:val="24"/>
        </w:rPr>
        <w:t xml:space="preserve"> of meeting the </w:t>
      </w:r>
      <w:r w:rsidR="00DE100A" w:rsidRPr="0037704D">
        <w:rPr>
          <w:rFonts w:ascii="Arial" w:hAnsi="Arial" w:cs="Arial"/>
          <w:color w:val="auto"/>
          <w:sz w:val="24"/>
          <w:szCs w:val="24"/>
        </w:rPr>
        <w:t>incremental cost</w:t>
      </w:r>
      <w:r w:rsidRPr="0037704D">
        <w:rPr>
          <w:rFonts w:ascii="Arial" w:hAnsi="Arial" w:cs="Arial"/>
          <w:color w:val="auto"/>
          <w:sz w:val="24"/>
          <w:szCs w:val="24"/>
        </w:rPr>
        <w:t xml:space="preserve"> of </w:t>
      </w:r>
      <w:r w:rsidR="00DE100A" w:rsidRPr="0037704D">
        <w:rPr>
          <w:rFonts w:ascii="Arial" w:hAnsi="Arial" w:cs="Arial"/>
          <w:color w:val="auto"/>
          <w:sz w:val="24"/>
          <w:szCs w:val="24"/>
        </w:rPr>
        <w:t xml:space="preserve">compliance with </w:t>
      </w:r>
      <w:r w:rsidRPr="0037704D">
        <w:rPr>
          <w:rFonts w:ascii="Arial" w:hAnsi="Arial" w:cs="Arial"/>
          <w:color w:val="auto"/>
          <w:sz w:val="24"/>
          <w:szCs w:val="24"/>
        </w:rPr>
        <w:t>fossil fuel free new construction.</w:t>
      </w:r>
    </w:p>
    <w:p w14:paraId="240ACE28" w14:textId="77777777" w:rsidR="00BD7746" w:rsidRPr="0037704D" w:rsidRDefault="00BD7746" w:rsidP="00BD7746">
      <w:pPr>
        <w:pStyle w:val="p3"/>
        <w:rPr>
          <w:rFonts w:ascii="Arial" w:hAnsi="Arial" w:cs="Arial"/>
          <w:color w:val="auto"/>
          <w:sz w:val="24"/>
          <w:szCs w:val="24"/>
        </w:rPr>
      </w:pPr>
    </w:p>
    <w:p w14:paraId="34CC0D3D" w14:textId="28F0D617" w:rsidR="00BD7746" w:rsidRPr="0037704D" w:rsidRDefault="00BD7746" w:rsidP="00BD7746">
      <w:pPr>
        <w:pStyle w:val="p3"/>
        <w:rPr>
          <w:rFonts w:ascii="Arial" w:hAnsi="Arial" w:cs="Arial"/>
          <w:color w:val="auto"/>
          <w:sz w:val="24"/>
          <w:szCs w:val="24"/>
        </w:rPr>
      </w:pPr>
      <w:r w:rsidRPr="0037704D">
        <w:rPr>
          <w:rFonts w:ascii="Arial" w:hAnsi="Arial" w:cs="Arial"/>
          <w:color w:val="auto"/>
          <w:sz w:val="24"/>
          <w:szCs w:val="24"/>
        </w:rPr>
        <w:t>M</w:t>
      </w:r>
      <w:r w:rsidR="0037704D" w:rsidRPr="0037704D">
        <w:rPr>
          <w:rFonts w:ascii="Arial" w:hAnsi="Arial" w:cs="Arial"/>
          <w:color w:val="auto"/>
          <w:sz w:val="24"/>
          <w:szCs w:val="24"/>
        </w:rPr>
        <w:t>any</w:t>
      </w:r>
      <w:r w:rsidR="00330255">
        <w:rPr>
          <w:rFonts w:ascii="Arial" w:hAnsi="Arial" w:cs="Arial"/>
          <w:color w:val="auto"/>
          <w:sz w:val="24"/>
          <w:szCs w:val="24"/>
        </w:rPr>
        <w:t xml:space="preserve"> (possibly a majority)</w:t>
      </w:r>
      <w:r w:rsidRPr="0037704D">
        <w:rPr>
          <w:rFonts w:ascii="Arial" w:hAnsi="Arial" w:cs="Arial"/>
          <w:color w:val="auto"/>
          <w:sz w:val="24"/>
          <w:szCs w:val="24"/>
        </w:rPr>
        <w:t xml:space="preserve"> building owners are likely to oppose BERDO</w:t>
      </w:r>
    </w:p>
    <w:p w14:paraId="3259B61B" w14:textId="77777777" w:rsidR="00BD7746" w:rsidRPr="0037704D" w:rsidRDefault="00BD7746" w:rsidP="00BD7746">
      <w:pPr>
        <w:pStyle w:val="p3"/>
        <w:rPr>
          <w:rFonts w:ascii="Arial" w:hAnsi="Arial" w:cs="Arial"/>
          <w:color w:val="auto"/>
          <w:sz w:val="24"/>
          <w:szCs w:val="24"/>
        </w:rPr>
      </w:pPr>
    </w:p>
    <w:p w14:paraId="3429EF06" w14:textId="3776B16A" w:rsidR="00BD7746" w:rsidRPr="0037704D" w:rsidRDefault="00BD7746" w:rsidP="00BD7746">
      <w:pPr>
        <w:pStyle w:val="p3"/>
        <w:rPr>
          <w:rFonts w:ascii="Arial" w:hAnsi="Arial" w:cs="Arial"/>
          <w:color w:val="auto"/>
          <w:sz w:val="24"/>
          <w:szCs w:val="24"/>
        </w:rPr>
      </w:pPr>
      <w:r w:rsidRPr="0037704D">
        <w:rPr>
          <w:rFonts w:ascii="Arial" w:hAnsi="Arial" w:cs="Arial"/>
          <w:color w:val="auto"/>
          <w:sz w:val="24"/>
          <w:szCs w:val="24"/>
        </w:rPr>
        <w:t xml:space="preserve">The administrative expense to expand BERDO to include </w:t>
      </w:r>
      <w:r w:rsidR="004E6407" w:rsidRPr="0037704D">
        <w:rPr>
          <w:rFonts w:ascii="Arial" w:hAnsi="Arial" w:cs="Arial"/>
          <w:color w:val="auto"/>
          <w:sz w:val="24"/>
          <w:szCs w:val="24"/>
        </w:rPr>
        <w:t>one to three family homes and small condominiums</w:t>
      </w:r>
      <w:r w:rsidRPr="0037704D">
        <w:rPr>
          <w:rFonts w:ascii="Arial" w:hAnsi="Arial" w:cs="Arial"/>
          <w:color w:val="auto"/>
          <w:sz w:val="24"/>
          <w:szCs w:val="24"/>
        </w:rPr>
        <w:t xml:space="preserve"> will be significant.</w:t>
      </w:r>
    </w:p>
    <w:p w14:paraId="03C4E8F7" w14:textId="77777777" w:rsidR="00BD7746" w:rsidRPr="0037704D" w:rsidRDefault="00BD7746" w:rsidP="00BD7746">
      <w:pPr>
        <w:pStyle w:val="p3"/>
        <w:rPr>
          <w:rFonts w:ascii="Arial" w:hAnsi="Arial" w:cs="Arial"/>
          <w:color w:val="auto"/>
          <w:sz w:val="24"/>
          <w:szCs w:val="24"/>
        </w:rPr>
      </w:pPr>
    </w:p>
    <w:p w14:paraId="5C4EE335" w14:textId="7DE1C3BC" w:rsidR="00BD7746" w:rsidRPr="0037704D" w:rsidRDefault="00AF5C45" w:rsidP="00BD7746">
      <w:pPr>
        <w:pStyle w:val="p3"/>
        <w:rPr>
          <w:rFonts w:ascii="Arial" w:hAnsi="Arial" w:cs="Arial"/>
          <w:color w:val="auto"/>
          <w:sz w:val="24"/>
          <w:szCs w:val="24"/>
        </w:rPr>
      </w:pPr>
      <w:r>
        <w:rPr>
          <w:rFonts w:ascii="Arial" w:hAnsi="Arial" w:cs="Arial"/>
          <w:color w:val="auto"/>
          <w:sz w:val="24"/>
          <w:szCs w:val="24"/>
        </w:rPr>
        <w:t>Combined e</w:t>
      </w:r>
      <w:r w:rsidR="00BD7746" w:rsidRPr="0037704D">
        <w:rPr>
          <w:rFonts w:ascii="Arial" w:hAnsi="Arial" w:cs="Arial"/>
          <w:color w:val="auto"/>
          <w:sz w:val="24"/>
          <w:szCs w:val="24"/>
        </w:rPr>
        <w:t>missions from one to three family homes and small condominiums are nearly five times those from large condominium buildings.</w:t>
      </w:r>
      <w:r w:rsidR="0037704D" w:rsidRPr="0037704D">
        <w:rPr>
          <w:rFonts w:ascii="Arial" w:hAnsi="Arial" w:cs="Arial"/>
          <w:color w:val="auto"/>
          <w:sz w:val="24"/>
          <w:szCs w:val="24"/>
        </w:rPr>
        <w:t xml:space="preserve">  </w:t>
      </w:r>
      <w:r w:rsidR="00BD7746" w:rsidRPr="0037704D">
        <w:rPr>
          <w:rFonts w:ascii="Arial" w:hAnsi="Arial" w:cs="Arial"/>
          <w:color w:val="auto"/>
          <w:sz w:val="24"/>
          <w:szCs w:val="24"/>
        </w:rPr>
        <w:t>Condominium owners</w:t>
      </w:r>
      <w:r w:rsidR="0037704D" w:rsidRPr="0037704D">
        <w:rPr>
          <w:rFonts w:ascii="Arial" w:hAnsi="Arial" w:cs="Arial"/>
          <w:color w:val="auto"/>
          <w:sz w:val="24"/>
          <w:szCs w:val="24"/>
        </w:rPr>
        <w:t xml:space="preserve">, especially owners of units in large condominium buildings, </w:t>
      </w:r>
      <w:r w:rsidR="00BD7746" w:rsidRPr="0037704D">
        <w:rPr>
          <w:rFonts w:ascii="Arial" w:hAnsi="Arial" w:cs="Arial"/>
          <w:color w:val="auto"/>
          <w:sz w:val="24"/>
          <w:szCs w:val="24"/>
        </w:rPr>
        <w:t>are likely to object</w:t>
      </w:r>
      <w:r w:rsidR="0037704D" w:rsidRPr="0037704D">
        <w:rPr>
          <w:rFonts w:ascii="Arial" w:hAnsi="Arial" w:cs="Arial"/>
          <w:color w:val="auto"/>
          <w:sz w:val="24"/>
          <w:szCs w:val="24"/>
        </w:rPr>
        <w:t xml:space="preserve"> </w:t>
      </w:r>
      <w:r w:rsidR="00BD7746" w:rsidRPr="0037704D">
        <w:rPr>
          <w:rFonts w:ascii="Arial" w:hAnsi="Arial" w:cs="Arial"/>
          <w:color w:val="auto"/>
          <w:sz w:val="24"/>
          <w:szCs w:val="24"/>
        </w:rPr>
        <w:t xml:space="preserve">if </w:t>
      </w:r>
      <w:r w:rsidR="00546E39">
        <w:rPr>
          <w:rFonts w:ascii="Arial" w:hAnsi="Arial" w:cs="Arial"/>
          <w:color w:val="auto"/>
          <w:sz w:val="24"/>
          <w:szCs w:val="24"/>
        </w:rPr>
        <w:t>smaller</w:t>
      </w:r>
      <w:r w:rsidR="00BD7746" w:rsidRPr="0037704D">
        <w:rPr>
          <w:rFonts w:ascii="Arial" w:hAnsi="Arial" w:cs="Arial"/>
          <w:color w:val="auto"/>
          <w:sz w:val="24"/>
          <w:szCs w:val="24"/>
        </w:rPr>
        <w:t xml:space="preserve"> homes are not included in BERDO.  </w:t>
      </w:r>
    </w:p>
    <w:p w14:paraId="5465B147" w14:textId="77777777" w:rsidR="00BD7746" w:rsidRPr="0037704D" w:rsidRDefault="00BD7746" w:rsidP="00BD7746">
      <w:pPr>
        <w:pStyle w:val="p3"/>
        <w:rPr>
          <w:rFonts w:ascii="Arial" w:hAnsi="Arial" w:cs="Arial"/>
          <w:color w:val="auto"/>
          <w:sz w:val="24"/>
          <w:szCs w:val="24"/>
        </w:rPr>
      </w:pPr>
    </w:p>
    <w:p w14:paraId="60B35272" w14:textId="5A6ED666" w:rsidR="00E274BD" w:rsidRPr="0037704D" w:rsidRDefault="00BD7746" w:rsidP="00BD7746">
      <w:pPr>
        <w:pStyle w:val="p3"/>
        <w:rPr>
          <w:rFonts w:ascii="Arial" w:hAnsi="Arial" w:cs="Arial"/>
          <w:color w:val="auto"/>
          <w:sz w:val="24"/>
          <w:szCs w:val="24"/>
        </w:rPr>
      </w:pPr>
      <w:r w:rsidRPr="0037704D">
        <w:rPr>
          <w:rFonts w:ascii="Arial" w:hAnsi="Arial" w:cs="Arial"/>
          <w:color w:val="auto"/>
          <w:sz w:val="24"/>
          <w:szCs w:val="24"/>
        </w:rPr>
        <w:t xml:space="preserve">Since condominium units are generally </w:t>
      </w:r>
      <w:r w:rsidR="004E6407" w:rsidRPr="0037704D">
        <w:rPr>
          <w:rFonts w:ascii="Arial" w:hAnsi="Arial" w:cs="Arial"/>
          <w:color w:val="auto"/>
          <w:sz w:val="24"/>
          <w:szCs w:val="24"/>
        </w:rPr>
        <w:t>less expensive to own</w:t>
      </w:r>
      <w:r w:rsidRPr="0037704D">
        <w:rPr>
          <w:rFonts w:ascii="Arial" w:hAnsi="Arial" w:cs="Arial"/>
          <w:color w:val="auto"/>
          <w:sz w:val="24"/>
          <w:szCs w:val="24"/>
        </w:rPr>
        <w:t xml:space="preserve"> than single family homes,</w:t>
      </w:r>
      <w:r w:rsidR="004E6407" w:rsidRPr="0037704D">
        <w:rPr>
          <w:rFonts w:ascii="Arial" w:hAnsi="Arial" w:cs="Arial"/>
          <w:color w:val="auto"/>
          <w:sz w:val="24"/>
          <w:szCs w:val="24"/>
        </w:rPr>
        <w:t xml:space="preserve"> </w:t>
      </w:r>
      <w:r w:rsidRPr="0037704D">
        <w:rPr>
          <w:rFonts w:ascii="Arial" w:hAnsi="Arial" w:cs="Arial"/>
          <w:color w:val="auto"/>
          <w:sz w:val="24"/>
          <w:szCs w:val="24"/>
        </w:rPr>
        <w:t xml:space="preserve">the owners of </w:t>
      </w:r>
      <w:r w:rsidR="004E6407" w:rsidRPr="0037704D">
        <w:rPr>
          <w:rFonts w:ascii="Arial" w:hAnsi="Arial" w:cs="Arial"/>
          <w:color w:val="auto"/>
          <w:sz w:val="24"/>
          <w:szCs w:val="24"/>
        </w:rPr>
        <w:t xml:space="preserve">many </w:t>
      </w:r>
      <w:r w:rsidRPr="0037704D">
        <w:rPr>
          <w:rFonts w:ascii="Arial" w:hAnsi="Arial" w:cs="Arial"/>
          <w:color w:val="auto"/>
          <w:sz w:val="24"/>
          <w:szCs w:val="24"/>
        </w:rPr>
        <w:t xml:space="preserve">condominiums </w:t>
      </w:r>
      <w:r w:rsidR="004E6407" w:rsidRPr="0037704D">
        <w:rPr>
          <w:rFonts w:ascii="Arial" w:hAnsi="Arial" w:cs="Arial"/>
          <w:color w:val="auto"/>
          <w:sz w:val="24"/>
          <w:szCs w:val="24"/>
        </w:rPr>
        <w:t xml:space="preserve">will be </w:t>
      </w:r>
      <w:r w:rsidRPr="0037704D">
        <w:rPr>
          <w:rFonts w:ascii="Arial" w:hAnsi="Arial" w:cs="Arial"/>
          <w:color w:val="auto"/>
          <w:sz w:val="24"/>
          <w:szCs w:val="24"/>
        </w:rPr>
        <w:t xml:space="preserve">less able financially to address </w:t>
      </w:r>
      <w:r w:rsidR="004E6407" w:rsidRPr="0037704D">
        <w:rPr>
          <w:rFonts w:ascii="Arial" w:hAnsi="Arial" w:cs="Arial"/>
          <w:color w:val="auto"/>
          <w:sz w:val="24"/>
          <w:szCs w:val="24"/>
        </w:rPr>
        <w:t>the cost of BERDO compliance.</w:t>
      </w:r>
    </w:p>
    <w:p w14:paraId="75A46823" w14:textId="77777777" w:rsidR="00BD7746" w:rsidRDefault="00BD7746" w:rsidP="0087621E">
      <w:pPr>
        <w:pStyle w:val="p3"/>
        <w:rPr>
          <w:rFonts w:ascii="Arial" w:hAnsi="Arial" w:cs="Arial"/>
          <w:sz w:val="24"/>
          <w:szCs w:val="24"/>
        </w:rPr>
      </w:pPr>
    </w:p>
    <w:p w14:paraId="4E45388B" w14:textId="77777777" w:rsidR="0037704D" w:rsidRDefault="0037704D" w:rsidP="004B570D">
      <w:pPr>
        <w:pStyle w:val="p3"/>
        <w:rPr>
          <w:rFonts w:ascii="Arial" w:hAnsi="Arial" w:cs="Arial"/>
          <w:b/>
          <w:bCs/>
          <w:sz w:val="24"/>
          <w:szCs w:val="24"/>
        </w:rPr>
      </w:pPr>
    </w:p>
    <w:p w14:paraId="64FD44E3" w14:textId="0C5D6EDF" w:rsidR="0037704D" w:rsidRPr="0098164A" w:rsidRDefault="0037704D" w:rsidP="0098164A">
      <w:pPr>
        <w:rPr>
          <w:rFonts w:ascii="Arial" w:eastAsia="Times New Roman" w:hAnsi="Arial" w:cs="Arial"/>
          <w:b/>
          <w:bCs/>
          <w:color w:val="000000"/>
          <w:kern w:val="0"/>
          <w14:ligatures w14:val="none"/>
        </w:rPr>
      </w:pPr>
      <w:r w:rsidRPr="0037704D">
        <w:rPr>
          <w:rFonts w:ascii="Arial" w:hAnsi="Arial" w:cs="Arial"/>
          <w:b/>
          <w:bCs/>
        </w:rPr>
        <w:t>INCENTIVES</w:t>
      </w:r>
    </w:p>
    <w:p w14:paraId="7235AB1A" w14:textId="77777777" w:rsidR="0037704D" w:rsidRDefault="0037704D" w:rsidP="004B570D">
      <w:pPr>
        <w:pStyle w:val="p3"/>
        <w:rPr>
          <w:rFonts w:ascii="Arial" w:hAnsi="Arial" w:cs="Arial"/>
          <w:sz w:val="24"/>
          <w:szCs w:val="24"/>
        </w:rPr>
      </w:pPr>
    </w:p>
    <w:p w14:paraId="45D9E932" w14:textId="77777777" w:rsidR="0037704D" w:rsidRDefault="00BD7746" w:rsidP="004B570D">
      <w:pPr>
        <w:pStyle w:val="p3"/>
        <w:rPr>
          <w:rFonts w:ascii="Arial" w:hAnsi="Arial" w:cs="Arial"/>
          <w:sz w:val="24"/>
          <w:szCs w:val="24"/>
        </w:rPr>
      </w:pPr>
      <w:r>
        <w:rPr>
          <w:rFonts w:ascii="Arial" w:hAnsi="Arial" w:cs="Arial"/>
          <w:sz w:val="24"/>
          <w:szCs w:val="24"/>
        </w:rPr>
        <w:t>The basic framework for BERDO already exists.</w:t>
      </w:r>
    </w:p>
    <w:p w14:paraId="04B816E5" w14:textId="77777777" w:rsidR="0037704D" w:rsidRDefault="0037704D" w:rsidP="004B570D">
      <w:pPr>
        <w:pStyle w:val="p3"/>
        <w:rPr>
          <w:rFonts w:ascii="Arial" w:hAnsi="Arial" w:cs="Arial"/>
          <w:sz w:val="24"/>
          <w:szCs w:val="24"/>
        </w:rPr>
      </w:pPr>
    </w:p>
    <w:p w14:paraId="210CF47F" w14:textId="53D3F057" w:rsidR="00460298" w:rsidRDefault="00460298" w:rsidP="004B570D">
      <w:pPr>
        <w:pStyle w:val="p3"/>
        <w:rPr>
          <w:rFonts w:ascii="Arial" w:hAnsi="Arial" w:cs="Arial"/>
          <w:sz w:val="24"/>
          <w:szCs w:val="24"/>
        </w:rPr>
      </w:pPr>
      <w:r>
        <w:rPr>
          <w:rFonts w:ascii="Arial" w:hAnsi="Arial" w:cs="Arial"/>
          <w:sz w:val="24"/>
          <w:szCs w:val="24"/>
        </w:rPr>
        <w:t xml:space="preserve">Brookline </w:t>
      </w:r>
      <w:r w:rsidR="000C72AB">
        <w:rPr>
          <w:rFonts w:ascii="Arial" w:hAnsi="Arial" w:cs="Arial"/>
          <w:sz w:val="24"/>
          <w:szCs w:val="24"/>
        </w:rPr>
        <w:t xml:space="preserve">is surrounded by municipalities that </w:t>
      </w:r>
      <w:r>
        <w:rPr>
          <w:rFonts w:ascii="Arial" w:hAnsi="Arial" w:cs="Arial"/>
          <w:sz w:val="24"/>
          <w:szCs w:val="24"/>
        </w:rPr>
        <w:t>have already enacted BERDO ordinances.</w:t>
      </w:r>
    </w:p>
    <w:p w14:paraId="64154065" w14:textId="77777777" w:rsidR="00460298" w:rsidRDefault="00460298" w:rsidP="004B570D">
      <w:pPr>
        <w:pStyle w:val="p3"/>
        <w:rPr>
          <w:rFonts w:ascii="Arial" w:hAnsi="Arial" w:cs="Arial"/>
          <w:sz w:val="24"/>
          <w:szCs w:val="24"/>
        </w:rPr>
      </w:pPr>
    </w:p>
    <w:p w14:paraId="11AC4DE4" w14:textId="1D6BE3C5" w:rsidR="005E0585" w:rsidRDefault="004E6407" w:rsidP="00B0460A">
      <w:pPr>
        <w:pStyle w:val="p3"/>
        <w:rPr>
          <w:rFonts w:ascii="Arial" w:hAnsi="Arial" w:cs="Arial"/>
          <w:sz w:val="24"/>
          <w:szCs w:val="24"/>
        </w:rPr>
      </w:pPr>
      <w:r>
        <w:rPr>
          <w:rFonts w:ascii="Arial" w:hAnsi="Arial" w:cs="Arial"/>
          <w:sz w:val="24"/>
          <w:szCs w:val="24"/>
        </w:rPr>
        <w:t>Owners of buildings</w:t>
      </w:r>
      <w:r w:rsidR="00A6405F">
        <w:rPr>
          <w:rFonts w:ascii="Arial" w:hAnsi="Arial" w:cs="Arial"/>
          <w:sz w:val="24"/>
          <w:szCs w:val="24"/>
        </w:rPr>
        <w:t xml:space="preserve"> 20,000 SF and larger</w:t>
      </w:r>
      <w:r>
        <w:rPr>
          <w:rFonts w:ascii="Arial" w:hAnsi="Arial" w:cs="Arial"/>
          <w:sz w:val="24"/>
          <w:szCs w:val="24"/>
        </w:rPr>
        <w:t xml:space="preserve"> </w:t>
      </w:r>
      <w:r w:rsidR="000670B8">
        <w:rPr>
          <w:rFonts w:ascii="Arial" w:hAnsi="Arial" w:cs="Arial"/>
          <w:sz w:val="24"/>
          <w:szCs w:val="24"/>
        </w:rPr>
        <w:t>are already required to report energy usage as part of the MA LBER.</w:t>
      </w:r>
    </w:p>
    <w:p w14:paraId="6F978E76" w14:textId="77777777" w:rsidR="007F4481" w:rsidRDefault="007F4481" w:rsidP="00B0460A">
      <w:pPr>
        <w:pStyle w:val="p3"/>
        <w:rPr>
          <w:rFonts w:ascii="Arial" w:hAnsi="Arial" w:cs="Arial"/>
          <w:sz w:val="24"/>
          <w:szCs w:val="24"/>
        </w:rPr>
      </w:pPr>
    </w:p>
    <w:p w14:paraId="74B92FAA" w14:textId="77165017" w:rsidR="007F4481" w:rsidRDefault="007F4481" w:rsidP="00B0460A">
      <w:pPr>
        <w:pStyle w:val="p3"/>
        <w:rPr>
          <w:rFonts w:ascii="Arial" w:hAnsi="Arial" w:cs="Arial"/>
          <w:color w:val="auto"/>
          <w:sz w:val="24"/>
          <w:szCs w:val="24"/>
        </w:rPr>
      </w:pPr>
      <w:r>
        <w:rPr>
          <w:rFonts w:ascii="Arial" w:hAnsi="Arial" w:cs="Arial"/>
          <w:color w:val="auto"/>
          <w:sz w:val="24"/>
          <w:szCs w:val="24"/>
        </w:rPr>
        <w:t>BERDO energy reporting is more detailed and informative than a GHG inventory.</w:t>
      </w:r>
    </w:p>
    <w:p w14:paraId="15B0C922" w14:textId="77777777" w:rsidR="00BD7746" w:rsidRDefault="00BD7746" w:rsidP="00E43B31">
      <w:pPr>
        <w:pStyle w:val="p3"/>
        <w:rPr>
          <w:rFonts w:ascii="Arial" w:hAnsi="Arial" w:cs="Arial"/>
          <w:color w:val="auto"/>
          <w:sz w:val="24"/>
          <w:szCs w:val="24"/>
        </w:rPr>
      </w:pPr>
    </w:p>
    <w:p w14:paraId="129BFCF9" w14:textId="5AD58403" w:rsidR="00C862FA" w:rsidRDefault="007F4481" w:rsidP="00E43B31">
      <w:pPr>
        <w:pStyle w:val="p3"/>
        <w:rPr>
          <w:rFonts w:ascii="Arial" w:hAnsi="Arial" w:cs="Arial"/>
          <w:color w:val="auto"/>
          <w:sz w:val="24"/>
          <w:szCs w:val="24"/>
        </w:rPr>
      </w:pPr>
      <w:r>
        <w:rPr>
          <w:rFonts w:ascii="Arial" w:hAnsi="Arial" w:cs="Arial"/>
          <w:color w:val="auto"/>
          <w:sz w:val="24"/>
          <w:szCs w:val="24"/>
        </w:rPr>
        <w:t>Alternative Compliance Payments will be viewed as punitive</w:t>
      </w:r>
      <w:r w:rsidR="00E43B31">
        <w:rPr>
          <w:rFonts w:ascii="Arial" w:hAnsi="Arial" w:cs="Arial"/>
          <w:color w:val="auto"/>
          <w:sz w:val="24"/>
          <w:szCs w:val="24"/>
        </w:rPr>
        <w:t xml:space="preserve">.  </w:t>
      </w:r>
      <w:r w:rsidR="00C862FA">
        <w:rPr>
          <w:rFonts w:ascii="Arial" w:hAnsi="Arial" w:cs="Arial"/>
          <w:color w:val="auto"/>
          <w:sz w:val="24"/>
          <w:szCs w:val="24"/>
        </w:rPr>
        <w:t>A BERDO ordinance</w:t>
      </w:r>
      <w:r w:rsidR="00E43B31">
        <w:rPr>
          <w:rFonts w:ascii="Arial" w:hAnsi="Arial" w:cs="Arial"/>
          <w:color w:val="auto"/>
          <w:sz w:val="24"/>
          <w:szCs w:val="24"/>
        </w:rPr>
        <w:t xml:space="preserve"> </w:t>
      </w:r>
      <w:r w:rsidR="0037704D">
        <w:rPr>
          <w:rFonts w:ascii="Arial" w:hAnsi="Arial" w:cs="Arial"/>
          <w:color w:val="auto"/>
          <w:sz w:val="24"/>
          <w:szCs w:val="24"/>
        </w:rPr>
        <w:t>should consider</w:t>
      </w:r>
      <w:r w:rsidR="00E43B31">
        <w:rPr>
          <w:rFonts w:ascii="Arial" w:hAnsi="Arial" w:cs="Arial"/>
          <w:color w:val="auto"/>
          <w:sz w:val="24"/>
          <w:szCs w:val="24"/>
        </w:rPr>
        <w:t xml:space="preserve"> incentiviz</w:t>
      </w:r>
      <w:r w:rsidR="0037704D">
        <w:rPr>
          <w:rFonts w:ascii="Arial" w:hAnsi="Arial" w:cs="Arial"/>
          <w:color w:val="auto"/>
          <w:sz w:val="24"/>
          <w:szCs w:val="24"/>
        </w:rPr>
        <w:t>ing</w:t>
      </w:r>
      <w:r w:rsidR="00E43B31">
        <w:rPr>
          <w:rFonts w:ascii="Arial" w:hAnsi="Arial" w:cs="Arial"/>
          <w:color w:val="auto"/>
          <w:sz w:val="24"/>
          <w:szCs w:val="24"/>
        </w:rPr>
        <w:t xml:space="preserve"> building owners to decarbonize</w:t>
      </w:r>
      <w:r w:rsidR="00C862FA">
        <w:rPr>
          <w:rFonts w:ascii="Arial" w:hAnsi="Arial" w:cs="Arial"/>
          <w:color w:val="auto"/>
          <w:sz w:val="24"/>
          <w:szCs w:val="24"/>
        </w:rPr>
        <w:t>.  Two possibilities are:</w:t>
      </w:r>
    </w:p>
    <w:p w14:paraId="30F3E546" w14:textId="77777777" w:rsidR="00C862FA" w:rsidRDefault="00C862FA" w:rsidP="00E43B31">
      <w:pPr>
        <w:pStyle w:val="p3"/>
        <w:rPr>
          <w:rFonts w:ascii="Arial" w:hAnsi="Arial" w:cs="Arial"/>
          <w:color w:val="auto"/>
          <w:sz w:val="24"/>
          <w:szCs w:val="24"/>
        </w:rPr>
      </w:pPr>
    </w:p>
    <w:p w14:paraId="1A06809F" w14:textId="735932BA" w:rsidR="00E43B31" w:rsidRDefault="00C862FA" w:rsidP="00C862FA">
      <w:pPr>
        <w:pStyle w:val="p3"/>
        <w:ind w:left="720"/>
        <w:rPr>
          <w:rFonts w:ascii="Arial" w:hAnsi="Arial" w:cs="Arial"/>
          <w:color w:val="auto"/>
          <w:sz w:val="24"/>
          <w:szCs w:val="24"/>
        </w:rPr>
      </w:pPr>
      <w:r>
        <w:rPr>
          <w:rFonts w:ascii="Arial" w:hAnsi="Arial" w:cs="Arial"/>
          <w:color w:val="auto"/>
          <w:sz w:val="24"/>
          <w:szCs w:val="24"/>
        </w:rPr>
        <w:t xml:space="preserve">ACP </w:t>
      </w:r>
      <w:r w:rsidR="004E6407">
        <w:rPr>
          <w:rFonts w:ascii="Arial" w:hAnsi="Arial" w:cs="Arial"/>
          <w:color w:val="auto"/>
          <w:sz w:val="24"/>
          <w:szCs w:val="24"/>
        </w:rPr>
        <w:t>o</w:t>
      </w:r>
      <w:r w:rsidR="00E43B31">
        <w:rPr>
          <w:rFonts w:ascii="Arial" w:hAnsi="Arial" w:cs="Arial"/>
          <w:color w:val="auto"/>
          <w:sz w:val="24"/>
          <w:szCs w:val="24"/>
        </w:rPr>
        <w:t>ffsets</w:t>
      </w:r>
      <w:r>
        <w:rPr>
          <w:rFonts w:ascii="Arial" w:hAnsi="Arial" w:cs="Arial"/>
          <w:color w:val="auto"/>
          <w:sz w:val="24"/>
          <w:szCs w:val="24"/>
        </w:rPr>
        <w:t xml:space="preserve"> -</w:t>
      </w:r>
      <w:r w:rsidR="00E43B31">
        <w:rPr>
          <w:rFonts w:ascii="Arial" w:hAnsi="Arial" w:cs="Arial"/>
          <w:color w:val="auto"/>
          <w:sz w:val="24"/>
          <w:szCs w:val="24"/>
        </w:rPr>
        <w:t xml:space="preserve"> </w:t>
      </w:r>
      <w:r>
        <w:rPr>
          <w:rFonts w:ascii="Arial" w:hAnsi="Arial" w:cs="Arial"/>
          <w:color w:val="auto"/>
          <w:sz w:val="24"/>
          <w:szCs w:val="24"/>
        </w:rPr>
        <w:t>I</w:t>
      </w:r>
      <w:r w:rsidR="00E43B31">
        <w:rPr>
          <w:rFonts w:ascii="Arial" w:hAnsi="Arial" w:cs="Arial"/>
          <w:color w:val="auto"/>
          <w:sz w:val="24"/>
          <w:szCs w:val="24"/>
        </w:rPr>
        <w:t>f a building owner installs solar panels or EV charging stations</w:t>
      </w:r>
      <w:r>
        <w:rPr>
          <w:rFonts w:ascii="Arial" w:hAnsi="Arial" w:cs="Arial"/>
          <w:color w:val="auto"/>
          <w:sz w:val="24"/>
          <w:szCs w:val="24"/>
        </w:rPr>
        <w:t xml:space="preserve"> or other decarbonizing devices</w:t>
      </w:r>
      <w:r w:rsidR="00E43B31">
        <w:rPr>
          <w:rFonts w:ascii="Arial" w:hAnsi="Arial" w:cs="Arial"/>
          <w:color w:val="auto"/>
          <w:sz w:val="24"/>
          <w:szCs w:val="24"/>
        </w:rPr>
        <w:t xml:space="preserve">, the cost </w:t>
      </w:r>
      <w:r w:rsidR="00E84EF9">
        <w:rPr>
          <w:rFonts w:ascii="Arial" w:hAnsi="Arial" w:cs="Arial"/>
          <w:color w:val="auto"/>
          <w:sz w:val="24"/>
          <w:szCs w:val="24"/>
        </w:rPr>
        <w:t xml:space="preserve">(or some fraction) </w:t>
      </w:r>
      <w:r w:rsidR="00E43B31">
        <w:rPr>
          <w:rFonts w:ascii="Arial" w:hAnsi="Arial" w:cs="Arial"/>
          <w:color w:val="auto"/>
          <w:sz w:val="24"/>
          <w:szCs w:val="24"/>
        </w:rPr>
        <w:t>could be used to offset Alternative Compliance Payments from onsite fossil fuel combustion</w:t>
      </w:r>
      <w:r w:rsidR="00BA381E">
        <w:rPr>
          <w:rFonts w:ascii="Arial" w:hAnsi="Arial" w:cs="Arial"/>
          <w:color w:val="auto"/>
          <w:sz w:val="24"/>
          <w:szCs w:val="24"/>
        </w:rPr>
        <w:t xml:space="preserve"> or</w:t>
      </w:r>
    </w:p>
    <w:p w14:paraId="2068E45D" w14:textId="77777777" w:rsidR="00E048AC" w:rsidRDefault="00E048AC" w:rsidP="00C862FA">
      <w:pPr>
        <w:pStyle w:val="p3"/>
        <w:ind w:left="720"/>
        <w:rPr>
          <w:rFonts w:ascii="Arial" w:hAnsi="Arial" w:cs="Arial"/>
          <w:color w:val="auto"/>
          <w:sz w:val="24"/>
          <w:szCs w:val="24"/>
        </w:rPr>
      </w:pPr>
    </w:p>
    <w:p w14:paraId="4DEDC025" w14:textId="28610B4A" w:rsidR="00C862FA" w:rsidRDefault="00C862FA" w:rsidP="00C862FA">
      <w:pPr>
        <w:pStyle w:val="p3"/>
        <w:ind w:left="720"/>
        <w:rPr>
          <w:rFonts w:ascii="Arial" w:hAnsi="Arial" w:cs="Arial"/>
          <w:color w:val="auto"/>
          <w:sz w:val="24"/>
          <w:szCs w:val="24"/>
        </w:rPr>
      </w:pPr>
      <w:r>
        <w:rPr>
          <w:rFonts w:ascii="Arial" w:hAnsi="Arial" w:cs="Arial"/>
          <w:color w:val="auto"/>
          <w:sz w:val="24"/>
          <w:szCs w:val="24"/>
        </w:rPr>
        <w:t xml:space="preserve">End of Useful Life Escrow Accounts </w:t>
      </w:r>
      <w:r w:rsidR="00BA381E">
        <w:rPr>
          <w:rFonts w:ascii="Arial" w:hAnsi="Arial" w:cs="Arial"/>
          <w:color w:val="auto"/>
          <w:sz w:val="24"/>
          <w:szCs w:val="24"/>
        </w:rPr>
        <w:t>-</w:t>
      </w:r>
      <w:r>
        <w:rPr>
          <w:rFonts w:ascii="Arial" w:hAnsi="Arial" w:cs="Arial"/>
          <w:color w:val="auto"/>
          <w:sz w:val="24"/>
          <w:szCs w:val="24"/>
        </w:rPr>
        <w:t xml:space="preserve"> Building owners </w:t>
      </w:r>
      <w:r w:rsidR="00E84EF9">
        <w:rPr>
          <w:rFonts w:ascii="Arial" w:hAnsi="Arial" w:cs="Arial"/>
          <w:color w:val="auto"/>
          <w:sz w:val="24"/>
          <w:szCs w:val="24"/>
        </w:rPr>
        <w:t>can</w:t>
      </w:r>
      <w:r>
        <w:rPr>
          <w:rFonts w:ascii="Arial" w:hAnsi="Arial" w:cs="Arial"/>
          <w:color w:val="auto"/>
          <w:sz w:val="24"/>
          <w:szCs w:val="24"/>
        </w:rPr>
        <w:t xml:space="preserve"> elect to deposit Alternative Compliance Payments </w:t>
      </w:r>
      <w:r w:rsidR="00E84EF9">
        <w:rPr>
          <w:rFonts w:ascii="Arial" w:hAnsi="Arial" w:cs="Arial"/>
          <w:color w:val="auto"/>
          <w:sz w:val="24"/>
          <w:szCs w:val="24"/>
        </w:rPr>
        <w:t xml:space="preserve">(0r some fraction) </w:t>
      </w:r>
      <w:r>
        <w:rPr>
          <w:rFonts w:ascii="Arial" w:hAnsi="Arial" w:cs="Arial"/>
          <w:color w:val="auto"/>
          <w:sz w:val="24"/>
          <w:szCs w:val="24"/>
        </w:rPr>
        <w:t xml:space="preserve">into escrow accounts.  Funds would be kept in escrow until </w:t>
      </w:r>
      <w:r w:rsidR="00E84EF9">
        <w:rPr>
          <w:rFonts w:ascii="Arial" w:hAnsi="Arial" w:cs="Arial"/>
          <w:color w:val="auto"/>
          <w:sz w:val="24"/>
          <w:szCs w:val="24"/>
        </w:rPr>
        <w:t xml:space="preserve">existing </w:t>
      </w:r>
      <w:r>
        <w:rPr>
          <w:rFonts w:ascii="Arial" w:hAnsi="Arial" w:cs="Arial"/>
          <w:color w:val="auto"/>
          <w:sz w:val="24"/>
          <w:szCs w:val="24"/>
        </w:rPr>
        <w:t>fossil fuel combustion equipment is replace</w:t>
      </w:r>
      <w:r w:rsidR="00E84EF9">
        <w:rPr>
          <w:rFonts w:ascii="Arial" w:hAnsi="Arial" w:cs="Arial"/>
          <w:color w:val="auto"/>
          <w:sz w:val="24"/>
          <w:szCs w:val="24"/>
        </w:rPr>
        <w:t>d</w:t>
      </w:r>
      <w:r>
        <w:rPr>
          <w:rFonts w:ascii="Arial" w:hAnsi="Arial" w:cs="Arial"/>
          <w:color w:val="auto"/>
          <w:sz w:val="24"/>
          <w:szCs w:val="24"/>
        </w:rPr>
        <w:t xml:space="preserve"> with fossil fuel free equipment, with the requirement that install</w:t>
      </w:r>
      <w:r w:rsidR="00E84EF9">
        <w:rPr>
          <w:rFonts w:ascii="Arial" w:hAnsi="Arial" w:cs="Arial"/>
          <w:color w:val="auto"/>
          <w:sz w:val="24"/>
          <w:szCs w:val="24"/>
        </w:rPr>
        <w:t>ation is</w:t>
      </w:r>
      <w:r>
        <w:rPr>
          <w:rFonts w:ascii="Arial" w:hAnsi="Arial" w:cs="Arial"/>
          <w:color w:val="auto"/>
          <w:sz w:val="24"/>
          <w:szCs w:val="24"/>
        </w:rPr>
        <w:t xml:space="preserve"> no later than the year in which </w:t>
      </w:r>
      <w:r w:rsidR="00E84EF9">
        <w:rPr>
          <w:rFonts w:ascii="Arial" w:hAnsi="Arial" w:cs="Arial"/>
          <w:color w:val="auto"/>
          <w:sz w:val="24"/>
          <w:szCs w:val="24"/>
        </w:rPr>
        <w:t xml:space="preserve">the existing </w:t>
      </w:r>
      <w:r>
        <w:rPr>
          <w:rFonts w:ascii="Arial" w:hAnsi="Arial" w:cs="Arial"/>
          <w:color w:val="auto"/>
          <w:sz w:val="24"/>
          <w:szCs w:val="24"/>
        </w:rPr>
        <w:t>fossil fuel combustion equipment reaches its Expected Useful Life.</w:t>
      </w:r>
    </w:p>
    <w:p w14:paraId="66C79575" w14:textId="32C067EB" w:rsidR="00E048AC" w:rsidRDefault="00E048AC" w:rsidP="00E43B31">
      <w:pPr>
        <w:pStyle w:val="p3"/>
        <w:rPr>
          <w:rFonts w:ascii="Arial" w:hAnsi="Arial" w:cs="Arial"/>
          <w:color w:val="auto"/>
          <w:sz w:val="24"/>
          <w:szCs w:val="24"/>
        </w:rPr>
      </w:pPr>
    </w:p>
    <w:p w14:paraId="6BE94F7D" w14:textId="4884C4F2" w:rsidR="00DA05CE" w:rsidRDefault="00DA05CE" w:rsidP="00DA05CE">
      <w:pPr>
        <w:pStyle w:val="p3"/>
        <w:rPr>
          <w:rFonts w:ascii="Arial" w:hAnsi="Arial" w:cs="Arial"/>
          <w:color w:val="auto"/>
          <w:sz w:val="24"/>
          <w:szCs w:val="24"/>
        </w:rPr>
      </w:pPr>
      <w:r>
        <w:rPr>
          <w:rFonts w:ascii="Arial" w:hAnsi="Arial" w:cs="Arial"/>
          <w:color w:val="auto"/>
          <w:sz w:val="24"/>
          <w:szCs w:val="24"/>
        </w:rPr>
        <w:lastRenderedPageBreak/>
        <w:t>Boston and Cambridge</w:t>
      </w:r>
      <w:r w:rsidR="00E91EED">
        <w:rPr>
          <w:rFonts w:ascii="Arial" w:hAnsi="Arial" w:cs="Arial"/>
          <w:color w:val="auto"/>
          <w:sz w:val="24"/>
          <w:szCs w:val="24"/>
        </w:rPr>
        <w:t xml:space="preserve"> include GHG </w:t>
      </w:r>
      <w:r>
        <w:rPr>
          <w:rFonts w:ascii="Arial" w:hAnsi="Arial" w:cs="Arial"/>
          <w:color w:val="auto"/>
          <w:sz w:val="24"/>
          <w:szCs w:val="24"/>
        </w:rPr>
        <w:t xml:space="preserve">emissions from electricity consumption </w:t>
      </w:r>
      <w:r w:rsidR="007F0DB7">
        <w:rPr>
          <w:rFonts w:ascii="Arial" w:hAnsi="Arial" w:cs="Arial"/>
          <w:color w:val="auto"/>
          <w:sz w:val="24"/>
          <w:szCs w:val="24"/>
        </w:rPr>
        <w:t>when determining</w:t>
      </w:r>
      <w:r w:rsidR="00E91EED">
        <w:rPr>
          <w:rFonts w:ascii="Arial" w:hAnsi="Arial" w:cs="Arial"/>
          <w:color w:val="auto"/>
          <w:sz w:val="24"/>
          <w:szCs w:val="24"/>
        </w:rPr>
        <w:t xml:space="preserve"> </w:t>
      </w:r>
      <w:r>
        <w:rPr>
          <w:rFonts w:ascii="Arial" w:hAnsi="Arial" w:cs="Arial"/>
          <w:color w:val="auto"/>
          <w:sz w:val="24"/>
          <w:szCs w:val="24"/>
        </w:rPr>
        <w:t xml:space="preserve">Alternative Compliance Payments, with offsets for electricity from renewable sources.  </w:t>
      </w:r>
      <w:r w:rsidR="00E43B31">
        <w:rPr>
          <w:rFonts w:ascii="Arial" w:hAnsi="Arial" w:cs="Arial"/>
          <w:color w:val="auto"/>
          <w:sz w:val="24"/>
          <w:szCs w:val="24"/>
        </w:rPr>
        <w:t xml:space="preserve">It can be argued that it is the state’s role to transition the grid to renewable sources and that it is unfair to impose Alternative Compliance Payments on building owners who have spent money to electrify their buildings.  </w:t>
      </w:r>
      <w:r>
        <w:rPr>
          <w:rFonts w:ascii="Arial" w:hAnsi="Arial" w:cs="Arial"/>
          <w:color w:val="auto"/>
          <w:sz w:val="24"/>
          <w:szCs w:val="24"/>
        </w:rPr>
        <w:t xml:space="preserve">Newton excludes electricity </w:t>
      </w:r>
      <w:r w:rsidR="006F043E">
        <w:rPr>
          <w:rFonts w:ascii="Arial" w:hAnsi="Arial" w:cs="Arial"/>
          <w:color w:val="auto"/>
          <w:sz w:val="24"/>
          <w:szCs w:val="24"/>
        </w:rPr>
        <w:t xml:space="preserve">entirely </w:t>
      </w:r>
      <w:r>
        <w:rPr>
          <w:rFonts w:ascii="Arial" w:hAnsi="Arial" w:cs="Arial"/>
          <w:color w:val="auto"/>
          <w:sz w:val="24"/>
          <w:szCs w:val="24"/>
        </w:rPr>
        <w:t>from compliance.</w:t>
      </w:r>
      <w:r w:rsidR="00E91EED">
        <w:rPr>
          <w:rFonts w:ascii="Arial" w:hAnsi="Arial" w:cs="Arial"/>
          <w:color w:val="auto"/>
          <w:sz w:val="24"/>
          <w:szCs w:val="24"/>
        </w:rPr>
        <w:t xml:space="preserve">  </w:t>
      </w:r>
      <w:r>
        <w:rPr>
          <w:rFonts w:ascii="Arial" w:hAnsi="Arial" w:cs="Arial"/>
          <w:color w:val="auto"/>
          <w:sz w:val="24"/>
          <w:szCs w:val="24"/>
        </w:rPr>
        <w:t xml:space="preserve">Brookline </w:t>
      </w:r>
      <w:r w:rsidR="00E91EED">
        <w:rPr>
          <w:rFonts w:ascii="Arial" w:hAnsi="Arial" w:cs="Arial"/>
          <w:color w:val="auto"/>
          <w:sz w:val="24"/>
          <w:szCs w:val="24"/>
        </w:rPr>
        <w:t xml:space="preserve">should </w:t>
      </w:r>
      <w:r w:rsidR="007F0DB7">
        <w:rPr>
          <w:rFonts w:ascii="Arial" w:hAnsi="Arial" w:cs="Arial"/>
          <w:color w:val="auto"/>
          <w:sz w:val="24"/>
          <w:szCs w:val="24"/>
        </w:rPr>
        <w:t xml:space="preserve">consider </w:t>
      </w:r>
      <w:r w:rsidR="00E91EED">
        <w:rPr>
          <w:rFonts w:ascii="Arial" w:hAnsi="Arial" w:cs="Arial"/>
          <w:color w:val="auto"/>
          <w:sz w:val="24"/>
          <w:szCs w:val="24"/>
        </w:rPr>
        <w:t>includ</w:t>
      </w:r>
      <w:r w:rsidR="007F0DB7">
        <w:rPr>
          <w:rFonts w:ascii="Arial" w:hAnsi="Arial" w:cs="Arial"/>
          <w:color w:val="auto"/>
          <w:sz w:val="24"/>
          <w:szCs w:val="24"/>
        </w:rPr>
        <w:t>ing</w:t>
      </w:r>
      <w:r w:rsidR="00E91EED">
        <w:rPr>
          <w:rFonts w:ascii="Arial" w:hAnsi="Arial" w:cs="Arial"/>
          <w:color w:val="auto"/>
          <w:sz w:val="24"/>
          <w:szCs w:val="24"/>
        </w:rPr>
        <w:t xml:space="preserve"> reporting electricity </w:t>
      </w:r>
      <w:r w:rsidR="00BA3915">
        <w:rPr>
          <w:rFonts w:ascii="Arial" w:hAnsi="Arial" w:cs="Arial"/>
          <w:color w:val="auto"/>
          <w:sz w:val="24"/>
          <w:szCs w:val="24"/>
        </w:rPr>
        <w:t>consumption but</w:t>
      </w:r>
      <w:r>
        <w:rPr>
          <w:rFonts w:ascii="Arial" w:hAnsi="Arial" w:cs="Arial"/>
          <w:color w:val="auto"/>
          <w:sz w:val="24"/>
          <w:szCs w:val="24"/>
        </w:rPr>
        <w:t xml:space="preserve"> should follow Newton’s lead </w:t>
      </w:r>
      <w:r w:rsidR="00E91EED">
        <w:rPr>
          <w:rFonts w:ascii="Arial" w:hAnsi="Arial" w:cs="Arial"/>
          <w:color w:val="auto"/>
          <w:sz w:val="24"/>
          <w:szCs w:val="24"/>
        </w:rPr>
        <w:t>in</w:t>
      </w:r>
      <w:r>
        <w:rPr>
          <w:rFonts w:ascii="Arial" w:hAnsi="Arial" w:cs="Arial"/>
          <w:color w:val="auto"/>
          <w:sz w:val="24"/>
          <w:szCs w:val="24"/>
        </w:rPr>
        <w:t xml:space="preserve"> exclud</w:t>
      </w:r>
      <w:r w:rsidR="00E91EED">
        <w:rPr>
          <w:rFonts w:ascii="Arial" w:hAnsi="Arial" w:cs="Arial"/>
          <w:color w:val="auto"/>
          <w:sz w:val="24"/>
          <w:szCs w:val="24"/>
        </w:rPr>
        <w:t>ing</w:t>
      </w:r>
      <w:r>
        <w:rPr>
          <w:rFonts w:ascii="Arial" w:hAnsi="Arial" w:cs="Arial"/>
          <w:color w:val="auto"/>
          <w:sz w:val="24"/>
          <w:szCs w:val="24"/>
        </w:rPr>
        <w:t xml:space="preserve"> electricity from</w:t>
      </w:r>
      <w:r w:rsidR="00E91EED">
        <w:rPr>
          <w:rFonts w:ascii="Arial" w:hAnsi="Arial" w:cs="Arial"/>
          <w:color w:val="auto"/>
          <w:sz w:val="24"/>
          <w:szCs w:val="24"/>
        </w:rPr>
        <w:t xml:space="preserve"> </w:t>
      </w:r>
      <w:r>
        <w:rPr>
          <w:rFonts w:ascii="Arial" w:hAnsi="Arial" w:cs="Arial"/>
          <w:color w:val="auto"/>
          <w:sz w:val="24"/>
          <w:szCs w:val="24"/>
        </w:rPr>
        <w:t>compliance.</w:t>
      </w:r>
    </w:p>
    <w:p w14:paraId="49721ED8" w14:textId="77777777" w:rsidR="001F1D50" w:rsidRDefault="001F1D50" w:rsidP="00DA05CE">
      <w:pPr>
        <w:pStyle w:val="p3"/>
        <w:rPr>
          <w:rFonts w:ascii="Arial" w:hAnsi="Arial" w:cs="Arial"/>
          <w:color w:val="auto"/>
          <w:sz w:val="24"/>
          <w:szCs w:val="24"/>
        </w:rPr>
      </w:pPr>
    </w:p>
    <w:p w14:paraId="7FE5B3BA" w14:textId="193BD522" w:rsidR="001F1D50" w:rsidRDefault="001F1D50" w:rsidP="001F1D50">
      <w:pPr>
        <w:rPr>
          <w:rFonts w:ascii="Arial" w:eastAsia="Times New Roman" w:hAnsi="Arial" w:cs="Arial"/>
          <w:kern w:val="0"/>
          <w14:ligatures w14:val="none"/>
        </w:rPr>
      </w:pPr>
      <w:r w:rsidRPr="001F1D50">
        <w:rPr>
          <w:rFonts w:ascii="Arial" w:eastAsia="Times New Roman" w:hAnsi="Arial" w:cs="Arial"/>
          <w:kern w:val="0"/>
          <w14:ligatures w14:val="none"/>
        </w:rPr>
        <w:t xml:space="preserve">Newton has </w:t>
      </w:r>
      <w:r>
        <w:rPr>
          <w:rFonts w:ascii="Arial" w:eastAsia="Times New Roman" w:hAnsi="Arial" w:cs="Arial"/>
          <w:kern w:val="0"/>
          <w14:ligatures w14:val="none"/>
        </w:rPr>
        <w:t xml:space="preserve">adopted </w:t>
      </w:r>
      <w:r w:rsidRPr="001F1D50">
        <w:rPr>
          <w:rFonts w:ascii="Arial" w:eastAsia="Times New Roman" w:hAnsi="Arial" w:cs="Arial"/>
          <w:kern w:val="0"/>
          <w14:ligatures w14:val="none"/>
        </w:rPr>
        <w:t>a more gradual compliance path to zero emissions than Boston</w:t>
      </w:r>
      <w:r w:rsidR="00546E39">
        <w:rPr>
          <w:rFonts w:ascii="Arial" w:eastAsia="Times New Roman" w:hAnsi="Arial" w:cs="Arial"/>
          <w:kern w:val="0"/>
          <w14:ligatures w14:val="none"/>
        </w:rPr>
        <w:t xml:space="preserve"> and Cambridge, </w:t>
      </w:r>
      <w:r w:rsidR="009C253C">
        <w:rPr>
          <w:rFonts w:ascii="Arial" w:eastAsia="Times New Roman" w:hAnsi="Arial" w:cs="Arial"/>
          <w:kern w:val="0"/>
          <w14:ligatures w14:val="none"/>
        </w:rPr>
        <w:t xml:space="preserve">with </w:t>
      </w:r>
      <w:r w:rsidR="00546E39">
        <w:rPr>
          <w:rFonts w:ascii="Arial" w:eastAsia="Times New Roman" w:hAnsi="Arial" w:cs="Arial"/>
          <w:kern w:val="0"/>
          <w14:ligatures w14:val="none"/>
        </w:rPr>
        <w:t>all</w:t>
      </w:r>
      <w:r w:rsidR="009C253C">
        <w:rPr>
          <w:rFonts w:ascii="Arial" w:eastAsia="Times New Roman" w:hAnsi="Arial" w:cs="Arial"/>
          <w:kern w:val="0"/>
          <w14:ligatures w14:val="none"/>
        </w:rPr>
        <w:t xml:space="preserve"> targeting zero emissions in 2050.  This </w:t>
      </w:r>
      <w:r>
        <w:rPr>
          <w:rFonts w:ascii="Arial" w:eastAsia="Times New Roman" w:hAnsi="Arial" w:cs="Arial"/>
          <w:kern w:val="0"/>
          <w14:ligatures w14:val="none"/>
        </w:rPr>
        <w:t>provide</w:t>
      </w:r>
      <w:r w:rsidR="009C253C">
        <w:rPr>
          <w:rFonts w:ascii="Arial" w:eastAsia="Times New Roman" w:hAnsi="Arial" w:cs="Arial"/>
          <w:kern w:val="0"/>
          <w14:ligatures w14:val="none"/>
        </w:rPr>
        <w:t>s</w:t>
      </w:r>
      <w:r w:rsidRPr="001F1D50">
        <w:rPr>
          <w:rFonts w:ascii="Arial" w:eastAsia="Times New Roman" w:hAnsi="Arial" w:cs="Arial"/>
          <w:kern w:val="0"/>
          <w14:ligatures w14:val="none"/>
        </w:rPr>
        <w:t xml:space="preserve"> building owners time </w:t>
      </w:r>
      <w:r w:rsidR="00E274BD">
        <w:rPr>
          <w:rFonts w:ascii="Arial" w:eastAsia="Times New Roman" w:hAnsi="Arial" w:cs="Arial"/>
          <w:kern w:val="0"/>
          <w14:ligatures w14:val="none"/>
        </w:rPr>
        <w:t xml:space="preserve">and opportunity </w:t>
      </w:r>
      <w:r w:rsidRPr="001F1D50">
        <w:rPr>
          <w:rFonts w:ascii="Arial" w:eastAsia="Times New Roman" w:hAnsi="Arial" w:cs="Arial"/>
          <w:kern w:val="0"/>
          <w14:ligatures w14:val="none"/>
        </w:rPr>
        <w:t>to make incremental decarbonization investments</w:t>
      </w:r>
      <w:r>
        <w:rPr>
          <w:rFonts w:ascii="Arial" w:eastAsia="Times New Roman" w:hAnsi="Arial" w:cs="Arial"/>
          <w:kern w:val="0"/>
          <w14:ligatures w14:val="none"/>
        </w:rPr>
        <w:t xml:space="preserve">.  </w:t>
      </w:r>
    </w:p>
    <w:p w14:paraId="145FC610" w14:textId="77777777" w:rsidR="00E048AC" w:rsidRDefault="00E048AC" w:rsidP="001F1D50">
      <w:pPr>
        <w:rPr>
          <w:rFonts w:ascii="Arial" w:eastAsia="Times New Roman" w:hAnsi="Arial" w:cs="Arial"/>
          <w:kern w:val="0"/>
          <w14:ligatures w14:val="none"/>
        </w:rPr>
      </w:pPr>
    </w:p>
    <w:p w14:paraId="0FAECEC1" w14:textId="31F6FF01" w:rsidR="006F043E" w:rsidRDefault="00BF68B1" w:rsidP="00356ABA">
      <w:pPr>
        <w:pStyle w:val="p3"/>
        <w:rPr>
          <w:rFonts w:ascii="Arial" w:hAnsi="Arial" w:cs="Arial"/>
          <w:sz w:val="24"/>
          <w:szCs w:val="24"/>
        </w:rPr>
      </w:pPr>
      <w:r>
        <w:rPr>
          <w:rFonts w:ascii="Arial" w:hAnsi="Arial" w:cs="Arial"/>
          <w:color w:val="auto"/>
          <w:sz w:val="24"/>
          <w:szCs w:val="24"/>
        </w:rPr>
        <w:t xml:space="preserve">A support system </w:t>
      </w:r>
      <w:r w:rsidR="00EC2347">
        <w:rPr>
          <w:rFonts w:ascii="Arial" w:hAnsi="Arial" w:cs="Arial"/>
          <w:color w:val="auto"/>
          <w:sz w:val="24"/>
          <w:szCs w:val="24"/>
        </w:rPr>
        <w:t>needs to</w:t>
      </w:r>
      <w:r>
        <w:rPr>
          <w:rFonts w:ascii="Arial" w:hAnsi="Arial" w:cs="Arial"/>
          <w:color w:val="auto"/>
          <w:sz w:val="24"/>
          <w:szCs w:val="24"/>
        </w:rPr>
        <w:t xml:space="preserve"> be provided for </w:t>
      </w:r>
      <w:r w:rsidR="007F0DB7">
        <w:rPr>
          <w:rFonts w:ascii="Arial" w:hAnsi="Arial" w:cs="Arial"/>
          <w:color w:val="auto"/>
          <w:sz w:val="24"/>
          <w:szCs w:val="24"/>
        </w:rPr>
        <w:t xml:space="preserve">those </w:t>
      </w:r>
      <w:r>
        <w:rPr>
          <w:rFonts w:ascii="Arial" w:hAnsi="Arial" w:cs="Arial"/>
          <w:color w:val="auto"/>
          <w:sz w:val="24"/>
          <w:szCs w:val="24"/>
        </w:rPr>
        <w:t xml:space="preserve">building owners </w:t>
      </w:r>
      <w:r w:rsidR="00EC2347">
        <w:rPr>
          <w:rFonts w:ascii="Arial" w:hAnsi="Arial" w:cs="Arial"/>
          <w:color w:val="auto"/>
          <w:sz w:val="24"/>
          <w:szCs w:val="24"/>
        </w:rPr>
        <w:t xml:space="preserve">requiring assistance </w:t>
      </w:r>
      <w:r>
        <w:rPr>
          <w:rFonts w:ascii="Arial" w:hAnsi="Arial" w:cs="Arial"/>
          <w:color w:val="auto"/>
          <w:sz w:val="24"/>
          <w:szCs w:val="24"/>
        </w:rPr>
        <w:t>navigat</w:t>
      </w:r>
      <w:r w:rsidR="00EC2347">
        <w:rPr>
          <w:rFonts w:ascii="Arial" w:hAnsi="Arial" w:cs="Arial"/>
          <w:color w:val="auto"/>
          <w:sz w:val="24"/>
          <w:szCs w:val="24"/>
        </w:rPr>
        <w:t>ing</w:t>
      </w:r>
      <w:r>
        <w:rPr>
          <w:rFonts w:ascii="Arial" w:hAnsi="Arial" w:cs="Arial"/>
          <w:color w:val="auto"/>
          <w:sz w:val="24"/>
          <w:szCs w:val="24"/>
        </w:rPr>
        <w:t xml:space="preserve"> </w:t>
      </w:r>
      <w:r w:rsidR="004E5683">
        <w:rPr>
          <w:rFonts w:ascii="Arial" w:hAnsi="Arial" w:cs="Arial"/>
          <w:color w:val="auto"/>
          <w:sz w:val="24"/>
          <w:szCs w:val="24"/>
        </w:rPr>
        <w:t xml:space="preserve">issues </w:t>
      </w:r>
      <w:r w:rsidR="00B41652">
        <w:rPr>
          <w:rFonts w:ascii="Arial" w:hAnsi="Arial" w:cs="Arial"/>
          <w:color w:val="auto"/>
          <w:sz w:val="24"/>
          <w:szCs w:val="24"/>
        </w:rPr>
        <w:t>including</w:t>
      </w:r>
      <w:r>
        <w:rPr>
          <w:rFonts w:ascii="Arial" w:hAnsi="Arial" w:cs="Arial"/>
          <w:color w:val="auto"/>
          <w:sz w:val="24"/>
          <w:szCs w:val="24"/>
        </w:rPr>
        <w:t xml:space="preserve"> </w:t>
      </w:r>
      <w:r>
        <w:rPr>
          <w:rFonts w:ascii="Arial" w:hAnsi="Arial" w:cs="Arial"/>
          <w:sz w:val="24"/>
          <w:szCs w:val="24"/>
        </w:rPr>
        <w:t>e</w:t>
      </w:r>
      <w:r w:rsidRPr="004B570D">
        <w:rPr>
          <w:rFonts w:ascii="Arial" w:hAnsi="Arial" w:cs="Arial"/>
          <w:sz w:val="24"/>
          <w:szCs w:val="24"/>
        </w:rPr>
        <w:t>ngineering/design/cost estimation for retrofit projects;</w:t>
      </w:r>
      <w:r>
        <w:rPr>
          <w:rFonts w:ascii="Arial" w:hAnsi="Arial" w:cs="Arial"/>
          <w:sz w:val="24"/>
          <w:szCs w:val="24"/>
        </w:rPr>
        <w:t xml:space="preserve"> </w:t>
      </w:r>
      <w:r w:rsidRPr="004B570D">
        <w:rPr>
          <w:rFonts w:ascii="Arial" w:hAnsi="Arial" w:cs="Arial"/>
          <w:sz w:val="24"/>
          <w:szCs w:val="24"/>
        </w:rPr>
        <w:t xml:space="preserve">contractors capable of executing retrofits; </w:t>
      </w:r>
      <w:r w:rsidR="00DC3F17">
        <w:rPr>
          <w:rFonts w:ascii="Arial" w:hAnsi="Arial" w:cs="Arial"/>
          <w:sz w:val="24"/>
          <w:szCs w:val="24"/>
        </w:rPr>
        <w:t xml:space="preserve">and </w:t>
      </w:r>
      <w:r w:rsidRPr="004B570D">
        <w:rPr>
          <w:rFonts w:ascii="Arial" w:hAnsi="Arial" w:cs="Arial"/>
          <w:sz w:val="24"/>
          <w:szCs w:val="24"/>
        </w:rPr>
        <w:t>HVAC servicing contractors capable of</w:t>
      </w:r>
      <w:r>
        <w:rPr>
          <w:rFonts w:ascii="Arial" w:hAnsi="Arial" w:cs="Arial"/>
          <w:sz w:val="24"/>
          <w:szCs w:val="24"/>
        </w:rPr>
        <w:t xml:space="preserve"> </w:t>
      </w:r>
      <w:r w:rsidRPr="004B570D">
        <w:rPr>
          <w:rFonts w:ascii="Arial" w:hAnsi="Arial" w:cs="Arial"/>
          <w:sz w:val="24"/>
          <w:szCs w:val="24"/>
        </w:rPr>
        <w:t>providing good service</w:t>
      </w:r>
      <w:r w:rsidR="00DC3F17">
        <w:rPr>
          <w:rFonts w:ascii="Arial" w:hAnsi="Arial" w:cs="Arial"/>
          <w:sz w:val="24"/>
          <w:szCs w:val="24"/>
        </w:rPr>
        <w:t xml:space="preserve"> once systems are operational.</w:t>
      </w:r>
    </w:p>
    <w:p w14:paraId="389F031B" w14:textId="77777777" w:rsidR="006F043E" w:rsidRDefault="006F043E" w:rsidP="00356ABA">
      <w:pPr>
        <w:pStyle w:val="p3"/>
        <w:rPr>
          <w:rFonts w:ascii="Arial" w:hAnsi="Arial" w:cs="Arial"/>
          <w:sz w:val="24"/>
          <w:szCs w:val="24"/>
        </w:rPr>
      </w:pPr>
    </w:p>
    <w:p w14:paraId="57E7613E" w14:textId="76EEAAFD" w:rsidR="0088536C" w:rsidRPr="0098164A" w:rsidRDefault="0098164A">
      <w:pPr>
        <w:rPr>
          <w:rFonts w:ascii="Arial" w:eastAsia="Times New Roman" w:hAnsi="Arial" w:cs="Arial"/>
          <w:color w:val="000000"/>
          <w:kern w:val="0"/>
          <w14:ligatures w14:val="none"/>
        </w:rPr>
      </w:pPr>
      <w:r w:rsidRPr="0098164A">
        <w:rPr>
          <w:rFonts w:ascii="Arial" w:hAnsi="Arial" w:cs="Arial"/>
        </w:rPr>
        <w:t xml:space="preserve">Consideration should be given to </w:t>
      </w:r>
      <w:r w:rsidR="00546E39">
        <w:rPr>
          <w:rFonts w:ascii="Arial" w:hAnsi="Arial" w:cs="Arial"/>
        </w:rPr>
        <w:t xml:space="preserve">providing </w:t>
      </w:r>
      <w:r w:rsidRPr="0098164A">
        <w:rPr>
          <w:rFonts w:ascii="Arial" w:hAnsi="Arial" w:cs="Arial"/>
        </w:rPr>
        <w:t>finance options that</w:t>
      </w:r>
      <w:r>
        <w:rPr>
          <w:rFonts w:ascii="Arial" w:hAnsi="Arial" w:cs="Arial"/>
        </w:rPr>
        <w:t xml:space="preserve"> </w:t>
      </w:r>
      <w:r w:rsidR="00546E39">
        <w:rPr>
          <w:rFonts w:ascii="Arial" w:hAnsi="Arial" w:cs="Arial"/>
        </w:rPr>
        <w:t>are</w:t>
      </w:r>
      <w:r>
        <w:rPr>
          <w:rFonts w:ascii="Arial" w:hAnsi="Arial" w:cs="Arial"/>
        </w:rPr>
        <w:t xml:space="preserve"> break-even (or close to break-even) </w:t>
      </w:r>
      <w:r w:rsidR="00546E39">
        <w:rPr>
          <w:rFonts w:ascii="Arial" w:hAnsi="Arial" w:cs="Arial"/>
        </w:rPr>
        <w:t>for</w:t>
      </w:r>
      <w:r>
        <w:rPr>
          <w:rFonts w:ascii="Arial" w:hAnsi="Arial" w:cs="Arial"/>
        </w:rPr>
        <w:t xml:space="preserve"> building owners.  This may require government subsidy or </w:t>
      </w:r>
      <w:r w:rsidR="00801DE0">
        <w:rPr>
          <w:rFonts w:ascii="Arial" w:hAnsi="Arial" w:cs="Arial"/>
        </w:rPr>
        <w:t xml:space="preserve">an </w:t>
      </w:r>
      <w:r>
        <w:rPr>
          <w:rFonts w:ascii="Arial" w:hAnsi="Arial" w:cs="Arial"/>
        </w:rPr>
        <w:t>enhanced Mass Save program,</w:t>
      </w:r>
      <w:r w:rsidR="0088536C" w:rsidRPr="0098164A">
        <w:rPr>
          <w:rFonts w:ascii="Arial" w:hAnsi="Arial" w:cs="Arial"/>
        </w:rPr>
        <w:br w:type="page"/>
      </w:r>
    </w:p>
    <w:p w14:paraId="622E0138" w14:textId="3C2E5108" w:rsidR="00DC3F17" w:rsidRDefault="008C623C" w:rsidP="00356ABA">
      <w:pPr>
        <w:pStyle w:val="p3"/>
        <w:rPr>
          <w:rFonts w:ascii="Arial" w:hAnsi="Arial" w:cs="Arial"/>
          <w:b/>
          <w:bCs/>
          <w:sz w:val="24"/>
          <w:szCs w:val="24"/>
        </w:rPr>
      </w:pPr>
      <w:r>
        <w:rPr>
          <w:rFonts w:ascii="Arial" w:hAnsi="Arial" w:cs="Arial"/>
          <w:b/>
          <w:bCs/>
          <w:sz w:val="24"/>
          <w:szCs w:val="24"/>
        </w:rPr>
        <w:lastRenderedPageBreak/>
        <w:t>BASELINE DATA AND SCENARIOS</w:t>
      </w:r>
    </w:p>
    <w:p w14:paraId="6728E8D1" w14:textId="77777777" w:rsidR="00E46DCB" w:rsidRDefault="00E46DCB" w:rsidP="00356ABA">
      <w:pPr>
        <w:pStyle w:val="p3"/>
        <w:rPr>
          <w:rFonts w:ascii="Arial" w:hAnsi="Arial" w:cs="Arial"/>
          <w:b/>
          <w:bCs/>
          <w:sz w:val="24"/>
          <w:szCs w:val="24"/>
        </w:rPr>
      </w:pPr>
    </w:p>
    <w:p w14:paraId="2DBF8296" w14:textId="77777777" w:rsidR="005A317E" w:rsidRDefault="005A317E" w:rsidP="005A317E">
      <w:pPr>
        <w:pStyle w:val="p3"/>
        <w:rPr>
          <w:rFonts w:ascii="Arial" w:hAnsi="Arial" w:cs="Arial"/>
          <w:sz w:val="24"/>
          <w:szCs w:val="24"/>
        </w:rPr>
      </w:pPr>
    </w:p>
    <w:tbl>
      <w:tblPr>
        <w:tblStyle w:val="TableGrid"/>
        <w:tblW w:w="0" w:type="auto"/>
        <w:tblLook w:val="04A0" w:firstRow="1" w:lastRow="0" w:firstColumn="1" w:lastColumn="0" w:noHBand="0" w:noVBand="1"/>
      </w:tblPr>
      <w:tblGrid>
        <w:gridCol w:w="4135"/>
        <w:gridCol w:w="2790"/>
        <w:gridCol w:w="2425"/>
      </w:tblGrid>
      <w:tr w:rsidR="00E46DCB" w14:paraId="37B0691D" w14:textId="77777777" w:rsidTr="000E3BFA">
        <w:tc>
          <w:tcPr>
            <w:tcW w:w="9350" w:type="dxa"/>
            <w:gridSpan w:val="3"/>
          </w:tcPr>
          <w:p w14:paraId="3F584088" w14:textId="77777777" w:rsidR="00E46DCB" w:rsidRDefault="00E46DCB" w:rsidP="000E3BFA">
            <w:pPr>
              <w:jc w:val="center"/>
            </w:pPr>
            <w:r>
              <w:rPr>
                <w:rFonts w:ascii="Arial" w:hAnsi="Arial" w:cs="Arial"/>
              </w:rPr>
              <w:t>GHG Emissions from Onsite Combustion of Natural Gas and Heating Oil</w:t>
            </w:r>
          </w:p>
        </w:tc>
      </w:tr>
      <w:tr w:rsidR="00E46DCB" w14:paraId="596712F8" w14:textId="77777777" w:rsidTr="000E3BFA">
        <w:tc>
          <w:tcPr>
            <w:tcW w:w="4135" w:type="dxa"/>
          </w:tcPr>
          <w:p w14:paraId="05BD50DC" w14:textId="77777777" w:rsidR="00E46DCB" w:rsidRDefault="00E46DCB" w:rsidP="000E3BFA">
            <w:pPr>
              <w:jc w:val="center"/>
            </w:pPr>
            <w:r>
              <w:t>Building Type</w:t>
            </w:r>
          </w:p>
          <w:p w14:paraId="4AD3BACC" w14:textId="77777777" w:rsidR="00E46DCB" w:rsidRDefault="00E46DCB" w:rsidP="000E3BFA"/>
        </w:tc>
        <w:tc>
          <w:tcPr>
            <w:tcW w:w="2790" w:type="dxa"/>
          </w:tcPr>
          <w:p w14:paraId="37B20AC3" w14:textId="77777777" w:rsidR="00E46DCB" w:rsidRDefault="00E46DCB" w:rsidP="000E3BFA">
            <w:pPr>
              <w:jc w:val="center"/>
            </w:pPr>
            <w:r>
              <w:rPr>
                <w:rFonts w:ascii="Arial" w:hAnsi="Arial" w:cs="Arial"/>
              </w:rPr>
              <w:t>Share of Total Brookline GHG Emissions</w:t>
            </w:r>
          </w:p>
        </w:tc>
        <w:tc>
          <w:tcPr>
            <w:tcW w:w="2425" w:type="dxa"/>
          </w:tcPr>
          <w:p w14:paraId="4453AED6" w14:textId="06DC9AF3" w:rsidR="00E46DCB" w:rsidRDefault="00E46DCB" w:rsidP="000E3BFA">
            <w:pPr>
              <w:jc w:val="center"/>
            </w:pPr>
            <w:r>
              <w:t xml:space="preserve">Share of </w:t>
            </w:r>
            <w:r w:rsidR="007573C6">
              <w:t>Number of</w:t>
            </w:r>
            <w:r>
              <w:t xml:space="preserve"> Buildings in Brookline</w:t>
            </w:r>
          </w:p>
        </w:tc>
      </w:tr>
      <w:tr w:rsidR="00E46DCB" w14:paraId="04A59F64" w14:textId="77777777" w:rsidTr="000E3BFA">
        <w:tc>
          <w:tcPr>
            <w:tcW w:w="4135" w:type="dxa"/>
          </w:tcPr>
          <w:p w14:paraId="624F9C04" w14:textId="77777777" w:rsidR="00E46DCB" w:rsidRDefault="00E46DCB" w:rsidP="000E3BFA">
            <w:r>
              <w:t>One to Three Family Homes</w:t>
            </w:r>
          </w:p>
        </w:tc>
        <w:tc>
          <w:tcPr>
            <w:tcW w:w="2790" w:type="dxa"/>
          </w:tcPr>
          <w:p w14:paraId="2321432F" w14:textId="77777777" w:rsidR="00E46DCB" w:rsidRDefault="00E46DCB" w:rsidP="000E3BFA">
            <w:pPr>
              <w:jc w:val="center"/>
            </w:pPr>
            <w:r>
              <w:t>13%</w:t>
            </w:r>
          </w:p>
        </w:tc>
        <w:tc>
          <w:tcPr>
            <w:tcW w:w="2425" w:type="dxa"/>
          </w:tcPr>
          <w:p w14:paraId="4E1B33F8" w14:textId="77777777" w:rsidR="00E46DCB" w:rsidRDefault="00E46DCB" w:rsidP="000E3BFA">
            <w:pPr>
              <w:jc w:val="center"/>
            </w:pPr>
            <w:r>
              <w:t>73%</w:t>
            </w:r>
          </w:p>
        </w:tc>
      </w:tr>
      <w:tr w:rsidR="00E46DCB" w14:paraId="5546908E" w14:textId="77777777" w:rsidTr="000E3BFA">
        <w:tc>
          <w:tcPr>
            <w:tcW w:w="4135" w:type="dxa"/>
          </w:tcPr>
          <w:p w14:paraId="60E08130" w14:textId="77777777" w:rsidR="00E46DCB" w:rsidRDefault="00E46DCB" w:rsidP="000E3BFA">
            <w:r>
              <w:t>Non-Residential Buildings &gt;20,000 SF</w:t>
            </w:r>
          </w:p>
        </w:tc>
        <w:tc>
          <w:tcPr>
            <w:tcW w:w="2790" w:type="dxa"/>
          </w:tcPr>
          <w:p w14:paraId="1FC901AE" w14:textId="77777777" w:rsidR="00E46DCB" w:rsidRDefault="00E46DCB" w:rsidP="000E3BFA">
            <w:pPr>
              <w:jc w:val="center"/>
            </w:pPr>
            <w:r>
              <w:t>12%</w:t>
            </w:r>
          </w:p>
        </w:tc>
        <w:tc>
          <w:tcPr>
            <w:tcW w:w="2425" w:type="dxa"/>
          </w:tcPr>
          <w:p w14:paraId="7D52319F" w14:textId="77777777" w:rsidR="00E46DCB" w:rsidRDefault="00E46DCB" w:rsidP="000E3BFA">
            <w:pPr>
              <w:jc w:val="center"/>
            </w:pPr>
            <w:r>
              <w:t>2%</w:t>
            </w:r>
          </w:p>
        </w:tc>
      </w:tr>
      <w:tr w:rsidR="00E46DCB" w14:paraId="4088DB8A" w14:textId="77777777" w:rsidTr="000E3BFA">
        <w:tc>
          <w:tcPr>
            <w:tcW w:w="4135" w:type="dxa"/>
          </w:tcPr>
          <w:p w14:paraId="0F2471BA" w14:textId="77777777" w:rsidR="00E46DCB" w:rsidRDefault="00E46DCB" w:rsidP="000E3BFA">
            <w:r>
              <w:t>Condominiums &lt;20,000 SF</w:t>
            </w:r>
          </w:p>
        </w:tc>
        <w:tc>
          <w:tcPr>
            <w:tcW w:w="2790" w:type="dxa"/>
          </w:tcPr>
          <w:p w14:paraId="042BB3C2" w14:textId="77777777" w:rsidR="00E46DCB" w:rsidRDefault="00E46DCB" w:rsidP="000E3BFA">
            <w:pPr>
              <w:jc w:val="center"/>
            </w:pPr>
            <w:r>
              <w:t>5%</w:t>
            </w:r>
          </w:p>
        </w:tc>
        <w:tc>
          <w:tcPr>
            <w:tcW w:w="2425" w:type="dxa"/>
          </w:tcPr>
          <w:p w14:paraId="1B9BBC05" w14:textId="77777777" w:rsidR="00E46DCB" w:rsidRDefault="00E46DCB" w:rsidP="000E3BFA">
            <w:pPr>
              <w:jc w:val="center"/>
            </w:pPr>
            <w:r>
              <w:t>16%</w:t>
            </w:r>
          </w:p>
        </w:tc>
      </w:tr>
      <w:tr w:rsidR="00E46DCB" w14:paraId="2EACD20B" w14:textId="77777777" w:rsidTr="000E3BFA">
        <w:tc>
          <w:tcPr>
            <w:tcW w:w="4135" w:type="dxa"/>
          </w:tcPr>
          <w:p w14:paraId="5D5B2129" w14:textId="77777777" w:rsidR="00E46DCB" w:rsidRDefault="00E46DCB" w:rsidP="000E3BFA">
            <w:r>
              <w:t>Condominiums &gt;20,000 SF</w:t>
            </w:r>
          </w:p>
        </w:tc>
        <w:tc>
          <w:tcPr>
            <w:tcW w:w="2790" w:type="dxa"/>
          </w:tcPr>
          <w:p w14:paraId="0C140E8B" w14:textId="77777777" w:rsidR="00E46DCB" w:rsidRDefault="00E46DCB" w:rsidP="000E3BFA">
            <w:pPr>
              <w:jc w:val="center"/>
            </w:pPr>
            <w:r>
              <w:t>4%</w:t>
            </w:r>
          </w:p>
        </w:tc>
        <w:tc>
          <w:tcPr>
            <w:tcW w:w="2425" w:type="dxa"/>
          </w:tcPr>
          <w:p w14:paraId="787EAC81" w14:textId="77777777" w:rsidR="00E46DCB" w:rsidRDefault="00E46DCB" w:rsidP="000E3BFA">
            <w:pPr>
              <w:jc w:val="center"/>
            </w:pPr>
            <w:r>
              <w:t>2%</w:t>
            </w:r>
          </w:p>
        </w:tc>
      </w:tr>
      <w:tr w:rsidR="00E46DCB" w14:paraId="5C53C472" w14:textId="77777777" w:rsidTr="000E3BFA">
        <w:tc>
          <w:tcPr>
            <w:tcW w:w="4135" w:type="dxa"/>
          </w:tcPr>
          <w:p w14:paraId="3702A92B" w14:textId="77777777" w:rsidR="00E46DCB" w:rsidRDefault="00E46DCB" w:rsidP="000E3BFA">
            <w:r>
              <w:t>Apartment Buildings &gt;20,000 SF</w:t>
            </w:r>
          </w:p>
        </w:tc>
        <w:tc>
          <w:tcPr>
            <w:tcW w:w="2790" w:type="dxa"/>
          </w:tcPr>
          <w:p w14:paraId="7C20A0CC" w14:textId="77777777" w:rsidR="00E46DCB" w:rsidRDefault="00E46DCB" w:rsidP="000E3BFA">
            <w:pPr>
              <w:jc w:val="center"/>
            </w:pPr>
            <w:r>
              <w:t>3%</w:t>
            </w:r>
          </w:p>
        </w:tc>
        <w:tc>
          <w:tcPr>
            <w:tcW w:w="2425" w:type="dxa"/>
          </w:tcPr>
          <w:p w14:paraId="0AC5AB92" w14:textId="77777777" w:rsidR="00E46DCB" w:rsidRDefault="00E46DCB" w:rsidP="000E3BFA">
            <w:pPr>
              <w:jc w:val="center"/>
            </w:pPr>
            <w:r>
              <w:t>1%</w:t>
            </w:r>
          </w:p>
        </w:tc>
      </w:tr>
      <w:tr w:rsidR="00E46DCB" w14:paraId="1A621B02" w14:textId="77777777" w:rsidTr="000E3BFA">
        <w:tc>
          <w:tcPr>
            <w:tcW w:w="4135" w:type="dxa"/>
          </w:tcPr>
          <w:p w14:paraId="14A44366" w14:textId="77777777" w:rsidR="00E46DCB" w:rsidRDefault="00E46DCB" w:rsidP="000E3BFA">
            <w:r>
              <w:t>Apartment Buildings &lt;20,000 SF</w:t>
            </w:r>
          </w:p>
        </w:tc>
        <w:tc>
          <w:tcPr>
            <w:tcW w:w="2790" w:type="dxa"/>
          </w:tcPr>
          <w:p w14:paraId="7CBA6ECD" w14:textId="77777777" w:rsidR="00E46DCB" w:rsidRDefault="00E46DCB" w:rsidP="000E3BFA">
            <w:pPr>
              <w:jc w:val="center"/>
            </w:pPr>
            <w:r>
              <w:t>1%</w:t>
            </w:r>
          </w:p>
        </w:tc>
        <w:tc>
          <w:tcPr>
            <w:tcW w:w="2425" w:type="dxa"/>
          </w:tcPr>
          <w:p w14:paraId="1739AB02" w14:textId="77777777" w:rsidR="00E46DCB" w:rsidRDefault="00E46DCB" w:rsidP="000E3BFA">
            <w:pPr>
              <w:jc w:val="center"/>
            </w:pPr>
            <w:r>
              <w:t>3%</w:t>
            </w:r>
          </w:p>
        </w:tc>
      </w:tr>
    </w:tbl>
    <w:p w14:paraId="65598087" w14:textId="77777777" w:rsidR="004A13F9" w:rsidRDefault="004A13F9" w:rsidP="004A13F9">
      <w:pPr>
        <w:pStyle w:val="p3"/>
        <w:rPr>
          <w:rFonts w:ascii="Arial" w:hAnsi="Arial" w:cs="Arial"/>
          <w:sz w:val="24"/>
          <w:szCs w:val="24"/>
        </w:rPr>
      </w:pPr>
    </w:p>
    <w:p w14:paraId="1DF9B35A" w14:textId="77777777" w:rsidR="004A13F9" w:rsidRPr="004A13F9" w:rsidRDefault="004A13F9" w:rsidP="004A13F9">
      <w:pPr>
        <w:pStyle w:val="p3"/>
        <w:rPr>
          <w:rFonts w:ascii="Arial" w:hAnsi="Arial" w:cs="Arial"/>
          <w:sz w:val="24"/>
          <w:szCs w:val="24"/>
        </w:rPr>
      </w:pPr>
    </w:p>
    <w:p w14:paraId="3E987921" w14:textId="0E779E1F" w:rsidR="004A13F9" w:rsidRPr="00566F91" w:rsidRDefault="004A13F9" w:rsidP="004A13F9">
      <w:pPr>
        <w:pStyle w:val="p3"/>
        <w:rPr>
          <w:rStyle w:val="s3"/>
          <w:sz w:val="24"/>
          <w:szCs w:val="24"/>
        </w:rPr>
      </w:pPr>
      <w:r w:rsidRPr="00FD5582">
        <w:rPr>
          <w:rFonts w:ascii="Arial" w:hAnsi="Arial" w:cs="Arial"/>
          <w:b/>
          <w:bCs/>
          <w:sz w:val="24"/>
          <w:szCs w:val="24"/>
        </w:rPr>
        <w:t xml:space="preserve">Buildings </w:t>
      </w:r>
      <w:r>
        <w:rPr>
          <w:rFonts w:ascii="Arial" w:hAnsi="Arial" w:cs="Arial"/>
          <w:b/>
          <w:bCs/>
          <w:sz w:val="24"/>
          <w:szCs w:val="24"/>
        </w:rPr>
        <w:t>Proposed for Inclusion in Brookline</w:t>
      </w:r>
      <w:r w:rsidRPr="00FD5582">
        <w:rPr>
          <w:rFonts w:ascii="Arial" w:hAnsi="Arial" w:cs="Arial"/>
          <w:b/>
          <w:bCs/>
          <w:sz w:val="24"/>
          <w:szCs w:val="24"/>
        </w:rPr>
        <w:t xml:space="preserve"> BERDO</w:t>
      </w:r>
    </w:p>
    <w:p w14:paraId="721E4093" w14:textId="77777777" w:rsidR="005A317E" w:rsidRPr="00356ABA" w:rsidRDefault="005A317E" w:rsidP="00356ABA">
      <w:pPr>
        <w:pStyle w:val="p3"/>
        <w:rPr>
          <w:rFonts w:ascii="Arial" w:hAnsi="Arial" w:cs="Arial"/>
          <w:b/>
          <w:bCs/>
          <w:sz w:val="24"/>
          <w:szCs w:val="24"/>
        </w:rPr>
      </w:pPr>
    </w:p>
    <w:p w14:paraId="384DD1A5" w14:textId="096BDF29" w:rsidR="004B570D" w:rsidRDefault="00B31994" w:rsidP="004B570D">
      <w:pPr>
        <w:pStyle w:val="p3"/>
        <w:rPr>
          <w:rFonts w:ascii="Arial" w:hAnsi="Arial" w:cs="Arial"/>
          <w:sz w:val="24"/>
          <w:szCs w:val="24"/>
        </w:rPr>
      </w:pPr>
      <w:r w:rsidRPr="00D662AA">
        <w:rPr>
          <w:rFonts w:ascii="Arial" w:hAnsi="Arial" w:cs="Arial"/>
          <w:i/>
          <w:iCs/>
          <w:sz w:val="24"/>
          <w:szCs w:val="24"/>
        </w:rPr>
        <w:t>High</w:t>
      </w:r>
      <w:r w:rsidR="005E0585" w:rsidRPr="00D662AA">
        <w:rPr>
          <w:rFonts w:ascii="Arial" w:hAnsi="Arial" w:cs="Arial"/>
          <w:i/>
          <w:iCs/>
          <w:sz w:val="24"/>
          <w:szCs w:val="24"/>
        </w:rPr>
        <w:t xml:space="preserve"> Impact</w:t>
      </w:r>
      <w:r>
        <w:rPr>
          <w:rFonts w:ascii="Arial" w:hAnsi="Arial" w:cs="Arial"/>
          <w:sz w:val="24"/>
          <w:szCs w:val="24"/>
        </w:rPr>
        <w:t xml:space="preserve"> -</w:t>
      </w:r>
      <w:r w:rsidR="00EC750B">
        <w:rPr>
          <w:rFonts w:ascii="Arial" w:hAnsi="Arial" w:cs="Arial"/>
          <w:sz w:val="24"/>
          <w:szCs w:val="24"/>
        </w:rPr>
        <w:t xml:space="preserve"> </w:t>
      </w:r>
      <w:r w:rsidR="004B570D" w:rsidRPr="004B570D">
        <w:rPr>
          <w:rFonts w:ascii="Arial" w:hAnsi="Arial" w:cs="Arial"/>
          <w:sz w:val="24"/>
          <w:szCs w:val="24"/>
        </w:rPr>
        <w:t>All buildings</w:t>
      </w:r>
    </w:p>
    <w:p w14:paraId="4BE727D4" w14:textId="77777777" w:rsidR="00EC750B" w:rsidRPr="004B570D" w:rsidRDefault="00EC750B" w:rsidP="004B570D">
      <w:pPr>
        <w:pStyle w:val="p3"/>
        <w:rPr>
          <w:rFonts w:ascii="Arial" w:hAnsi="Arial" w:cs="Arial"/>
          <w:sz w:val="24"/>
          <w:szCs w:val="24"/>
        </w:rPr>
      </w:pPr>
    </w:p>
    <w:p w14:paraId="1C706FD9" w14:textId="042A3A2E" w:rsidR="004B570D" w:rsidRDefault="00B31994" w:rsidP="004B570D">
      <w:pPr>
        <w:pStyle w:val="p3"/>
        <w:rPr>
          <w:rFonts w:ascii="Arial" w:hAnsi="Arial" w:cs="Arial"/>
          <w:sz w:val="24"/>
          <w:szCs w:val="24"/>
        </w:rPr>
      </w:pPr>
      <w:r w:rsidRPr="00D662AA">
        <w:rPr>
          <w:rFonts w:ascii="Arial" w:hAnsi="Arial" w:cs="Arial"/>
          <w:i/>
          <w:iCs/>
          <w:sz w:val="24"/>
          <w:szCs w:val="24"/>
        </w:rPr>
        <w:t>Medium</w:t>
      </w:r>
      <w:r w:rsidR="005E0585" w:rsidRPr="00D662AA">
        <w:rPr>
          <w:rFonts w:ascii="Arial" w:hAnsi="Arial" w:cs="Arial"/>
          <w:i/>
          <w:iCs/>
          <w:sz w:val="24"/>
          <w:szCs w:val="24"/>
        </w:rPr>
        <w:t xml:space="preserve"> Impact</w:t>
      </w:r>
      <w:r>
        <w:rPr>
          <w:rFonts w:ascii="Arial" w:hAnsi="Arial" w:cs="Arial"/>
          <w:sz w:val="24"/>
          <w:szCs w:val="24"/>
        </w:rPr>
        <w:t xml:space="preserve"> </w:t>
      </w:r>
      <w:r w:rsidR="004B570D" w:rsidRPr="004B570D">
        <w:rPr>
          <w:rFonts w:ascii="Arial" w:hAnsi="Arial" w:cs="Arial"/>
          <w:sz w:val="24"/>
          <w:szCs w:val="24"/>
        </w:rPr>
        <w:t xml:space="preserve">- All buildings </w:t>
      </w:r>
      <w:r w:rsidR="004817B6">
        <w:rPr>
          <w:rFonts w:ascii="Arial" w:hAnsi="Arial" w:cs="Arial"/>
          <w:sz w:val="24"/>
          <w:szCs w:val="24"/>
        </w:rPr>
        <w:t>subject to</w:t>
      </w:r>
      <w:r w:rsidR="004B570D" w:rsidRPr="004B570D">
        <w:rPr>
          <w:rFonts w:ascii="Arial" w:hAnsi="Arial" w:cs="Arial"/>
          <w:sz w:val="24"/>
          <w:szCs w:val="24"/>
        </w:rPr>
        <w:t xml:space="preserve"> </w:t>
      </w:r>
      <w:r w:rsidR="000C1F45">
        <w:rPr>
          <w:rFonts w:ascii="Arial" w:hAnsi="Arial" w:cs="Arial"/>
          <w:sz w:val="24"/>
          <w:szCs w:val="24"/>
        </w:rPr>
        <w:t xml:space="preserve">MA </w:t>
      </w:r>
      <w:r w:rsidR="004B570D" w:rsidRPr="004B570D">
        <w:rPr>
          <w:rFonts w:ascii="Arial" w:hAnsi="Arial" w:cs="Arial"/>
          <w:sz w:val="24"/>
          <w:szCs w:val="24"/>
        </w:rPr>
        <w:t>LBER</w:t>
      </w:r>
    </w:p>
    <w:p w14:paraId="718A5A76" w14:textId="77777777" w:rsidR="00EC750B" w:rsidRPr="004B570D" w:rsidRDefault="00EC750B" w:rsidP="004B570D">
      <w:pPr>
        <w:pStyle w:val="p3"/>
        <w:rPr>
          <w:rFonts w:ascii="Arial" w:hAnsi="Arial" w:cs="Arial"/>
          <w:sz w:val="24"/>
          <w:szCs w:val="24"/>
        </w:rPr>
      </w:pPr>
    </w:p>
    <w:p w14:paraId="207FA78F" w14:textId="1986EF37" w:rsidR="004B570D" w:rsidRPr="004B570D" w:rsidRDefault="00B31994" w:rsidP="004B570D">
      <w:pPr>
        <w:pStyle w:val="p3"/>
        <w:rPr>
          <w:rFonts w:ascii="Arial" w:hAnsi="Arial" w:cs="Arial"/>
          <w:sz w:val="24"/>
          <w:szCs w:val="24"/>
        </w:rPr>
      </w:pPr>
      <w:r w:rsidRPr="00D662AA">
        <w:rPr>
          <w:rFonts w:ascii="Arial" w:hAnsi="Arial" w:cs="Arial"/>
          <w:i/>
          <w:iCs/>
          <w:sz w:val="24"/>
          <w:szCs w:val="24"/>
        </w:rPr>
        <w:t>Low</w:t>
      </w:r>
      <w:r w:rsidR="00ED59C8" w:rsidRPr="00D662AA">
        <w:rPr>
          <w:rFonts w:ascii="Arial" w:hAnsi="Arial" w:cs="Arial"/>
          <w:i/>
          <w:iCs/>
          <w:sz w:val="24"/>
          <w:szCs w:val="24"/>
        </w:rPr>
        <w:t xml:space="preserve"> Impact</w:t>
      </w:r>
      <w:r>
        <w:rPr>
          <w:rFonts w:ascii="Arial" w:hAnsi="Arial" w:cs="Arial"/>
          <w:sz w:val="24"/>
          <w:szCs w:val="24"/>
        </w:rPr>
        <w:t xml:space="preserve"> - </w:t>
      </w:r>
      <w:r w:rsidR="004B570D" w:rsidRPr="004B570D">
        <w:rPr>
          <w:rFonts w:ascii="Arial" w:hAnsi="Arial" w:cs="Arial"/>
          <w:sz w:val="24"/>
          <w:szCs w:val="24"/>
        </w:rPr>
        <w:t xml:space="preserve">All buildings </w:t>
      </w:r>
      <w:r w:rsidR="004817B6">
        <w:rPr>
          <w:rFonts w:ascii="Arial" w:hAnsi="Arial" w:cs="Arial"/>
          <w:sz w:val="24"/>
          <w:szCs w:val="24"/>
        </w:rPr>
        <w:t>subject to</w:t>
      </w:r>
      <w:r w:rsidR="004B570D" w:rsidRPr="004B570D">
        <w:rPr>
          <w:rFonts w:ascii="Arial" w:hAnsi="Arial" w:cs="Arial"/>
          <w:sz w:val="24"/>
          <w:szCs w:val="24"/>
        </w:rPr>
        <w:t xml:space="preserve"> </w:t>
      </w:r>
      <w:r w:rsidR="00EC55F9">
        <w:rPr>
          <w:rFonts w:ascii="Arial" w:hAnsi="Arial" w:cs="Arial"/>
          <w:sz w:val="24"/>
          <w:szCs w:val="24"/>
        </w:rPr>
        <w:t xml:space="preserve">MA </w:t>
      </w:r>
      <w:r w:rsidR="004B570D" w:rsidRPr="004B570D">
        <w:rPr>
          <w:rFonts w:ascii="Arial" w:hAnsi="Arial" w:cs="Arial"/>
          <w:sz w:val="24"/>
          <w:szCs w:val="24"/>
        </w:rPr>
        <w:t xml:space="preserve">LBER </w:t>
      </w:r>
      <w:r w:rsidR="0025776C">
        <w:rPr>
          <w:rFonts w:ascii="Arial" w:hAnsi="Arial" w:cs="Arial"/>
          <w:sz w:val="24"/>
          <w:szCs w:val="24"/>
        </w:rPr>
        <w:t>except residential</w:t>
      </w:r>
      <w:r w:rsidR="00AF5C45">
        <w:rPr>
          <w:rFonts w:ascii="Arial" w:hAnsi="Arial" w:cs="Arial"/>
          <w:sz w:val="24"/>
          <w:szCs w:val="24"/>
        </w:rPr>
        <w:t xml:space="preserve"> buildings</w:t>
      </w:r>
    </w:p>
    <w:p w14:paraId="77867606" w14:textId="77777777" w:rsidR="00FD5582" w:rsidRDefault="00FD5582" w:rsidP="004B570D">
      <w:pPr>
        <w:pStyle w:val="p3"/>
        <w:rPr>
          <w:rFonts w:ascii="Arial" w:hAnsi="Arial" w:cs="Arial"/>
          <w:sz w:val="24"/>
          <w:szCs w:val="24"/>
        </w:rPr>
      </w:pPr>
    </w:p>
    <w:p w14:paraId="141FB3B3" w14:textId="77777777" w:rsidR="000D32E2" w:rsidRDefault="000D32E2" w:rsidP="00B0460A">
      <w:pPr>
        <w:rPr>
          <w:rFonts w:ascii="Arial" w:hAnsi="Arial" w:cs="Arial"/>
          <w:b/>
          <w:bCs/>
        </w:rPr>
      </w:pPr>
    </w:p>
    <w:p w14:paraId="5C4BD69D" w14:textId="75608D75" w:rsidR="004B570D" w:rsidRDefault="004B570D" w:rsidP="00B0460A">
      <w:pPr>
        <w:rPr>
          <w:rFonts w:ascii="Arial" w:hAnsi="Arial" w:cs="Arial"/>
          <w:b/>
          <w:bCs/>
        </w:rPr>
      </w:pPr>
      <w:r w:rsidRPr="00FD5582">
        <w:rPr>
          <w:rFonts w:ascii="Arial" w:hAnsi="Arial" w:cs="Arial"/>
          <w:b/>
          <w:bCs/>
        </w:rPr>
        <w:t>Climate impact</w:t>
      </w:r>
    </w:p>
    <w:p w14:paraId="57E105EA" w14:textId="77777777" w:rsidR="000C1F45" w:rsidRDefault="000C1F45" w:rsidP="00B0460A">
      <w:pPr>
        <w:rPr>
          <w:rFonts w:ascii="Arial" w:hAnsi="Arial" w:cs="Arial"/>
          <w:b/>
          <w:bCs/>
        </w:rPr>
      </w:pPr>
    </w:p>
    <w:p w14:paraId="38F9A40C" w14:textId="63262326" w:rsidR="004B570D" w:rsidRDefault="000C1F45" w:rsidP="004B570D">
      <w:pPr>
        <w:pStyle w:val="p3"/>
        <w:rPr>
          <w:rFonts w:ascii="Arial" w:hAnsi="Arial" w:cs="Arial"/>
          <w:sz w:val="24"/>
          <w:szCs w:val="24"/>
        </w:rPr>
      </w:pPr>
      <w:r w:rsidRPr="00D662AA">
        <w:rPr>
          <w:rFonts w:ascii="Arial" w:hAnsi="Arial" w:cs="Arial"/>
          <w:i/>
          <w:iCs/>
          <w:sz w:val="24"/>
          <w:szCs w:val="24"/>
        </w:rPr>
        <w:t>High Impact</w:t>
      </w:r>
      <w:r>
        <w:rPr>
          <w:rFonts w:ascii="Arial" w:hAnsi="Arial" w:cs="Arial"/>
          <w:sz w:val="24"/>
          <w:szCs w:val="24"/>
        </w:rPr>
        <w:t xml:space="preserve"> - </w:t>
      </w:r>
      <w:r w:rsidR="006F5993">
        <w:rPr>
          <w:rFonts w:ascii="Arial" w:hAnsi="Arial" w:cs="Arial"/>
          <w:sz w:val="24"/>
          <w:szCs w:val="24"/>
        </w:rPr>
        <w:t>Total</w:t>
      </w:r>
      <w:r w:rsidR="004B570D" w:rsidRPr="004B570D">
        <w:rPr>
          <w:rFonts w:ascii="Arial" w:hAnsi="Arial" w:cs="Arial"/>
          <w:sz w:val="24"/>
          <w:szCs w:val="24"/>
        </w:rPr>
        <w:t xml:space="preserve"> elimination of GHG emissions from </w:t>
      </w:r>
      <w:r w:rsidR="00EC55F9">
        <w:rPr>
          <w:rFonts w:ascii="Arial" w:hAnsi="Arial" w:cs="Arial"/>
          <w:sz w:val="24"/>
          <w:szCs w:val="24"/>
        </w:rPr>
        <w:t>a</w:t>
      </w:r>
      <w:r w:rsidR="00EC55F9" w:rsidRPr="004B570D">
        <w:rPr>
          <w:rFonts w:ascii="Arial" w:hAnsi="Arial" w:cs="Arial"/>
          <w:sz w:val="24"/>
          <w:szCs w:val="24"/>
        </w:rPr>
        <w:t xml:space="preserve">ll buildings </w:t>
      </w:r>
      <w:r w:rsidR="00F21FC4">
        <w:rPr>
          <w:rFonts w:ascii="Arial" w:hAnsi="Arial" w:cs="Arial"/>
          <w:sz w:val="24"/>
          <w:szCs w:val="24"/>
        </w:rPr>
        <w:t xml:space="preserve">will result in a </w:t>
      </w:r>
      <w:r w:rsidR="00406AD5">
        <w:rPr>
          <w:rFonts w:ascii="Arial" w:hAnsi="Arial" w:cs="Arial"/>
          <w:sz w:val="24"/>
          <w:szCs w:val="24"/>
        </w:rPr>
        <w:t>4</w:t>
      </w:r>
      <w:r w:rsidR="00A32353">
        <w:rPr>
          <w:rFonts w:ascii="Arial" w:hAnsi="Arial" w:cs="Arial"/>
          <w:sz w:val="24"/>
          <w:szCs w:val="24"/>
        </w:rPr>
        <w:t>3</w:t>
      </w:r>
      <w:r w:rsidR="004B570D" w:rsidRPr="004B570D">
        <w:rPr>
          <w:rFonts w:ascii="Arial" w:hAnsi="Arial" w:cs="Arial"/>
          <w:sz w:val="24"/>
          <w:szCs w:val="24"/>
        </w:rPr>
        <w:t xml:space="preserve"> % reduction in</w:t>
      </w:r>
      <w:r w:rsidR="00EC750B">
        <w:rPr>
          <w:rFonts w:ascii="Arial" w:hAnsi="Arial" w:cs="Arial"/>
          <w:sz w:val="24"/>
          <w:szCs w:val="24"/>
        </w:rPr>
        <w:t xml:space="preserve"> </w:t>
      </w:r>
      <w:r>
        <w:rPr>
          <w:rFonts w:ascii="Arial" w:hAnsi="Arial" w:cs="Arial"/>
          <w:sz w:val="24"/>
          <w:szCs w:val="24"/>
        </w:rPr>
        <w:t xml:space="preserve">Brookline’s </w:t>
      </w:r>
      <w:r w:rsidR="004B570D" w:rsidRPr="004B570D">
        <w:rPr>
          <w:rFonts w:ascii="Arial" w:hAnsi="Arial" w:cs="Arial"/>
          <w:sz w:val="24"/>
          <w:szCs w:val="24"/>
        </w:rPr>
        <w:t>GHG emissions</w:t>
      </w:r>
    </w:p>
    <w:p w14:paraId="02ABDDF4" w14:textId="77777777" w:rsidR="00EC750B" w:rsidRPr="004B570D" w:rsidRDefault="00EC750B" w:rsidP="004B570D">
      <w:pPr>
        <w:pStyle w:val="p3"/>
        <w:rPr>
          <w:rFonts w:ascii="Arial" w:hAnsi="Arial" w:cs="Arial"/>
          <w:sz w:val="24"/>
          <w:szCs w:val="24"/>
        </w:rPr>
      </w:pPr>
    </w:p>
    <w:p w14:paraId="00FE3544" w14:textId="39319CC5" w:rsidR="004B570D" w:rsidRDefault="000C1F45" w:rsidP="004B570D">
      <w:pPr>
        <w:pStyle w:val="p3"/>
        <w:rPr>
          <w:rFonts w:ascii="Arial" w:hAnsi="Arial" w:cs="Arial"/>
          <w:sz w:val="24"/>
          <w:szCs w:val="24"/>
        </w:rPr>
      </w:pPr>
      <w:r w:rsidRPr="00D662AA">
        <w:rPr>
          <w:rStyle w:val="s4"/>
          <w:rFonts w:ascii="Arial" w:eastAsiaTheme="majorEastAsia" w:hAnsi="Arial" w:cs="Arial"/>
          <w:i/>
          <w:iCs/>
          <w:sz w:val="24"/>
          <w:szCs w:val="24"/>
        </w:rPr>
        <w:t>Medium Impact</w:t>
      </w:r>
      <w:r>
        <w:rPr>
          <w:rStyle w:val="s4"/>
          <w:rFonts w:ascii="Arial" w:eastAsiaTheme="majorEastAsia" w:hAnsi="Arial" w:cs="Arial"/>
          <w:sz w:val="24"/>
          <w:szCs w:val="24"/>
        </w:rPr>
        <w:t xml:space="preserve"> - </w:t>
      </w:r>
      <w:r w:rsidR="006F5993">
        <w:rPr>
          <w:rStyle w:val="s4"/>
          <w:rFonts w:ascii="Arial" w:eastAsiaTheme="majorEastAsia" w:hAnsi="Arial" w:cs="Arial"/>
          <w:sz w:val="24"/>
          <w:szCs w:val="24"/>
        </w:rPr>
        <w:t>Total</w:t>
      </w:r>
      <w:r w:rsidR="004B570D" w:rsidRPr="004B570D">
        <w:rPr>
          <w:rFonts w:ascii="Arial" w:hAnsi="Arial" w:cs="Arial"/>
          <w:sz w:val="24"/>
          <w:szCs w:val="24"/>
        </w:rPr>
        <w:t xml:space="preserve"> elimination of GHG emissions from </w:t>
      </w:r>
      <w:r w:rsidR="00EC55F9">
        <w:rPr>
          <w:rFonts w:ascii="Arial" w:hAnsi="Arial" w:cs="Arial"/>
          <w:sz w:val="24"/>
          <w:szCs w:val="24"/>
        </w:rPr>
        <w:t xml:space="preserve">all </w:t>
      </w:r>
      <w:r w:rsidR="004B570D" w:rsidRPr="004B570D">
        <w:rPr>
          <w:rFonts w:ascii="Arial" w:hAnsi="Arial" w:cs="Arial"/>
          <w:sz w:val="24"/>
          <w:szCs w:val="24"/>
        </w:rPr>
        <w:t>buildings</w:t>
      </w:r>
      <w:r>
        <w:rPr>
          <w:rFonts w:ascii="Arial" w:hAnsi="Arial" w:cs="Arial"/>
          <w:sz w:val="24"/>
          <w:szCs w:val="24"/>
        </w:rPr>
        <w:t xml:space="preserve"> subject to MA LBER </w:t>
      </w:r>
      <w:r w:rsidR="00F21FC4">
        <w:rPr>
          <w:rFonts w:ascii="Arial" w:hAnsi="Arial" w:cs="Arial"/>
          <w:sz w:val="24"/>
          <w:szCs w:val="24"/>
        </w:rPr>
        <w:t xml:space="preserve">will result in a </w:t>
      </w:r>
      <w:r w:rsidR="00406AD5">
        <w:rPr>
          <w:rFonts w:ascii="Arial" w:hAnsi="Arial" w:cs="Arial"/>
          <w:sz w:val="24"/>
          <w:szCs w:val="24"/>
        </w:rPr>
        <w:t>19</w:t>
      </w:r>
      <w:r w:rsidR="004B570D" w:rsidRPr="004B570D">
        <w:rPr>
          <w:rFonts w:ascii="Arial" w:hAnsi="Arial" w:cs="Arial"/>
          <w:sz w:val="24"/>
          <w:szCs w:val="24"/>
        </w:rPr>
        <w:t>% reduction in</w:t>
      </w:r>
      <w:r w:rsidR="00EC750B">
        <w:rPr>
          <w:rFonts w:ascii="Arial" w:hAnsi="Arial" w:cs="Arial"/>
          <w:sz w:val="24"/>
          <w:szCs w:val="24"/>
        </w:rPr>
        <w:t xml:space="preserve"> </w:t>
      </w:r>
      <w:r w:rsidR="004B570D" w:rsidRPr="004B570D">
        <w:rPr>
          <w:rFonts w:ascii="Arial" w:hAnsi="Arial" w:cs="Arial"/>
          <w:sz w:val="24"/>
          <w:szCs w:val="24"/>
        </w:rPr>
        <w:t>GHG emissions</w:t>
      </w:r>
    </w:p>
    <w:p w14:paraId="2B7C7EB5" w14:textId="77777777" w:rsidR="00F64F9F" w:rsidRDefault="00F64F9F" w:rsidP="004B570D">
      <w:pPr>
        <w:pStyle w:val="p3"/>
        <w:rPr>
          <w:rFonts w:ascii="Arial" w:hAnsi="Arial" w:cs="Arial"/>
          <w:sz w:val="24"/>
          <w:szCs w:val="24"/>
        </w:rPr>
      </w:pPr>
    </w:p>
    <w:p w14:paraId="69A6D675" w14:textId="77777777" w:rsidR="00807AAB" w:rsidRDefault="00F64F9F" w:rsidP="00EC750B">
      <w:pPr>
        <w:pStyle w:val="p3"/>
        <w:rPr>
          <w:rFonts w:ascii="Arial" w:hAnsi="Arial" w:cs="Arial"/>
          <w:sz w:val="24"/>
          <w:szCs w:val="24"/>
        </w:rPr>
      </w:pPr>
      <w:r w:rsidRPr="00D662AA">
        <w:rPr>
          <w:rStyle w:val="s4"/>
          <w:rFonts w:ascii="Arial" w:eastAsiaTheme="majorEastAsia" w:hAnsi="Arial" w:cs="Arial"/>
          <w:i/>
          <w:iCs/>
          <w:sz w:val="24"/>
          <w:szCs w:val="24"/>
        </w:rPr>
        <w:t>Low Impact</w:t>
      </w:r>
      <w:r>
        <w:rPr>
          <w:rStyle w:val="s4"/>
          <w:rFonts w:ascii="Arial" w:eastAsiaTheme="majorEastAsia" w:hAnsi="Arial" w:cs="Arial"/>
          <w:sz w:val="24"/>
          <w:szCs w:val="24"/>
        </w:rPr>
        <w:t xml:space="preserve"> </w:t>
      </w:r>
      <w:r w:rsidR="00A41D77">
        <w:rPr>
          <w:rStyle w:val="s4"/>
          <w:rFonts w:ascii="Arial" w:eastAsiaTheme="majorEastAsia" w:hAnsi="Arial" w:cs="Arial"/>
          <w:sz w:val="24"/>
          <w:szCs w:val="24"/>
        </w:rPr>
        <w:t>–</w:t>
      </w:r>
      <w:r>
        <w:rPr>
          <w:rStyle w:val="s4"/>
          <w:rFonts w:ascii="Arial" w:eastAsiaTheme="majorEastAsia" w:hAnsi="Arial" w:cs="Arial"/>
          <w:sz w:val="24"/>
          <w:szCs w:val="24"/>
        </w:rPr>
        <w:t xml:space="preserve"> </w:t>
      </w:r>
      <w:r w:rsidR="006F5993">
        <w:rPr>
          <w:rStyle w:val="s4"/>
          <w:rFonts w:ascii="Arial" w:eastAsiaTheme="majorEastAsia" w:hAnsi="Arial" w:cs="Arial"/>
          <w:sz w:val="24"/>
          <w:szCs w:val="24"/>
        </w:rPr>
        <w:t>Total</w:t>
      </w:r>
      <w:r w:rsidR="00A41D77">
        <w:rPr>
          <w:rStyle w:val="s4"/>
          <w:rFonts w:ascii="Arial" w:eastAsiaTheme="majorEastAsia" w:hAnsi="Arial" w:cs="Arial"/>
          <w:sz w:val="24"/>
          <w:szCs w:val="24"/>
        </w:rPr>
        <w:t xml:space="preserve"> </w:t>
      </w:r>
      <w:r w:rsidRPr="004B570D">
        <w:rPr>
          <w:rFonts w:ascii="Arial" w:hAnsi="Arial" w:cs="Arial"/>
          <w:sz w:val="24"/>
          <w:szCs w:val="24"/>
        </w:rPr>
        <w:t>elimination of GHG emissions from buildings</w:t>
      </w:r>
      <w:r>
        <w:rPr>
          <w:rFonts w:ascii="Arial" w:hAnsi="Arial" w:cs="Arial"/>
          <w:sz w:val="24"/>
          <w:szCs w:val="24"/>
        </w:rPr>
        <w:t xml:space="preserve"> subject to MA LBER</w:t>
      </w:r>
      <w:r w:rsidR="00160F48">
        <w:rPr>
          <w:rFonts w:ascii="Arial" w:hAnsi="Arial" w:cs="Arial"/>
          <w:sz w:val="24"/>
          <w:szCs w:val="24"/>
        </w:rPr>
        <w:t xml:space="preserve">, </w:t>
      </w:r>
      <w:r>
        <w:rPr>
          <w:rFonts w:ascii="Arial" w:hAnsi="Arial" w:cs="Arial"/>
          <w:sz w:val="24"/>
          <w:szCs w:val="24"/>
        </w:rPr>
        <w:t xml:space="preserve">except </w:t>
      </w:r>
      <w:r w:rsidR="00605B3D">
        <w:rPr>
          <w:rFonts w:ascii="Arial" w:hAnsi="Arial" w:cs="Arial"/>
          <w:sz w:val="24"/>
          <w:szCs w:val="24"/>
        </w:rPr>
        <w:t>residential</w:t>
      </w:r>
      <w:r w:rsidR="00F21FC4">
        <w:rPr>
          <w:rFonts w:ascii="Arial" w:hAnsi="Arial" w:cs="Arial"/>
          <w:sz w:val="24"/>
          <w:szCs w:val="24"/>
        </w:rPr>
        <w:t xml:space="preserve"> </w:t>
      </w:r>
      <w:r w:rsidR="00160F48">
        <w:rPr>
          <w:rFonts w:ascii="Arial" w:hAnsi="Arial" w:cs="Arial"/>
          <w:sz w:val="24"/>
          <w:szCs w:val="24"/>
        </w:rPr>
        <w:t xml:space="preserve">buildings, </w:t>
      </w:r>
      <w:r w:rsidR="00F21FC4">
        <w:rPr>
          <w:rFonts w:ascii="Arial" w:hAnsi="Arial" w:cs="Arial"/>
          <w:sz w:val="24"/>
          <w:szCs w:val="24"/>
        </w:rPr>
        <w:t xml:space="preserve">will result in a </w:t>
      </w:r>
      <w:r w:rsidR="00605B3D">
        <w:rPr>
          <w:rFonts w:ascii="Arial" w:hAnsi="Arial" w:cs="Arial"/>
          <w:sz w:val="24"/>
          <w:szCs w:val="24"/>
        </w:rPr>
        <w:t>1</w:t>
      </w:r>
      <w:r w:rsidR="009E272D">
        <w:rPr>
          <w:rFonts w:ascii="Arial" w:hAnsi="Arial" w:cs="Arial"/>
          <w:sz w:val="24"/>
          <w:szCs w:val="24"/>
        </w:rPr>
        <w:t>2</w:t>
      </w:r>
      <w:r w:rsidRPr="004B570D">
        <w:rPr>
          <w:rFonts w:ascii="Arial" w:hAnsi="Arial" w:cs="Arial"/>
          <w:sz w:val="24"/>
          <w:szCs w:val="24"/>
        </w:rPr>
        <w:t>% reduction in</w:t>
      </w:r>
      <w:r>
        <w:rPr>
          <w:rFonts w:ascii="Arial" w:hAnsi="Arial" w:cs="Arial"/>
          <w:sz w:val="24"/>
          <w:szCs w:val="24"/>
        </w:rPr>
        <w:t xml:space="preserve"> </w:t>
      </w:r>
      <w:r w:rsidRPr="004B570D">
        <w:rPr>
          <w:rFonts w:ascii="Arial" w:hAnsi="Arial" w:cs="Arial"/>
          <w:sz w:val="24"/>
          <w:szCs w:val="24"/>
        </w:rPr>
        <w:t>GHG emission</w:t>
      </w:r>
      <w:r w:rsidR="00807AAB">
        <w:rPr>
          <w:rFonts w:ascii="Arial" w:hAnsi="Arial" w:cs="Arial"/>
          <w:sz w:val="24"/>
          <w:szCs w:val="24"/>
        </w:rPr>
        <w:t>s</w:t>
      </w:r>
    </w:p>
    <w:p w14:paraId="6922C15A" w14:textId="77777777" w:rsidR="000D32E2" w:rsidRDefault="000D32E2" w:rsidP="00EC750B">
      <w:pPr>
        <w:pStyle w:val="p3"/>
        <w:rPr>
          <w:rFonts w:ascii="Arial" w:hAnsi="Arial" w:cs="Arial"/>
          <w:b/>
          <w:bCs/>
          <w:sz w:val="24"/>
          <w:szCs w:val="24"/>
        </w:rPr>
      </w:pPr>
    </w:p>
    <w:p w14:paraId="11B56F66" w14:textId="77777777" w:rsidR="00A61CFE" w:rsidRDefault="00A61CFE" w:rsidP="00EC750B">
      <w:pPr>
        <w:pStyle w:val="p3"/>
        <w:rPr>
          <w:rFonts w:ascii="Arial" w:hAnsi="Arial" w:cs="Arial"/>
          <w:b/>
          <w:bCs/>
          <w:sz w:val="24"/>
          <w:szCs w:val="24"/>
        </w:rPr>
      </w:pPr>
    </w:p>
    <w:p w14:paraId="017B2B5C" w14:textId="35C99712" w:rsidR="00A1524A" w:rsidRDefault="00120B46" w:rsidP="00EC750B">
      <w:pPr>
        <w:pStyle w:val="p3"/>
        <w:rPr>
          <w:rFonts w:ascii="Arial" w:hAnsi="Arial" w:cs="Arial"/>
          <w:sz w:val="24"/>
          <w:szCs w:val="24"/>
        </w:rPr>
      </w:pPr>
      <w:r>
        <w:rPr>
          <w:rFonts w:ascii="Arial" w:hAnsi="Arial" w:cs="Arial"/>
          <w:b/>
          <w:bCs/>
          <w:sz w:val="24"/>
          <w:szCs w:val="24"/>
        </w:rPr>
        <w:t>Cost to Implement</w:t>
      </w:r>
      <w:r w:rsidR="00855C1E">
        <w:rPr>
          <w:rFonts w:ascii="Arial" w:hAnsi="Arial" w:cs="Arial"/>
          <w:b/>
          <w:bCs/>
          <w:sz w:val="24"/>
          <w:szCs w:val="24"/>
        </w:rPr>
        <w:t xml:space="preserve"> (Town Government) </w:t>
      </w:r>
      <w:r w:rsidR="00DC3F17">
        <w:rPr>
          <w:rFonts w:ascii="Arial" w:hAnsi="Arial" w:cs="Arial"/>
          <w:b/>
          <w:bCs/>
          <w:sz w:val="24"/>
          <w:szCs w:val="24"/>
        </w:rPr>
        <w:t xml:space="preserve"> </w:t>
      </w:r>
    </w:p>
    <w:p w14:paraId="0E7965F1" w14:textId="77777777" w:rsidR="00A1524A" w:rsidRDefault="00A1524A" w:rsidP="00EC750B">
      <w:pPr>
        <w:pStyle w:val="p3"/>
        <w:rPr>
          <w:rFonts w:ascii="Arial" w:hAnsi="Arial" w:cs="Arial"/>
          <w:sz w:val="24"/>
          <w:szCs w:val="24"/>
        </w:rPr>
      </w:pPr>
    </w:p>
    <w:p w14:paraId="75A0B81B" w14:textId="5FF0383D" w:rsidR="004B570D" w:rsidRDefault="007249D2" w:rsidP="004B570D">
      <w:pPr>
        <w:pStyle w:val="p3"/>
        <w:rPr>
          <w:rFonts w:ascii="Arial" w:hAnsi="Arial" w:cs="Arial"/>
          <w:sz w:val="24"/>
          <w:szCs w:val="24"/>
        </w:rPr>
      </w:pPr>
      <w:r>
        <w:rPr>
          <w:rFonts w:ascii="Arial" w:hAnsi="Arial" w:cs="Arial"/>
          <w:sz w:val="24"/>
          <w:szCs w:val="24"/>
        </w:rPr>
        <w:t xml:space="preserve">The initial cost to implement BERDO will be </w:t>
      </w:r>
      <w:r w:rsidR="00120B46" w:rsidRPr="00AF06F3">
        <w:rPr>
          <w:rFonts w:ascii="Arial" w:hAnsi="Arial" w:cs="Arial"/>
          <w:color w:val="FF0000"/>
          <w:sz w:val="24"/>
          <w:szCs w:val="24"/>
        </w:rPr>
        <w:t>$</w:t>
      </w:r>
      <w:proofErr w:type="gramStart"/>
      <w:r w:rsidR="004B570D" w:rsidRPr="00AF06F3">
        <w:rPr>
          <w:rFonts w:ascii="Arial" w:hAnsi="Arial" w:cs="Arial"/>
          <w:color w:val="FF0000"/>
          <w:sz w:val="24"/>
          <w:szCs w:val="24"/>
        </w:rPr>
        <w:t>XXX,XXX</w:t>
      </w:r>
      <w:proofErr w:type="gramEnd"/>
      <w:r w:rsidR="00650E15">
        <w:rPr>
          <w:rFonts w:ascii="Arial" w:hAnsi="Arial" w:cs="Arial"/>
          <w:sz w:val="24"/>
          <w:szCs w:val="24"/>
        </w:rPr>
        <w:t xml:space="preserve">.  </w:t>
      </w:r>
      <w:r w:rsidR="004B570D" w:rsidRPr="004B570D">
        <w:rPr>
          <w:rFonts w:ascii="Arial" w:hAnsi="Arial" w:cs="Arial"/>
          <w:sz w:val="24"/>
          <w:szCs w:val="24"/>
        </w:rPr>
        <w:t>This might be offset or eliminated by</w:t>
      </w:r>
      <w:r>
        <w:rPr>
          <w:rFonts w:ascii="Arial" w:hAnsi="Arial" w:cs="Arial"/>
          <w:sz w:val="24"/>
          <w:szCs w:val="24"/>
        </w:rPr>
        <w:t xml:space="preserve"> </w:t>
      </w:r>
      <w:r w:rsidR="004B570D" w:rsidRPr="004B570D">
        <w:rPr>
          <w:rFonts w:ascii="Arial" w:hAnsi="Arial" w:cs="Arial"/>
          <w:sz w:val="24"/>
          <w:szCs w:val="24"/>
        </w:rPr>
        <w:t>adopting technology and methodology from other municipalities or the State.</w:t>
      </w:r>
    </w:p>
    <w:p w14:paraId="1E735BA5" w14:textId="77777777" w:rsidR="00DA2812" w:rsidRPr="004B570D" w:rsidRDefault="00DA2812" w:rsidP="004B570D">
      <w:pPr>
        <w:pStyle w:val="p3"/>
        <w:rPr>
          <w:rFonts w:ascii="Arial" w:hAnsi="Arial" w:cs="Arial"/>
          <w:sz w:val="24"/>
          <w:szCs w:val="24"/>
        </w:rPr>
      </w:pPr>
    </w:p>
    <w:p w14:paraId="31DD6DF6" w14:textId="0078A988" w:rsidR="004B570D" w:rsidRDefault="007249D2" w:rsidP="004B570D">
      <w:pPr>
        <w:pStyle w:val="p3"/>
        <w:rPr>
          <w:rFonts w:ascii="Arial" w:hAnsi="Arial" w:cs="Arial"/>
          <w:sz w:val="24"/>
          <w:szCs w:val="24"/>
        </w:rPr>
      </w:pPr>
      <w:r>
        <w:rPr>
          <w:rFonts w:ascii="Arial" w:hAnsi="Arial" w:cs="Arial"/>
          <w:sz w:val="24"/>
          <w:szCs w:val="24"/>
        </w:rPr>
        <w:t xml:space="preserve">Among </w:t>
      </w:r>
      <w:r w:rsidR="00120B46">
        <w:rPr>
          <w:rFonts w:ascii="Arial" w:hAnsi="Arial" w:cs="Arial"/>
          <w:sz w:val="24"/>
          <w:szCs w:val="24"/>
        </w:rPr>
        <w:t xml:space="preserve">the municipalities already having BERDO ordinances, Newton is most </w:t>
      </w:r>
      <w:proofErr w:type="gramStart"/>
      <w:r>
        <w:rPr>
          <w:rFonts w:ascii="Arial" w:hAnsi="Arial" w:cs="Arial"/>
          <w:sz w:val="24"/>
          <w:szCs w:val="24"/>
        </w:rPr>
        <w:t>similar</w:t>
      </w:r>
      <w:r w:rsidR="00120B46">
        <w:rPr>
          <w:rFonts w:ascii="Arial" w:hAnsi="Arial" w:cs="Arial"/>
          <w:sz w:val="24"/>
          <w:szCs w:val="24"/>
        </w:rPr>
        <w:t xml:space="preserve"> </w:t>
      </w:r>
      <w:r w:rsidR="00DC3F17">
        <w:rPr>
          <w:rFonts w:ascii="Arial" w:hAnsi="Arial" w:cs="Arial"/>
          <w:sz w:val="24"/>
          <w:szCs w:val="24"/>
        </w:rPr>
        <w:t>to</w:t>
      </w:r>
      <w:proofErr w:type="gramEnd"/>
      <w:r w:rsidR="00DC3F17">
        <w:rPr>
          <w:rFonts w:ascii="Arial" w:hAnsi="Arial" w:cs="Arial"/>
          <w:sz w:val="24"/>
          <w:szCs w:val="24"/>
        </w:rPr>
        <w:t xml:space="preserve"> </w:t>
      </w:r>
      <w:r w:rsidR="00120B46">
        <w:rPr>
          <w:rFonts w:ascii="Arial" w:hAnsi="Arial" w:cs="Arial"/>
          <w:sz w:val="24"/>
          <w:szCs w:val="24"/>
        </w:rPr>
        <w:t xml:space="preserve">Brookline.  The number and total floor area of Newton buildings subject to MA LBER is </w:t>
      </w:r>
      <w:r>
        <w:rPr>
          <w:rFonts w:ascii="Arial" w:hAnsi="Arial" w:cs="Arial"/>
          <w:sz w:val="24"/>
          <w:szCs w:val="24"/>
        </w:rPr>
        <w:t>comparable to</w:t>
      </w:r>
      <w:r w:rsidR="00920888">
        <w:rPr>
          <w:rFonts w:ascii="Arial" w:hAnsi="Arial" w:cs="Arial"/>
          <w:sz w:val="24"/>
          <w:szCs w:val="24"/>
        </w:rPr>
        <w:t xml:space="preserve"> </w:t>
      </w:r>
      <w:r w:rsidR="00120B46">
        <w:rPr>
          <w:rFonts w:ascii="Arial" w:hAnsi="Arial" w:cs="Arial"/>
          <w:sz w:val="24"/>
          <w:szCs w:val="24"/>
        </w:rPr>
        <w:t>Brookline’s.</w:t>
      </w:r>
      <w:r w:rsidR="00BF68B1">
        <w:rPr>
          <w:rFonts w:ascii="Arial" w:hAnsi="Arial" w:cs="Arial"/>
          <w:sz w:val="24"/>
          <w:szCs w:val="24"/>
        </w:rPr>
        <w:t xml:space="preserve">  Newton has allocated $290,000 per year to support </w:t>
      </w:r>
      <w:r w:rsidR="00BF68B1">
        <w:rPr>
          <w:rFonts w:ascii="Arial" w:hAnsi="Arial" w:cs="Arial"/>
          <w:sz w:val="24"/>
          <w:szCs w:val="24"/>
        </w:rPr>
        <w:lastRenderedPageBreak/>
        <w:t xml:space="preserve">BERDO, including one FTE.  </w:t>
      </w:r>
      <w:r w:rsidR="00DC3F17">
        <w:rPr>
          <w:rFonts w:ascii="Arial" w:hAnsi="Arial" w:cs="Arial"/>
          <w:sz w:val="24"/>
          <w:szCs w:val="24"/>
        </w:rPr>
        <w:t xml:space="preserve">Brookline </w:t>
      </w:r>
      <w:r w:rsidR="004B570D" w:rsidRPr="004B570D">
        <w:rPr>
          <w:rFonts w:ascii="Arial" w:hAnsi="Arial" w:cs="Arial"/>
          <w:sz w:val="24"/>
          <w:szCs w:val="24"/>
        </w:rPr>
        <w:t xml:space="preserve">might be </w:t>
      </w:r>
      <w:r w:rsidR="00DC3F17">
        <w:rPr>
          <w:rFonts w:ascii="Arial" w:hAnsi="Arial" w:cs="Arial"/>
          <w:sz w:val="24"/>
          <w:szCs w:val="24"/>
        </w:rPr>
        <w:t xml:space="preserve">able to </w:t>
      </w:r>
      <w:r w:rsidR="004B570D" w:rsidRPr="004B570D">
        <w:rPr>
          <w:rFonts w:ascii="Arial" w:hAnsi="Arial" w:cs="Arial"/>
          <w:sz w:val="24"/>
          <w:szCs w:val="24"/>
        </w:rPr>
        <w:t>offset</w:t>
      </w:r>
      <w:r w:rsidR="00DC3F17">
        <w:rPr>
          <w:rFonts w:ascii="Arial" w:hAnsi="Arial" w:cs="Arial"/>
          <w:sz w:val="24"/>
          <w:szCs w:val="24"/>
        </w:rPr>
        <w:t xml:space="preserve"> some cost </w:t>
      </w:r>
      <w:r w:rsidR="004B570D" w:rsidRPr="004B570D">
        <w:rPr>
          <w:rFonts w:ascii="Arial" w:hAnsi="Arial" w:cs="Arial"/>
          <w:sz w:val="24"/>
          <w:szCs w:val="24"/>
        </w:rPr>
        <w:t>by aggregating staffing efforts with other municipalities or the State.</w:t>
      </w:r>
    </w:p>
    <w:p w14:paraId="4058DFBF" w14:textId="77777777" w:rsidR="00A1524A" w:rsidRDefault="00A1524A" w:rsidP="004B570D">
      <w:pPr>
        <w:pStyle w:val="p3"/>
        <w:rPr>
          <w:rFonts w:ascii="Arial" w:hAnsi="Arial" w:cs="Arial"/>
          <w:sz w:val="24"/>
          <w:szCs w:val="24"/>
        </w:rPr>
      </w:pPr>
    </w:p>
    <w:p w14:paraId="22C06EA4" w14:textId="227EB0BD" w:rsidR="00A1524A" w:rsidRDefault="00A1524A" w:rsidP="004B570D">
      <w:pPr>
        <w:pStyle w:val="p3"/>
        <w:rPr>
          <w:rFonts w:ascii="Arial" w:hAnsi="Arial" w:cs="Arial"/>
          <w:sz w:val="24"/>
          <w:szCs w:val="24"/>
        </w:rPr>
      </w:pPr>
      <w:r>
        <w:rPr>
          <w:rFonts w:ascii="Arial" w:hAnsi="Arial" w:cs="Arial"/>
          <w:sz w:val="24"/>
          <w:szCs w:val="24"/>
        </w:rPr>
        <w:t>Costs</w:t>
      </w:r>
      <w:r w:rsidR="00DC3F17">
        <w:rPr>
          <w:rFonts w:ascii="Arial" w:hAnsi="Arial" w:cs="Arial"/>
          <w:sz w:val="24"/>
          <w:szCs w:val="24"/>
        </w:rPr>
        <w:t xml:space="preserve"> to implement </w:t>
      </w:r>
      <w:r>
        <w:rPr>
          <w:rFonts w:ascii="Arial" w:hAnsi="Arial" w:cs="Arial"/>
          <w:sz w:val="24"/>
          <w:szCs w:val="24"/>
        </w:rPr>
        <w:t xml:space="preserve">will be more than proportionately higher if one to three family homes are included due to </w:t>
      </w:r>
      <w:r w:rsidR="00DC3F17">
        <w:rPr>
          <w:rFonts w:ascii="Arial" w:hAnsi="Arial" w:cs="Arial"/>
          <w:sz w:val="24"/>
          <w:szCs w:val="24"/>
        </w:rPr>
        <w:t xml:space="preserve">the </w:t>
      </w:r>
      <w:r>
        <w:rPr>
          <w:rFonts w:ascii="Arial" w:hAnsi="Arial" w:cs="Arial"/>
          <w:sz w:val="24"/>
          <w:szCs w:val="24"/>
        </w:rPr>
        <w:t xml:space="preserve">large number of buildings and less ability of individual homeowners </w:t>
      </w:r>
      <w:r w:rsidR="00DC3F17">
        <w:rPr>
          <w:rFonts w:ascii="Arial" w:hAnsi="Arial" w:cs="Arial"/>
          <w:sz w:val="24"/>
          <w:szCs w:val="24"/>
        </w:rPr>
        <w:t xml:space="preserve">to </w:t>
      </w:r>
      <w:r>
        <w:rPr>
          <w:rFonts w:ascii="Arial" w:hAnsi="Arial" w:cs="Arial"/>
          <w:sz w:val="24"/>
          <w:szCs w:val="24"/>
        </w:rPr>
        <w:t>navigat</w:t>
      </w:r>
      <w:r w:rsidR="00DC3F17">
        <w:rPr>
          <w:rFonts w:ascii="Arial" w:hAnsi="Arial" w:cs="Arial"/>
          <w:sz w:val="24"/>
          <w:szCs w:val="24"/>
        </w:rPr>
        <w:t>e</w:t>
      </w:r>
      <w:r>
        <w:rPr>
          <w:rFonts w:ascii="Arial" w:hAnsi="Arial" w:cs="Arial"/>
          <w:sz w:val="24"/>
          <w:szCs w:val="24"/>
        </w:rPr>
        <w:t xml:space="preserve"> the reporting system.</w:t>
      </w:r>
    </w:p>
    <w:p w14:paraId="009044EC" w14:textId="77777777" w:rsidR="00DA2812" w:rsidRPr="004B570D" w:rsidRDefault="00DA2812" w:rsidP="004B570D">
      <w:pPr>
        <w:pStyle w:val="p3"/>
        <w:rPr>
          <w:rFonts w:ascii="Arial" w:hAnsi="Arial" w:cs="Arial"/>
          <w:sz w:val="24"/>
          <w:szCs w:val="24"/>
        </w:rPr>
      </w:pPr>
    </w:p>
    <w:p w14:paraId="16D04F4F" w14:textId="667B5B0C" w:rsidR="004B570D" w:rsidRDefault="004B570D" w:rsidP="004B570D">
      <w:pPr>
        <w:pStyle w:val="p3"/>
        <w:rPr>
          <w:rFonts w:ascii="Arial" w:hAnsi="Arial" w:cs="Arial"/>
          <w:b/>
          <w:bCs/>
          <w:sz w:val="24"/>
          <w:szCs w:val="24"/>
        </w:rPr>
      </w:pPr>
      <w:r w:rsidRPr="00EC750B">
        <w:rPr>
          <w:rFonts w:ascii="Arial" w:hAnsi="Arial" w:cs="Arial"/>
          <w:b/>
          <w:bCs/>
          <w:sz w:val="24"/>
          <w:szCs w:val="24"/>
        </w:rPr>
        <w:t>Revenue</w:t>
      </w:r>
      <w:r w:rsidR="00120B46">
        <w:rPr>
          <w:rFonts w:ascii="Arial" w:hAnsi="Arial" w:cs="Arial"/>
          <w:b/>
          <w:bCs/>
          <w:sz w:val="24"/>
          <w:szCs w:val="24"/>
        </w:rPr>
        <w:t xml:space="preserve"> From </w:t>
      </w:r>
      <w:r w:rsidR="00A41D77">
        <w:rPr>
          <w:rFonts w:ascii="Arial" w:hAnsi="Arial" w:cs="Arial"/>
          <w:b/>
          <w:bCs/>
          <w:sz w:val="24"/>
          <w:szCs w:val="24"/>
        </w:rPr>
        <w:t xml:space="preserve">Large Building </w:t>
      </w:r>
      <w:r w:rsidR="00120B46">
        <w:rPr>
          <w:rFonts w:ascii="Arial" w:hAnsi="Arial" w:cs="Arial"/>
          <w:b/>
          <w:bCs/>
          <w:sz w:val="24"/>
          <w:szCs w:val="24"/>
        </w:rPr>
        <w:t>Alternative Compliance Payments</w:t>
      </w:r>
    </w:p>
    <w:p w14:paraId="27523EA2" w14:textId="77777777" w:rsidR="00B62860" w:rsidRDefault="00B62860" w:rsidP="004B570D">
      <w:pPr>
        <w:pStyle w:val="p3"/>
        <w:rPr>
          <w:rFonts w:ascii="Arial" w:hAnsi="Arial" w:cs="Arial"/>
          <w:b/>
          <w:bCs/>
          <w:sz w:val="24"/>
          <w:szCs w:val="24"/>
        </w:rPr>
      </w:pPr>
    </w:p>
    <w:p w14:paraId="528ED38D" w14:textId="3F9A6A82" w:rsidR="00B62860" w:rsidRPr="00B62860" w:rsidRDefault="00B62860" w:rsidP="004B570D">
      <w:pPr>
        <w:pStyle w:val="p3"/>
        <w:rPr>
          <w:rFonts w:ascii="Arial" w:hAnsi="Arial" w:cs="Arial"/>
          <w:sz w:val="24"/>
          <w:szCs w:val="24"/>
        </w:rPr>
      </w:pPr>
      <w:r>
        <w:rPr>
          <w:rFonts w:ascii="Arial" w:hAnsi="Arial" w:cs="Arial"/>
          <w:sz w:val="24"/>
          <w:szCs w:val="24"/>
        </w:rPr>
        <w:t>The following examples are based on residential and commercial e</w:t>
      </w:r>
      <w:r w:rsidR="00F333B6">
        <w:rPr>
          <w:rFonts w:ascii="Arial" w:hAnsi="Arial" w:cs="Arial"/>
          <w:sz w:val="24"/>
          <w:szCs w:val="24"/>
        </w:rPr>
        <w:t>m</w:t>
      </w:r>
      <w:r>
        <w:rPr>
          <w:rFonts w:ascii="Arial" w:hAnsi="Arial" w:cs="Arial"/>
          <w:sz w:val="24"/>
          <w:szCs w:val="24"/>
        </w:rPr>
        <w:t>issions from onsite fossil fuel combustion reported by Blue Strike</w:t>
      </w:r>
      <w:r w:rsidR="00DC3F17">
        <w:rPr>
          <w:rFonts w:ascii="Arial" w:hAnsi="Arial" w:cs="Arial"/>
          <w:sz w:val="24"/>
          <w:szCs w:val="24"/>
        </w:rPr>
        <w:t xml:space="preserve">’s </w:t>
      </w:r>
      <w:r>
        <w:rPr>
          <w:rFonts w:ascii="Arial" w:hAnsi="Arial" w:cs="Arial"/>
          <w:sz w:val="24"/>
          <w:szCs w:val="24"/>
        </w:rPr>
        <w:t>2023 Brookline GHG Inventory</w:t>
      </w:r>
      <w:r w:rsidR="002239B8">
        <w:rPr>
          <w:rFonts w:ascii="Arial" w:hAnsi="Arial" w:cs="Arial"/>
          <w:sz w:val="24"/>
          <w:szCs w:val="24"/>
        </w:rPr>
        <w:t>.  The emissions standards are based on the Newton BERDO ordinance.  It should be noted that while Boston is enforcing BERDO compliance for both residential and non-residential properties, Newton and Cambridge do not require compliance for residential properties.</w:t>
      </w:r>
    </w:p>
    <w:p w14:paraId="40C2B675" w14:textId="77777777" w:rsidR="00DA2812" w:rsidRPr="004B570D" w:rsidRDefault="00DA2812" w:rsidP="004B570D">
      <w:pPr>
        <w:pStyle w:val="p3"/>
        <w:rPr>
          <w:rFonts w:ascii="Arial" w:hAnsi="Arial" w:cs="Arial"/>
          <w:sz w:val="24"/>
          <w:szCs w:val="24"/>
        </w:rPr>
      </w:pPr>
    </w:p>
    <w:p w14:paraId="1407FB6D" w14:textId="4ECC3889" w:rsidR="00C54586" w:rsidRDefault="00C54586" w:rsidP="004B570D">
      <w:pPr>
        <w:pStyle w:val="p3"/>
        <w:rPr>
          <w:rFonts w:ascii="Arial" w:hAnsi="Arial" w:cs="Arial"/>
          <w:sz w:val="24"/>
          <w:szCs w:val="24"/>
        </w:rPr>
      </w:pPr>
    </w:p>
    <w:p w14:paraId="2BA776EC" w14:textId="77777777" w:rsidR="00581E4C" w:rsidRDefault="00581E4C" w:rsidP="004B570D">
      <w:pPr>
        <w:pStyle w:val="p3"/>
        <w:rPr>
          <w:rFonts w:ascii="Arial" w:hAnsi="Arial" w:cs="Arial"/>
          <w:sz w:val="24"/>
          <w:szCs w:val="24"/>
        </w:rPr>
      </w:pPr>
    </w:p>
    <w:p w14:paraId="6ECF0BFA" w14:textId="45E607E5" w:rsidR="00581E4C" w:rsidRDefault="00815910" w:rsidP="004B570D">
      <w:pPr>
        <w:pStyle w:val="p3"/>
        <w:rPr>
          <w:rFonts w:ascii="Arial" w:hAnsi="Arial" w:cs="Arial"/>
          <w:sz w:val="24"/>
          <w:szCs w:val="24"/>
        </w:rPr>
      </w:pPr>
      <w:r w:rsidRPr="00815910">
        <w:rPr>
          <w:rFonts w:ascii="Arial" w:hAnsi="Arial" w:cs="Arial"/>
          <w:noProof/>
          <w:sz w:val="24"/>
          <w:szCs w:val="24"/>
        </w:rPr>
        <w:drawing>
          <wp:inline distT="0" distB="0" distL="0" distR="0" wp14:anchorId="24C9B5F5" wp14:editId="1E7F8EE0">
            <wp:extent cx="5943600" cy="1130300"/>
            <wp:effectExtent l="0" t="0" r="0" b="0"/>
            <wp:docPr id="1117786900" name="Picture 1"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786900" name="Picture 1" descr="A table with numbers and letters&#10;&#10;AI-generated content may be incorrect."/>
                    <pic:cNvPicPr/>
                  </pic:nvPicPr>
                  <pic:blipFill>
                    <a:blip r:embed="rId7"/>
                    <a:stretch>
                      <a:fillRect/>
                    </a:stretch>
                  </pic:blipFill>
                  <pic:spPr>
                    <a:xfrm>
                      <a:off x="0" y="0"/>
                      <a:ext cx="5943600" cy="1130300"/>
                    </a:xfrm>
                    <a:prstGeom prst="rect">
                      <a:avLst/>
                    </a:prstGeom>
                  </pic:spPr>
                </pic:pic>
              </a:graphicData>
            </a:graphic>
          </wp:inline>
        </w:drawing>
      </w:r>
    </w:p>
    <w:p w14:paraId="6AE819A8" w14:textId="77777777" w:rsidR="00815910" w:rsidRDefault="00815910" w:rsidP="004B570D">
      <w:pPr>
        <w:pStyle w:val="p3"/>
        <w:rPr>
          <w:rFonts w:ascii="Arial" w:hAnsi="Arial" w:cs="Arial"/>
          <w:sz w:val="24"/>
          <w:szCs w:val="24"/>
        </w:rPr>
      </w:pPr>
    </w:p>
    <w:p w14:paraId="0487D148" w14:textId="77777777" w:rsidR="00815910" w:rsidRDefault="00815910" w:rsidP="004B570D">
      <w:pPr>
        <w:pStyle w:val="p3"/>
        <w:rPr>
          <w:rFonts w:ascii="Arial" w:hAnsi="Arial" w:cs="Arial"/>
          <w:sz w:val="24"/>
          <w:szCs w:val="24"/>
        </w:rPr>
      </w:pPr>
    </w:p>
    <w:p w14:paraId="3076AE2F" w14:textId="27D98DAA" w:rsidR="00815910" w:rsidRDefault="00815910" w:rsidP="004B570D">
      <w:pPr>
        <w:pStyle w:val="p3"/>
        <w:rPr>
          <w:rFonts w:ascii="Arial" w:hAnsi="Arial" w:cs="Arial"/>
          <w:sz w:val="24"/>
          <w:szCs w:val="24"/>
        </w:rPr>
      </w:pPr>
      <w:r w:rsidRPr="00815910">
        <w:rPr>
          <w:rFonts w:ascii="Arial" w:hAnsi="Arial" w:cs="Arial"/>
          <w:noProof/>
          <w:sz w:val="24"/>
          <w:szCs w:val="24"/>
        </w:rPr>
        <w:drawing>
          <wp:inline distT="0" distB="0" distL="0" distR="0" wp14:anchorId="601C76DE" wp14:editId="4AD46665">
            <wp:extent cx="5943600" cy="1130300"/>
            <wp:effectExtent l="0" t="0" r="0" b="0"/>
            <wp:docPr id="2005753141" name="Picture 1" descr="A white shee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753141" name="Picture 1" descr="A white sheet with black text&#10;&#10;AI-generated content may be incorrect."/>
                    <pic:cNvPicPr/>
                  </pic:nvPicPr>
                  <pic:blipFill>
                    <a:blip r:embed="rId8"/>
                    <a:stretch>
                      <a:fillRect/>
                    </a:stretch>
                  </pic:blipFill>
                  <pic:spPr>
                    <a:xfrm>
                      <a:off x="0" y="0"/>
                      <a:ext cx="5943600" cy="1130300"/>
                    </a:xfrm>
                    <a:prstGeom prst="rect">
                      <a:avLst/>
                    </a:prstGeom>
                  </pic:spPr>
                </pic:pic>
              </a:graphicData>
            </a:graphic>
          </wp:inline>
        </w:drawing>
      </w:r>
    </w:p>
    <w:p w14:paraId="7A8B0A40" w14:textId="77777777" w:rsidR="00B62860" w:rsidRDefault="00B62860" w:rsidP="004B570D">
      <w:pPr>
        <w:pStyle w:val="p3"/>
        <w:rPr>
          <w:rFonts w:ascii="Arial" w:hAnsi="Arial" w:cs="Arial"/>
          <w:sz w:val="24"/>
          <w:szCs w:val="24"/>
        </w:rPr>
      </w:pPr>
    </w:p>
    <w:p w14:paraId="1DE1672F" w14:textId="77777777" w:rsidR="00A1524A" w:rsidRDefault="00A1524A" w:rsidP="00EC750B">
      <w:pPr>
        <w:pStyle w:val="p3"/>
        <w:rPr>
          <w:rFonts w:ascii="Arial" w:hAnsi="Arial" w:cs="Arial"/>
          <w:b/>
          <w:bCs/>
          <w:sz w:val="24"/>
          <w:szCs w:val="24"/>
        </w:rPr>
      </w:pPr>
    </w:p>
    <w:p w14:paraId="11D95398" w14:textId="77777777" w:rsidR="00B62860" w:rsidRDefault="00B62860" w:rsidP="00EC750B">
      <w:pPr>
        <w:pStyle w:val="p3"/>
        <w:rPr>
          <w:rFonts w:ascii="Arial" w:hAnsi="Arial" w:cs="Arial"/>
          <w:b/>
          <w:bCs/>
          <w:sz w:val="24"/>
          <w:szCs w:val="24"/>
        </w:rPr>
      </w:pPr>
    </w:p>
    <w:p w14:paraId="4AE17B42" w14:textId="79CEFDF6" w:rsidR="00B62860" w:rsidRPr="00EB5CA6" w:rsidRDefault="0088536C" w:rsidP="00AF750E">
      <w:pPr>
        <w:jc w:val="center"/>
        <w:rPr>
          <w:rFonts w:ascii="Arial" w:eastAsia="Times New Roman" w:hAnsi="Arial" w:cs="Arial"/>
          <w:b/>
          <w:bCs/>
          <w:color w:val="000000"/>
          <w:kern w:val="0"/>
          <w14:ligatures w14:val="none"/>
        </w:rPr>
      </w:pPr>
      <w:r>
        <w:rPr>
          <w:rFonts w:ascii="Arial" w:hAnsi="Arial" w:cs="Arial"/>
          <w:b/>
          <w:bCs/>
        </w:rPr>
        <w:br w:type="page"/>
      </w:r>
      <w:r w:rsidRPr="00EC750B">
        <w:rPr>
          <w:rFonts w:ascii="Arial" w:hAnsi="Arial" w:cs="Arial"/>
          <w:b/>
          <w:bCs/>
        </w:rPr>
        <w:lastRenderedPageBreak/>
        <w:t xml:space="preserve">Cost </w:t>
      </w:r>
      <w:r w:rsidR="0087621E">
        <w:rPr>
          <w:rFonts w:ascii="Arial" w:hAnsi="Arial" w:cs="Arial"/>
          <w:b/>
          <w:bCs/>
        </w:rPr>
        <w:t xml:space="preserve">to </w:t>
      </w:r>
      <w:r w:rsidR="00EB5CA6">
        <w:rPr>
          <w:rFonts w:ascii="Arial" w:hAnsi="Arial" w:cs="Arial"/>
          <w:b/>
          <w:bCs/>
        </w:rPr>
        <w:t xml:space="preserve">Brookline </w:t>
      </w:r>
      <w:r w:rsidR="0087621E">
        <w:rPr>
          <w:rFonts w:ascii="Arial" w:hAnsi="Arial" w:cs="Arial"/>
          <w:b/>
          <w:bCs/>
        </w:rPr>
        <w:t>Building Owners - $/</w:t>
      </w:r>
      <w:r>
        <w:rPr>
          <w:rFonts w:ascii="Arial" w:hAnsi="Arial" w:cs="Arial"/>
          <w:b/>
          <w:bCs/>
        </w:rPr>
        <w:t xml:space="preserve">Metric </w:t>
      </w:r>
      <w:r w:rsidRPr="00EC750B">
        <w:rPr>
          <w:rFonts w:ascii="Arial" w:hAnsi="Arial" w:cs="Arial"/>
          <w:b/>
          <w:bCs/>
        </w:rPr>
        <w:t>Ton GHG</w:t>
      </w:r>
    </w:p>
    <w:p w14:paraId="7D070C68" w14:textId="77777777" w:rsidR="00B62860" w:rsidRDefault="00B62860" w:rsidP="00AF750E">
      <w:pPr>
        <w:pStyle w:val="p3"/>
        <w:jc w:val="center"/>
        <w:rPr>
          <w:rFonts w:ascii="Arial" w:hAnsi="Arial" w:cs="Arial"/>
          <w:b/>
          <w:bCs/>
          <w:sz w:val="24"/>
          <w:szCs w:val="24"/>
        </w:rPr>
      </w:pPr>
    </w:p>
    <w:tbl>
      <w:tblPr>
        <w:tblStyle w:val="TableGrid"/>
        <w:tblW w:w="0" w:type="auto"/>
        <w:tblInd w:w="1327" w:type="dxa"/>
        <w:tblLook w:val="04A0" w:firstRow="1" w:lastRow="0" w:firstColumn="1" w:lastColumn="0" w:noHBand="0" w:noVBand="1"/>
      </w:tblPr>
      <w:tblGrid>
        <w:gridCol w:w="2337"/>
        <w:gridCol w:w="2337"/>
        <w:gridCol w:w="2339"/>
      </w:tblGrid>
      <w:tr w:rsidR="0088536C" w14:paraId="59014239" w14:textId="77777777" w:rsidTr="00AF750E">
        <w:trPr>
          <w:trHeight w:val="710"/>
        </w:trPr>
        <w:tc>
          <w:tcPr>
            <w:tcW w:w="7013" w:type="dxa"/>
            <w:gridSpan w:val="3"/>
            <w:vAlign w:val="center"/>
          </w:tcPr>
          <w:p w14:paraId="77C4CC26" w14:textId="77777777" w:rsidR="0088536C" w:rsidRDefault="0088536C" w:rsidP="00AF750E">
            <w:pPr>
              <w:ind w:left="-118" w:firstLine="118"/>
              <w:jc w:val="center"/>
            </w:pPr>
          </w:p>
          <w:p w14:paraId="53D8D38D" w14:textId="3B80FFDD" w:rsidR="0088536C" w:rsidRDefault="0088536C" w:rsidP="00AF750E">
            <w:pPr>
              <w:ind w:left="-118" w:firstLine="118"/>
              <w:jc w:val="center"/>
            </w:pPr>
            <w:r>
              <w:t>Cost to Decarbonize Existing 20,000+ SF Commercial Buildings</w:t>
            </w:r>
            <w:r w:rsidR="00EB5CA6">
              <w:t xml:space="preserve"> (Subject to MA LBER)</w:t>
            </w:r>
          </w:p>
          <w:p w14:paraId="4038AAE7" w14:textId="77777777" w:rsidR="0088536C" w:rsidRDefault="0088536C" w:rsidP="00AF750E">
            <w:pPr>
              <w:ind w:left="-118" w:firstLine="118"/>
              <w:jc w:val="center"/>
            </w:pPr>
          </w:p>
        </w:tc>
      </w:tr>
      <w:tr w:rsidR="0088536C" w14:paraId="7ED094C6" w14:textId="77777777" w:rsidTr="00AF750E">
        <w:tc>
          <w:tcPr>
            <w:tcW w:w="2337" w:type="dxa"/>
          </w:tcPr>
          <w:p w14:paraId="20566A89" w14:textId="77777777" w:rsidR="0088536C" w:rsidRDefault="0088536C" w:rsidP="00AF750E">
            <w:pPr>
              <w:ind w:left="-118" w:firstLine="118"/>
              <w:jc w:val="center"/>
            </w:pPr>
          </w:p>
        </w:tc>
        <w:tc>
          <w:tcPr>
            <w:tcW w:w="2337" w:type="dxa"/>
            <w:vAlign w:val="center"/>
          </w:tcPr>
          <w:p w14:paraId="2E41DDD7" w14:textId="21EC99CC" w:rsidR="0088536C" w:rsidRDefault="0088536C" w:rsidP="00AF750E">
            <w:pPr>
              <w:ind w:left="-118" w:firstLine="118"/>
              <w:jc w:val="center"/>
            </w:pPr>
            <w:r>
              <w:t>16,</w:t>
            </w:r>
            <w:r w:rsidR="002005B5">
              <w:t>100,000</w:t>
            </w:r>
            <w:r>
              <w:t xml:space="preserve"> SF</w:t>
            </w:r>
          </w:p>
        </w:tc>
        <w:tc>
          <w:tcPr>
            <w:tcW w:w="2339" w:type="dxa"/>
            <w:vAlign w:val="center"/>
          </w:tcPr>
          <w:p w14:paraId="2FE8534E" w14:textId="4A1A6434" w:rsidR="0088536C" w:rsidRDefault="003F60A5" w:rsidP="00AF750E">
            <w:pPr>
              <w:ind w:left="-118" w:firstLine="118"/>
              <w:jc w:val="center"/>
            </w:pPr>
            <w:r w:rsidRPr="003F60A5">
              <w:t>39,5</w:t>
            </w:r>
            <w:r w:rsidR="002005B5" w:rsidRPr="003F60A5">
              <w:t>00</w:t>
            </w:r>
            <w:r w:rsidR="0088536C" w:rsidRPr="003F60A5">
              <w:t xml:space="preserve"> </w:t>
            </w:r>
            <w:r w:rsidR="0088536C">
              <w:t>MT CO2e</w:t>
            </w:r>
          </w:p>
        </w:tc>
      </w:tr>
      <w:tr w:rsidR="0088536C" w14:paraId="1CCAFC81" w14:textId="77777777" w:rsidTr="00AF750E">
        <w:tc>
          <w:tcPr>
            <w:tcW w:w="2337" w:type="dxa"/>
          </w:tcPr>
          <w:p w14:paraId="22E86E09" w14:textId="77777777" w:rsidR="0088536C" w:rsidRDefault="0088536C" w:rsidP="00AF750E">
            <w:pPr>
              <w:ind w:left="-118" w:firstLine="118"/>
              <w:jc w:val="center"/>
            </w:pPr>
          </w:p>
        </w:tc>
        <w:tc>
          <w:tcPr>
            <w:tcW w:w="4676" w:type="dxa"/>
            <w:gridSpan w:val="2"/>
            <w:vAlign w:val="center"/>
          </w:tcPr>
          <w:p w14:paraId="49D21DB8" w14:textId="77777777" w:rsidR="0088536C" w:rsidRDefault="0088536C" w:rsidP="00AF750E">
            <w:pPr>
              <w:ind w:left="-118" w:firstLine="118"/>
              <w:jc w:val="center"/>
            </w:pPr>
            <w:r>
              <w:t>Air Source Heat Pumps</w:t>
            </w:r>
          </w:p>
        </w:tc>
      </w:tr>
      <w:tr w:rsidR="0088536C" w14:paraId="1B6CDA26" w14:textId="77777777" w:rsidTr="00AF750E">
        <w:tc>
          <w:tcPr>
            <w:tcW w:w="2337" w:type="dxa"/>
          </w:tcPr>
          <w:p w14:paraId="3245A07B" w14:textId="77777777" w:rsidR="0088536C" w:rsidRDefault="0088536C" w:rsidP="00AF750E">
            <w:pPr>
              <w:ind w:left="-118" w:firstLine="118"/>
              <w:jc w:val="center"/>
            </w:pPr>
          </w:p>
        </w:tc>
        <w:tc>
          <w:tcPr>
            <w:tcW w:w="2337" w:type="dxa"/>
            <w:vAlign w:val="center"/>
          </w:tcPr>
          <w:p w14:paraId="342A4A54" w14:textId="77777777" w:rsidR="0088536C" w:rsidRDefault="0088536C" w:rsidP="00AF750E">
            <w:pPr>
              <w:ind w:left="-118" w:firstLine="118"/>
              <w:jc w:val="center"/>
            </w:pPr>
            <w:r>
              <w:t>Low Cost</w:t>
            </w:r>
          </w:p>
        </w:tc>
        <w:tc>
          <w:tcPr>
            <w:tcW w:w="2339" w:type="dxa"/>
            <w:vAlign w:val="center"/>
          </w:tcPr>
          <w:p w14:paraId="55724278" w14:textId="77777777" w:rsidR="0088536C" w:rsidRDefault="0088536C" w:rsidP="00AF750E">
            <w:pPr>
              <w:ind w:left="-118" w:firstLine="118"/>
              <w:jc w:val="center"/>
            </w:pPr>
            <w:r>
              <w:t>High Cost</w:t>
            </w:r>
          </w:p>
        </w:tc>
      </w:tr>
      <w:tr w:rsidR="0088536C" w14:paraId="0CD79F17" w14:textId="77777777" w:rsidTr="00AF750E">
        <w:tc>
          <w:tcPr>
            <w:tcW w:w="2337" w:type="dxa"/>
          </w:tcPr>
          <w:p w14:paraId="39F9B481" w14:textId="77777777" w:rsidR="0088536C" w:rsidRDefault="0088536C" w:rsidP="00AF750E">
            <w:pPr>
              <w:ind w:left="-118" w:firstLine="118"/>
              <w:jc w:val="center"/>
            </w:pPr>
          </w:p>
        </w:tc>
        <w:tc>
          <w:tcPr>
            <w:tcW w:w="2337" w:type="dxa"/>
            <w:vAlign w:val="center"/>
          </w:tcPr>
          <w:p w14:paraId="3B8E8464" w14:textId="3E043501" w:rsidR="0088536C" w:rsidRDefault="0088536C" w:rsidP="00AF750E">
            <w:pPr>
              <w:ind w:left="-118" w:firstLine="118"/>
              <w:jc w:val="center"/>
            </w:pPr>
            <w:r>
              <w:t>$19</w:t>
            </w:r>
            <w:r w:rsidR="00013FFA">
              <w:t>3,0</w:t>
            </w:r>
            <w:r w:rsidR="002005B5">
              <w:t>00,000</w:t>
            </w:r>
          </w:p>
        </w:tc>
        <w:tc>
          <w:tcPr>
            <w:tcW w:w="2339" w:type="dxa"/>
            <w:vAlign w:val="center"/>
          </w:tcPr>
          <w:p w14:paraId="6579CDC3" w14:textId="34E01231" w:rsidR="002005B5" w:rsidRDefault="002005B5" w:rsidP="00AF750E">
            <w:pPr>
              <w:ind w:left="-118" w:firstLine="118"/>
              <w:jc w:val="center"/>
            </w:pPr>
            <w:r>
              <w:t>$3</w:t>
            </w:r>
            <w:r w:rsidR="009F4EB9">
              <w:t>37,</w:t>
            </w:r>
            <w:r w:rsidR="00013FFA">
              <w:t>0</w:t>
            </w:r>
            <w:r w:rsidR="009F4EB9">
              <w:t>00,</w:t>
            </w:r>
            <w:r>
              <w:t>000</w:t>
            </w:r>
          </w:p>
        </w:tc>
      </w:tr>
      <w:tr w:rsidR="0088536C" w14:paraId="26FA3E53" w14:textId="77777777" w:rsidTr="00AF750E">
        <w:tc>
          <w:tcPr>
            <w:tcW w:w="2337" w:type="dxa"/>
          </w:tcPr>
          <w:p w14:paraId="46FEE263" w14:textId="77777777" w:rsidR="0088536C" w:rsidRDefault="0088536C" w:rsidP="00AF750E">
            <w:pPr>
              <w:ind w:left="-118" w:firstLine="118"/>
              <w:jc w:val="center"/>
            </w:pPr>
            <w:r>
              <w:t>$/MT CO2e</w:t>
            </w:r>
          </w:p>
        </w:tc>
        <w:tc>
          <w:tcPr>
            <w:tcW w:w="2337" w:type="dxa"/>
            <w:vAlign w:val="center"/>
          </w:tcPr>
          <w:p w14:paraId="3B3FD02C" w14:textId="55099DD9" w:rsidR="0088536C" w:rsidRDefault="0088536C" w:rsidP="00AF750E">
            <w:pPr>
              <w:ind w:left="-118" w:firstLine="118"/>
              <w:jc w:val="center"/>
            </w:pPr>
            <w:r>
              <w:t>$</w:t>
            </w:r>
            <w:r w:rsidR="00912BB2">
              <w:t>5,0</w:t>
            </w:r>
            <w:r w:rsidR="002005B5">
              <w:t>00</w:t>
            </w:r>
          </w:p>
        </w:tc>
        <w:tc>
          <w:tcPr>
            <w:tcW w:w="2339" w:type="dxa"/>
            <w:vAlign w:val="center"/>
          </w:tcPr>
          <w:p w14:paraId="1A220A85" w14:textId="4FC1DDC5" w:rsidR="0088536C" w:rsidRDefault="0088536C" w:rsidP="00AF750E">
            <w:pPr>
              <w:ind w:left="-118" w:firstLine="118"/>
              <w:jc w:val="center"/>
            </w:pPr>
            <w:r>
              <w:t>$</w:t>
            </w:r>
            <w:r w:rsidR="00D645B6">
              <w:t>8,5</w:t>
            </w:r>
            <w:r w:rsidR="002005B5">
              <w:t>00</w:t>
            </w:r>
          </w:p>
        </w:tc>
      </w:tr>
    </w:tbl>
    <w:p w14:paraId="046CF660" w14:textId="77777777" w:rsidR="00846DBF" w:rsidRDefault="00846DBF" w:rsidP="00AF750E">
      <w:pPr>
        <w:jc w:val="center"/>
      </w:pPr>
    </w:p>
    <w:tbl>
      <w:tblPr>
        <w:tblStyle w:val="TableGrid"/>
        <w:tblW w:w="0" w:type="auto"/>
        <w:tblInd w:w="1327" w:type="dxa"/>
        <w:tblLook w:val="04A0" w:firstRow="1" w:lastRow="0" w:firstColumn="1" w:lastColumn="0" w:noHBand="0" w:noVBand="1"/>
      </w:tblPr>
      <w:tblGrid>
        <w:gridCol w:w="2337"/>
        <w:gridCol w:w="2337"/>
        <w:gridCol w:w="2339"/>
      </w:tblGrid>
      <w:tr w:rsidR="0088536C" w14:paraId="36A6B7C5" w14:textId="77777777" w:rsidTr="00AF750E">
        <w:trPr>
          <w:trHeight w:val="710"/>
        </w:trPr>
        <w:tc>
          <w:tcPr>
            <w:tcW w:w="7013" w:type="dxa"/>
            <w:gridSpan w:val="3"/>
            <w:vAlign w:val="center"/>
          </w:tcPr>
          <w:p w14:paraId="4DC1743E" w14:textId="77777777" w:rsidR="0088536C" w:rsidRDefault="0088536C" w:rsidP="00AF750E">
            <w:pPr>
              <w:jc w:val="center"/>
            </w:pPr>
          </w:p>
          <w:p w14:paraId="119547C4" w14:textId="631B79C2" w:rsidR="0088536C" w:rsidRDefault="0088536C" w:rsidP="00AF750E">
            <w:pPr>
              <w:jc w:val="center"/>
            </w:pPr>
            <w:r>
              <w:t>Cost to Decarbonize Existing 20,000+ SF Apartment Buildings</w:t>
            </w:r>
            <w:r w:rsidR="00EB5CA6">
              <w:t xml:space="preserve"> (Subject to MA LBER)</w:t>
            </w:r>
          </w:p>
          <w:p w14:paraId="26EEEA7E" w14:textId="77777777" w:rsidR="0088536C" w:rsidRDefault="0088536C" w:rsidP="00AF750E">
            <w:pPr>
              <w:jc w:val="center"/>
            </w:pPr>
          </w:p>
        </w:tc>
      </w:tr>
      <w:tr w:rsidR="0088536C" w14:paraId="09DDA818" w14:textId="77777777" w:rsidTr="00AF750E">
        <w:tc>
          <w:tcPr>
            <w:tcW w:w="2337" w:type="dxa"/>
          </w:tcPr>
          <w:p w14:paraId="34E4CBCC" w14:textId="77777777" w:rsidR="0088536C" w:rsidRDefault="0088536C" w:rsidP="00AF750E">
            <w:pPr>
              <w:jc w:val="center"/>
            </w:pPr>
          </w:p>
        </w:tc>
        <w:tc>
          <w:tcPr>
            <w:tcW w:w="2337" w:type="dxa"/>
            <w:vAlign w:val="center"/>
          </w:tcPr>
          <w:p w14:paraId="486B12AC" w14:textId="77777777" w:rsidR="0088536C" w:rsidRDefault="0088536C" w:rsidP="00AF750E">
            <w:pPr>
              <w:jc w:val="center"/>
            </w:pPr>
            <w:r>
              <w:t>4,375 Units</w:t>
            </w:r>
          </w:p>
        </w:tc>
        <w:tc>
          <w:tcPr>
            <w:tcW w:w="2339" w:type="dxa"/>
            <w:vAlign w:val="center"/>
          </w:tcPr>
          <w:p w14:paraId="4EB827DA" w14:textId="6C99FD99" w:rsidR="0088536C" w:rsidRDefault="003F60A5" w:rsidP="00AF750E">
            <w:pPr>
              <w:jc w:val="center"/>
            </w:pPr>
            <w:r w:rsidRPr="003F60A5">
              <w:t>8,5</w:t>
            </w:r>
            <w:r w:rsidR="007573C6" w:rsidRPr="003F60A5">
              <w:t>00</w:t>
            </w:r>
            <w:r w:rsidR="0088536C" w:rsidRPr="003F60A5">
              <w:t xml:space="preserve"> </w:t>
            </w:r>
            <w:r w:rsidR="0088536C">
              <w:t>MT CO2e</w:t>
            </w:r>
          </w:p>
        </w:tc>
      </w:tr>
      <w:tr w:rsidR="0088536C" w14:paraId="5EDA7E48" w14:textId="77777777" w:rsidTr="00AF750E">
        <w:tc>
          <w:tcPr>
            <w:tcW w:w="2337" w:type="dxa"/>
          </w:tcPr>
          <w:p w14:paraId="178668A7" w14:textId="77777777" w:rsidR="0088536C" w:rsidRDefault="0088536C" w:rsidP="00AF750E">
            <w:pPr>
              <w:jc w:val="center"/>
            </w:pPr>
          </w:p>
        </w:tc>
        <w:tc>
          <w:tcPr>
            <w:tcW w:w="4676" w:type="dxa"/>
            <w:gridSpan w:val="2"/>
            <w:vAlign w:val="center"/>
          </w:tcPr>
          <w:p w14:paraId="1A699088" w14:textId="77777777" w:rsidR="0088536C" w:rsidRDefault="0088536C" w:rsidP="00AF750E">
            <w:pPr>
              <w:jc w:val="center"/>
            </w:pPr>
            <w:r>
              <w:t>Air Source Heat Pumps</w:t>
            </w:r>
          </w:p>
        </w:tc>
      </w:tr>
      <w:tr w:rsidR="0088536C" w14:paraId="7374CB4B" w14:textId="77777777" w:rsidTr="00AF750E">
        <w:tc>
          <w:tcPr>
            <w:tcW w:w="2337" w:type="dxa"/>
          </w:tcPr>
          <w:p w14:paraId="7F2B77EE" w14:textId="77777777" w:rsidR="0088536C" w:rsidRDefault="0088536C" w:rsidP="00AF750E">
            <w:pPr>
              <w:jc w:val="center"/>
            </w:pPr>
          </w:p>
        </w:tc>
        <w:tc>
          <w:tcPr>
            <w:tcW w:w="2337" w:type="dxa"/>
            <w:vAlign w:val="center"/>
          </w:tcPr>
          <w:p w14:paraId="41A4D541" w14:textId="77777777" w:rsidR="0088536C" w:rsidRDefault="0088536C" w:rsidP="00AF750E">
            <w:pPr>
              <w:jc w:val="center"/>
            </w:pPr>
            <w:r>
              <w:t>Low Cost</w:t>
            </w:r>
          </w:p>
        </w:tc>
        <w:tc>
          <w:tcPr>
            <w:tcW w:w="2339" w:type="dxa"/>
            <w:vAlign w:val="center"/>
          </w:tcPr>
          <w:p w14:paraId="6B95F8C0" w14:textId="77777777" w:rsidR="0088536C" w:rsidRDefault="0088536C" w:rsidP="00AF750E">
            <w:pPr>
              <w:jc w:val="center"/>
            </w:pPr>
            <w:r>
              <w:t>High Cost</w:t>
            </w:r>
          </w:p>
        </w:tc>
      </w:tr>
      <w:tr w:rsidR="0088536C" w14:paraId="02F83E52" w14:textId="77777777" w:rsidTr="00AF750E">
        <w:tc>
          <w:tcPr>
            <w:tcW w:w="2337" w:type="dxa"/>
          </w:tcPr>
          <w:p w14:paraId="62A7EBAA" w14:textId="77777777" w:rsidR="0088536C" w:rsidRDefault="0088536C" w:rsidP="00AF750E">
            <w:pPr>
              <w:jc w:val="center"/>
            </w:pPr>
          </w:p>
        </w:tc>
        <w:tc>
          <w:tcPr>
            <w:tcW w:w="2337" w:type="dxa"/>
            <w:vAlign w:val="center"/>
          </w:tcPr>
          <w:p w14:paraId="5F08B67E" w14:textId="33EEF33C" w:rsidR="0088536C" w:rsidRDefault="0088536C" w:rsidP="00AF750E">
            <w:pPr>
              <w:jc w:val="center"/>
            </w:pPr>
            <w:r>
              <w:t>$8</w:t>
            </w:r>
            <w:r w:rsidR="00013FFA">
              <w:t>5,0</w:t>
            </w:r>
            <w:r w:rsidR="002005B5">
              <w:t>00</w:t>
            </w:r>
            <w:r>
              <w:t>,000</w:t>
            </w:r>
          </w:p>
        </w:tc>
        <w:tc>
          <w:tcPr>
            <w:tcW w:w="2339" w:type="dxa"/>
            <w:vAlign w:val="center"/>
          </w:tcPr>
          <w:p w14:paraId="6C4DE287" w14:textId="4A077084" w:rsidR="0088536C" w:rsidRDefault="0088536C" w:rsidP="00AF750E">
            <w:pPr>
              <w:jc w:val="center"/>
            </w:pPr>
            <w:r>
              <w:t>$18</w:t>
            </w:r>
            <w:r w:rsidR="00013FFA">
              <w:t>8,0</w:t>
            </w:r>
            <w:r w:rsidR="002005B5">
              <w:t>00,0</w:t>
            </w:r>
            <w:r>
              <w:t>00</w:t>
            </w:r>
          </w:p>
        </w:tc>
      </w:tr>
      <w:tr w:rsidR="0088536C" w14:paraId="413B3DBC" w14:textId="77777777" w:rsidTr="00AF750E">
        <w:tc>
          <w:tcPr>
            <w:tcW w:w="2337" w:type="dxa"/>
          </w:tcPr>
          <w:p w14:paraId="087B8B36" w14:textId="77777777" w:rsidR="0088536C" w:rsidRDefault="0088536C" w:rsidP="00AF750E">
            <w:pPr>
              <w:jc w:val="center"/>
            </w:pPr>
            <w:r>
              <w:t>$/MT CO2e</w:t>
            </w:r>
          </w:p>
        </w:tc>
        <w:tc>
          <w:tcPr>
            <w:tcW w:w="2337" w:type="dxa"/>
            <w:vAlign w:val="center"/>
          </w:tcPr>
          <w:p w14:paraId="06984BAC" w14:textId="0C79D02D" w:rsidR="0088536C" w:rsidRDefault="0088536C" w:rsidP="00AF750E">
            <w:pPr>
              <w:jc w:val="center"/>
            </w:pPr>
            <w:r>
              <w:t>$</w:t>
            </w:r>
            <w:r w:rsidR="00D645B6">
              <w:t>10,0</w:t>
            </w:r>
            <w:r w:rsidR="002005B5">
              <w:t>00</w:t>
            </w:r>
          </w:p>
        </w:tc>
        <w:tc>
          <w:tcPr>
            <w:tcW w:w="2339" w:type="dxa"/>
            <w:vAlign w:val="center"/>
          </w:tcPr>
          <w:p w14:paraId="1B9BC0AC" w14:textId="7D837019" w:rsidR="0088536C" w:rsidRDefault="0088536C" w:rsidP="00AF750E">
            <w:pPr>
              <w:jc w:val="center"/>
            </w:pPr>
            <w:r>
              <w:t>$</w:t>
            </w:r>
            <w:r w:rsidR="00D645B6">
              <w:t>22,0</w:t>
            </w:r>
            <w:r w:rsidR="002005B5">
              <w:t>00</w:t>
            </w:r>
          </w:p>
        </w:tc>
      </w:tr>
    </w:tbl>
    <w:p w14:paraId="06C51F41" w14:textId="77777777" w:rsidR="0088536C" w:rsidRDefault="0088536C" w:rsidP="00AF750E">
      <w:pPr>
        <w:jc w:val="center"/>
      </w:pPr>
    </w:p>
    <w:tbl>
      <w:tblPr>
        <w:tblStyle w:val="TableGrid"/>
        <w:tblW w:w="0" w:type="auto"/>
        <w:tblInd w:w="1327" w:type="dxa"/>
        <w:tblLook w:val="04A0" w:firstRow="1" w:lastRow="0" w:firstColumn="1" w:lastColumn="0" w:noHBand="0" w:noVBand="1"/>
      </w:tblPr>
      <w:tblGrid>
        <w:gridCol w:w="2337"/>
        <w:gridCol w:w="2337"/>
        <w:gridCol w:w="2339"/>
      </w:tblGrid>
      <w:tr w:rsidR="0088536C" w14:paraId="6FC3A969" w14:textId="77777777" w:rsidTr="00AF750E">
        <w:trPr>
          <w:trHeight w:val="710"/>
        </w:trPr>
        <w:tc>
          <w:tcPr>
            <w:tcW w:w="7013" w:type="dxa"/>
            <w:gridSpan w:val="3"/>
            <w:vAlign w:val="center"/>
          </w:tcPr>
          <w:p w14:paraId="534CA2DB" w14:textId="77777777" w:rsidR="0088536C" w:rsidRDefault="0088536C" w:rsidP="00AF750E">
            <w:pPr>
              <w:jc w:val="center"/>
            </w:pPr>
          </w:p>
          <w:p w14:paraId="3E1085C6" w14:textId="6576F1E2" w:rsidR="0088536C" w:rsidRDefault="0088536C" w:rsidP="00AF750E">
            <w:pPr>
              <w:jc w:val="center"/>
            </w:pPr>
            <w:r>
              <w:t>Cost to Decarbonize Existing 20,000+ SF Condominiums</w:t>
            </w:r>
            <w:r w:rsidR="00EB5CA6">
              <w:t xml:space="preserve"> (Subject to MA LBER)</w:t>
            </w:r>
          </w:p>
          <w:p w14:paraId="1AE8CB15" w14:textId="77777777" w:rsidR="0088536C" w:rsidRDefault="0088536C" w:rsidP="00AF750E">
            <w:pPr>
              <w:jc w:val="center"/>
            </w:pPr>
          </w:p>
        </w:tc>
      </w:tr>
      <w:tr w:rsidR="0088536C" w14:paraId="137F19E0" w14:textId="77777777" w:rsidTr="00AF750E">
        <w:tc>
          <w:tcPr>
            <w:tcW w:w="2337" w:type="dxa"/>
          </w:tcPr>
          <w:p w14:paraId="4047179B" w14:textId="77777777" w:rsidR="0088536C" w:rsidRDefault="0088536C" w:rsidP="00AF750E">
            <w:pPr>
              <w:jc w:val="center"/>
            </w:pPr>
          </w:p>
        </w:tc>
        <w:tc>
          <w:tcPr>
            <w:tcW w:w="2337" w:type="dxa"/>
            <w:vAlign w:val="center"/>
          </w:tcPr>
          <w:p w14:paraId="026175E5" w14:textId="40A43FBC" w:rsidR="0088536C" w:rsidRDefault="0088536C" w:rsidP="00AF750E">
            <w:pPr>
              <w:jc w:val="center"/>
            </w:pPr>
            <w:r>
              <w:t>6,1</w:t>
            </w:r>
            <w:r w:rsidR="007573C6">
              <w:t>50</w:t>
            </w:r>
            <w:r>
              <w:t xml:space="preserve"> Units</w:t>
            </w:r>
          </w:p>
        </w:tc>
        <w:tc>
          <w:tcPr>
            <w:tcW w:w="2339" w:type="dxa"/>
            <w:vAlign w:val="center"/>
          </w:tcPr>
          <w:p w14:paraId="6FF48AD6" w14:textId="24B33D8D" w:rsidR="0088536C" w:rsidRDefault="0088536C" w:rsidP="00AF750E">
            <w:pPr>
              <w:jc w:val="center"/>
            </w:pPr>
            <w:r w:rsidRPr="003F60A5">
              <w:t>1</w:t>
            </w:r>
            <w:r w:rsidR="003F60A5" w:rsidRPr="003F60A5">
              <w:t>2,1</w:t>
            </w:r>
            <w:r w:rsidR="007573C6" w:rsidRPr="003F60A5">
              <w:t>00</w:t>
            </w:r>
            <w:r w:rsidRPr="003F60A5">
              <w:t xml:space="preserve"> </w:t>
            </w:r>
            <w:r>
              <w:t>MT CO2e</w:t>
            </w:r>
          </w:p>
        </w:tc>
      </w:tr>
      <w:tr w:rsidR="0088536C" w14:paraId="03684534" w14:textId="77777777" w:rsidTr="00AF750E">
        <w:tc>
          <w:tcPr>
            <w:tcW w:w="2337" w:type="dxa"/>
          </w:tcPr>
          <w:p w14:paraId="0E106099" w14:textId="77777777" w:rsidR="0088536C" w:rsidRDefault="0088536C" w:rsidP="00AF750E">
            <w:pPr>
              <w:jc w:val="center"/>
            </w:pPr>
          </w:p>
        </w:tc>
        <w:tc>
          <w:tcPr>
            <w:tcW w:w="4676" w:type="dxa"/>
            <w:gridSpan w:val="2"/>
            <w:vAlign w:val="center"/>
          </w:tcPr>
          <w:p w14:paraId="2556863B" w14:textId="77777777" w:rsidR="0088536C" w:rsidRDefault="0088536C" w:rsidP="00AF750E">
            <w:pPr>
              <w:jc w:val="center"/>
            </w:pPr>
            <w:r>
              <w:t>Air Source Heat Pumps</w:t>
            </w:r>
          </w:p>
        </w:tc>
      </w:tr>
      <w:tr w:rsidR="0088536C" w14:paraId="7FFA7C6F" w14:textId="77777777" w:rsidTr="00AF750E">
        <w:tc>
          <w:tcPr>
            <w:tcW w:w="2337" w:type="dxa"/>
          </w:tcPr>
          <w:p w14:paraId="52337F1B" w14:textId="77777777" w:rsidR="0088536C" w:rsidRDefault="0088536C" w:rsidP="00AF750E">
            <w:pPr>
              <w:jc w:val="center"/>
            </w:pPr>
          </w:p>
        </w:tc>
        <w:tc>
          <w:tcPr>
            <w:tcW w:w="2337" w:type="dxa"/>
            <w:vAlign w:val="center"/>
          </w:tcPr>
          <w:p w14:paraId="1CA016E3" w14:textId="77777777" w:rsidR="0088536C" w:rsidRDefault="0088536C" w:rsidP="00AF750E">
            <w:pPr>
              <w:jc w:val="center"/>
            </w:pPr>
            <w:r>
              <w:t>Low Cost</w:t>
            </w:r>
          </w:p>
        </w:tc>
        <w:tc>
          <w:tcPr>
            <w:tcW w:w="2339" w:type="dxa"/>
            <w:vAlign w:val="center"/>
          </w:tcPr>
          <w:p w14:paraId="449AC168" w14:textId="77777777" w:rsidR="0088536C" w:rsidRDefault="0088536C" w:rsidP="00AF750E">
            <w:pPr>
              <w:jc w:val="center"/>
            </w:pPr>
            <w:r>
              <w:t>High Cost</w:t>
            </w:r>
          </w:p>
        </w:tc>
      </w:tr>
      <w:tr w:rsidR="0088536C" w14:paraId="7AAC3195" w14:textId="77777777" w:rsidTr="00AF750E">
        <w:tc>
          <w:tcPr>
            <w:tcW w:w="2337" w:type="dxa"/>
          </w:tcPr>
          <w:p w14:paraId="47849D5E" w14:textId="77777777" w:rsidR="0088536C" w:rsidRDefault="0088536C" w:rsidP="00AF750E">
            <w:pPr>
              <w:jc w:val="center"/>
            </w:pPr>
          </w:p>
        </w:tc>
        <w:tc>
          <w:tcPr>
            <w:tcW w:w="2337" w:type="dxa"/>
            <w:vAlign w:val="center"/>
          </w:tcPr>
          <w:p w14:paraId="4596007B" w14:textId="7E4429F4" w:rsidR="0088536C" w:rsidRDefault="0088536C" w:rsidP="00AF750E">
            <w:pPr>
              <w:jc w:val="center"/>
            </w:pPr>
            <w:r>
              <w:t>$119,</w:t>
            </w:r>
            <w:r w:rsidR="00013FFA">
              <w:t>0</w:t>
            </w:r>
            <w:r w:rsidR="002005B5">
              <w:t>00,0</w:t>
            </w:r>
            <w:r>
              <w:t>00</w:t>
            </w:r>
          </w:p>
        </w:tc>
        <w:tc>
          <w:tcPr>
            <w:tcW w:w="2339" w:type="dxa"/>
            <w:vAlign w:val="center"/>
          </w:tcPr>
          <w:p w14:paraId="269D46A7" w14:textId="6B9713C1" w:rsidR="0088536C" w:rsidRDefault="0088536C" w:rsidP="00AF750E">
            <w:pPr>
              <w:jc w:val="center"/>
            </w:pPr>
            <w:r>
              <w:t>$26</w:t>
            </w:r>
            <w:r w:rsidR="00013FFA">
              <w:t>4,0</w:t>
            </w:r>
            <w:r>
              <w:t>0</w:t>
            </w:r>
            <w:r w:rsidR="002005B5">
              <w:t>0,000</w:t>
            </w:r>
          </w:p>
        </w:tc>
      </w:tr>
      <w:tr w:rsidR="0088536C" w14:paraId="5D51F866" w14:textId="77777777" w:rsidTr="00AF750E">
        <w:tc>
          <w:tcPr>
            <w:tcW w:w="2337" w:type="dxa"/>
          </w:tcPr>
          <w:p w14:paraId="3AF714D2" w14:textId="77777777" w:rsidR="0088536C" w:rsidRDefault="0088536C" w:rsidP="00AF750E">
            <w:pPr>
              <w:jc w:val="center"/>
            </w:pPr>
            <w:r>
              <w:t>$/MT CO2e</w:t>
            </w:r>
          </w:p>
        </w:tc>
        <w:tc>
          <w:tcPr>
            <w:tcW w:w="2337" w:type="dxa"/>
            <w:vAlign w:val="center"/>
          </w:tcPr>
          <w:p w14:paraId="33E68126" w14:textId="00F80CA8" w:rsidR="0088536C" w:rsidRDefault="0088536C" w:rsidP="00AF750E">
            <w:pPr>
              <w:jc w:val="center"/>
            </w:pPr>
            <w:r>
              <w:t>$</w:t>
            </w:r>
            <w:r w:rsidR="00912BB2">
              <w:t>10,0</w:t>
            </w:r>
            <w:r w:rsidR="00EE255B">
              <w:t>00</w:t>
            </w:r>
          </w:p>
        </w:tc>
        <w:tc>
          <w:tcPr>
            <w:tcW w:w="2339" w:type="dxa"/>
            <w:vAlign w:val="center"/>
          </w:tcPr>
          <w:p w14:paraId="2CF565DF" w14:textId="7ED56990" w:rsidR="0088536C" w:rsidRDefault="0088536C" w:rsidP="00AF750E">
            <w:pPr>
              <w:jc w:val="center"/>
            </w:pPr>
            <w:r>
              <w:t>$</w:t>
            </w:r>
            <w:r w:rsidR="00EE255B">
              <w:t>22,000</w:t>
            </w:r>
          </w:p>
        </w:tc>
      </w:tr>
    </w:tbl>
    <w:p w14:paraId="43C5565F" w14:textId="77777777" w:rsidR="0088536C" w:rsidRDefault="0088536C" w:rsidP="00AF750E">
      <w:pPr>
        <w:jc w:val="center"/>
      </w:pPr>
    </w:p>
    <w:tbl>
      <w:tblPr>
        <w:tblStyle w:val="TableGrid"/>
        <w:tblW w:w="0" w:type="auto"/>
        <w:tblInd w:w="1327" w:type="dxa"/>
        <w:tblLook w:val="04A0" w:firstRow="1" w:lastRow="0" w:firstColumn="1" w:lastColumn="0" w:noHBand="0" w:noVBand="1"/>
      </w:tblPr>
      <w:tblGrid>
        <w:gridCol w:w="2337"/>
        <w:gridCol w:w="2337"/>
        <w:gridCol w:w="2339"/>
      </w:tblGrid>
      <w:tr w:rsidR="0088536C" w14:paraId="71B4D697" w14:textId="77777777" w:rsidTr="00AF750E">
        <w:trPr>
          <w:trHeight w:val="710"/>
        </w:trPr>
        <w:tc>
          <w:tcPr>
            <w:tcW w:w="7013" w:type="dxa"/>
            <w:gridSpan w:val="3"/>
            <w:vAlign w:val="center"/>
          </w:tcPr>
          <w:p w14:paraId="048F4A77" w14:textId="77777777" w:rsidR="0088536C" w:rsidRDefault="0088536C" w:rsidP="00AF750E">
            <w:pPr>
              <w:jc w:val="center"/>
            </w:pPr>
          </w:p>
          <w:p w14:paraId="08286371" w14:textId="5BFC9BF5" w:rsidR="0088536C" w:rsidRDefault="0088536C" w:rsidP="00AF750E">
            <w:pPr>
              <w:jc w:val="center"/>
            </w:pPr>
            <w:r>
              <w:t>Cost to Decarbonize Existing 1,000 to 5,000 SF One Family Homes</w:t>
            </w:r>
            <w:r w:rsidR="00EB5CA6">
              <w:t xml:space="preserve"> (88% of </w:t>
            </w:r>
            <w:r w:rsidR="002D38E9">
              <w:t xml:space="preserve">Brookline </w:t>
            </w:r>
            <w:r w:rsidR="00EB5CA6">
              <w:t>One Family Homes)</w:t>
            </w:r>
          </w:p>
          <w:p w14:paraId="107B9FF9" w14:textId="77777777" w:rsidR="0088536C" w:rsidRDefault="0088536C" w:rsidP="00AF750E">
            <w:pPr>
              <w:jc w:val="center"/>
            </w:pPr>
          </w:p>
        </w:tc>
      </w:tr>
      <w:tr w:rsidR="0088536C" w14:paraId="45EB1ED4" w14:textId="77777777" w:rsidTr="00AF750E">
        <w:tc>
          <w:tcPr>
            <w:tcW w:w="2337" w:type="dxa"/>
          </w:tcPr>
          <w:p w14:paraId="41995578" w14:textId="77777777" w:rsidR="0088536C" w:rsidRDefault="0088536C" w:rsidP="00AF750E">
            <w:pPr>
              <w:jc w:val="center"/>
            </w:pPr>
          </w:p>
        </w:tc>
        <w:tc>
          <w:tcPr>
            <w:tcW w:w="2337" w:type="dxa"/>
            <w:vAlign w:val="center"/>
          </w:tcPr>
          <w:p w14:paraId="3270A4C0" w14:textId="031716FB" w:rsidR="0088536C" w:rsidRDefault="006D4854" w:rsidP="00AF750E">
            <w:pPr>
              <w:jc w:val="center"/>
            </w:pPr>
            <w:r>
              <w:t>4,0</w:t>
            </w:r>
            <w:r w:rsidR="007573C6">
              <w:t>00</w:t>
            </w:r>
            <w:r>
              <w:t xml:space="preserve"> Homes</w:t>
            </w:r>
          </w:p>
        </w:tc>
        <w:tc>
          <w:tcPr>
            <w:tcW w:w="2339" w:type="dxa"/>
            <w:vAlign w:val="center"/>
          </w:tcPr>
          <w:p w14:paraId="266D3085" w14:textId="68B340DE" w:rsidR="0088536C" w:rsidRDefault="003F60A5" w:rsidP="00AF750E">
            <w:pPr>
              <w:jc w:val="center"/>
            </w:pPr>
            <w:r>
              <w:t>24,2</w:t>
            </w:r>
            <w:r w:rsidR="002005B5">
              <w:t>00</w:t>
            </w:r>
            <w:r w:rsidR="0088536C">
              <w:t xml:space="preserve"> MT CO2e</w:t>
            </w:r>
          </w:p>
        </w:tc>
      </w:tr>
      <w:tr w:rsidR="0088536C" w14:paraId="45DAAFD9" w14:textId="77777777" w:rsidTr="00AF750E">
        <w:tc>
          <w:tcPr>
            <w:tcW w:w="2337" w:type="dxa"/>
          </w:tcPr>
          <w:p w14:paraId="680A93EA" w14:textId="77777777" w:rsidR="0088536C" w:rsidRDefault="0088536C" w:rsidP="00AF750E">
            <w:pPr>
              <w:jc w:val="center"/>
            </w:pPr>
          </w:p>
        </w:tc>
        <w:tc>
          <w:tcPr>
            <w:tcW w:w="4676" w:type="dxa"/>
            <w:gridSpan w:val="2"/>
            <w:vAlign w:val="center"/>
          </w:tcPr>
          <w:p w14:paraId="78D95D3C" w14:textId="77777777" w:rsidR="0088536C" w:rsidRDefault="0088536C" w:rsidP="00AF750E">
            <w:pPr>
              <w:jc w:val="center"/>
            </w:pPr>
            <w:r>
              <w:t>Air Source Heat Pumps</w:t>
            </w:r>
          </w:p>
        </w:tc>
      </w:tr>
      <w:tr w:rsidR="0088536C" w14:paraId="147C30D4" w14:textId="77777777" w:rsidTr="00AF750E">
        <w:tc>
          <w:tcPr>
            <w:tcW w:w="2337" w:type="dxa"/>
          </w:tcPr>
          <w:p w14:paraId="7198E4C8" w14:textId="77777777" w:rsidR="0088536C" w:rsidRDefault="0088536C" w:rsidP="00AF750E">
            <w:pPr>
              <w:jc w:val="center"/>
            </w:pPr>
          </w:p>
        </w:tc>
        <w:tc>
          <w:tcPr>
            <w:tcW w:w="2337" w:type="dxa"/>
            <w:vAlign w:val="center"/>
          </w:tcPr>
          <w:p w14:paraId="118DBB67" w14:textId="77777777" w:rsidR="0088536C" w:rsidRDefault="0088536C" w:rsidP="00AF750E">
            <w:pPr>
              <w:jc w:val="center"/>
            </w:pPr>
            <w:r>
              <w:t>Low Cost</w:t>
            </w:r>
          </w:p>
        </w:tc>
        <w:tc>
          <w:tcPr>
            <w:tcW w:w="2339" w:type="dxa"/>
            <w:vAlign w:val="center"/>
          </w:tcPr>
          <w:p w14:paraId="055B23E1" w14:textId="77777777" w:rsidR="0088536C" w:rsidRDefault="0088536C" w:rsidP="00AF750E">
            <w:pPr>
              <w:jc w:val="center"/>
            </w:pPr>
            <w:r>
              <w:t>High Cost</w:t>
            </w:r>
          </w:p>
        </w:tc>
      </w:tr>
      <w:tr w:rsidR="0088536C" w14:paraId="62546B8D" w14:textId="77777777" w:rsidTr="00AF750E">
        <w:tc>
          <w:tcPr>
            <w:tcW w:w="2337" w:type="dxa"/>
          </w:tcPr>
          <w:p w14:paraId="7B69F06E" w14:textId="77777777" w:rsidR="0088536C" w:rsidRDefault="0088536C" w:rsidP="00AF750E">
            <w:pPr>
              <w:jc w:val="center"/>
            </w:pPr>
          </w:p>
        </w:tc>
        <w:tc>
          <w:tcPr>
            <w:tcW w:w="2337" w:type="dxa"/>
            <w:vAlign w:val="center"/>
          </w:tcPr>
          <w:p w14:paraId="2A39ADBD" w14:textId="045B6EB8" w:rsidR="0088536C" w:rsidRDefault="0088536C" w:rsidP="00AF750E">
            <w:pPr>
              <w:jc w:val="center"/>
            </w:pPr>
            <w:r>
              <w:t>$1</w:t>
            </w:r>
            <w:r w:rsidR="00A32576">
              <w:t>21</w:t>
            </w:r>
            <w:r>
              <w:t>,</w:t>
            </w:r>
            <w:r w:rsidR="00013FFA">
              <w:t>0</w:t>
            </w:r>
            <w:r w:rsidR="002005B5">
              <w:t>00,000</w:t>
            </w:r>
          </w:p>
        </w:tc>
        <w:tc>
          <w:tcPr>
            <w:tcW w:w="2339" w:type="dxa"/>
            <w:vAlign w:val="center"/>
          </w:tcPr>
          <w:p w14:paraId="01CAF638" w14:textId="41C78A2E" w:rsidR="0088536C" w:rsidRDefault="0088536C" w:rsidP="00AF750E">
            <w:pPr>
              <w:jc w:val="center"/>
            </w:pPr>
            <w:r>
              <w:t>$1</w:t>
            </w:r>
            <w:r w:rsidR="00A32576">
              <w:t>45</w:t>
            </w:r>
            <w:r w:rsidR="002005B5">
              <w:t>,000,000</w:t>
            </w:r>
          </w:p>
        </w:tc>
      </w:tr>
      <w:tr w:rsidR="0088536C" w14:paraId="684DB806" w14:textId="77777777" w:rsidTr="00AF750E">
        <w:tc>
          <w:tcPr>
            <w:tcW w:w="2337" w:type="dxa"/>
          </w:tcPr>
          <w:p w14:paraId="5BAEFCAE" w14:textId="77777777" w:rsidR="0088536C" w:rsidRDefault="0088536C" w:rsidP="00AF750E">
            <w:pPr>
              <w:jc w:val="center"/>
            </w:pPr>
            <w:r>
              <w:t>$/MT CO2e</w:t>
            </w:r>
          </w:p>
        </w:tc>
        <w:tc>
          <w:tcPr>
            <w:tcW w:w="2337" w:type="dxa"/>
            <w:vAlign w:val="center"/>
          </w:tcPr>
          <w:p w14:paraId="632084BD" w14:textId="1521BCC3" w:rsidR="0088536C" w:rsidRDefault="0088536C" w:rsidP="00AF750E">
            <w:pPr>
              <w:jc w:val="center"/>
            </w:pPr>
            <w:r>
              <w:t>$</w:t>
            </w:r>
            <w:r w:rsidR="003F60A5">
              <w:t>5,0</w:t>
            </w:r>
            <w:r w:rsidR="00A32576">
              <w:t>00</w:t>
            </w:r>
          </w:p>
        </w:tc>
        <w:tc>
          <w:tcPr>
            <w:tcW w:w="2339" w:type="dxa"/>
            <w:vAlign w:val="center"/>
          </w:tcPr>
          <w:p w14:paraId="71912538" w14:textId="4064A0BD" w:rsidR="0088536C" w:rsidRDefault="0088536C" w:rsidP="00AF750E">
            <w:pPr>
              <w:jc w:val="center"/>
            </w:pPr>
            <w:r>
              <w:t>$</w:t>
            </w:r>
            <w:r w:rsidR="003F60A5">
              <w:t>6,0</w:t>
            </w:r>
            <w:r>
              <w:t>0</w:t>
            </w:r>
            <w:r w:rsidR="002005B5">
              <w:t>0</w:t>
            </w:r>
          </w:p>
        </w:tc>
      </w:tr>
    </w:tbl>
    <w:p w14:paraId="0899A090" w14:textId="77777777" w:rsidR="0088536C" w:rsidRDefault="0088536C" w:rsidP="0088536C"/>
    <w:p w14:paraId="3D5CAC2F" w14:textId="77777777" w:rsidR="000670B8" w:rsidRDefault="000670B8" w:rsidP="00BF68B1">
      <w:pPr>
        <w:pStyle w:val="p3"/>
        <w:rPr>
          <w:rFonts w:ascii="Arial" w:hAnsi="Arial" w:cs="Arial"/>
          <w:b/>
          <w:bCs/>
          <w:sz w:val="24"/>
          <w:szCs w:val="24"/>
        </w:rPr>
      </w:pPr>
    </w:p>
    <w:p w14:paraId="4CB57195" w14:textId="2384EBF4" w:rsidR="008C623C" w:rsidRDefault="008C623C" w:rsidP="00BF68B1">
      <w:pPr>
        <w:pStyle w:val="p3"/>
        <w:rPr>
          <w:rFonts w:ascii="Arial" w:hAnsi="Arial" w:cs="Arial"/>
          <w:b/>
          <w:bCs/>
          <w:sz w:val="24"/>
          <w:szCs w:val="24"/>
        </w:rPr>
      </w:pPr>
      <w:r>
        <w:rPr>
          <w:rFonts w:ascii="Arial" w:hAnsi="Arial" w:cs="Arial"/>
          <w:b/>
          <w:bCs/>
          <w:sz w:val="24"/>
          <w:szCs w:val="24"/>
        </w:rPr>
        <w:lastRenderedPageBreak/>
        <w:t>STRATEGIES TO CONSIDER FROM OTHER MUNICIPALITIES</w:t>
      </w:r>
    </w:p>
    <w:p w14:paraId="7D19101F" w14:textId="77777777" w:rsidR="00CD615F" w:rsidRDefault="00CD615F" w:rsidP="00BF68B1">
      <w:pPr>
        <w:pStyle w:val="p3"/>
        <w:rPr>
          <w:rFonts w:ascii="Arial" w:hAnsi="Arial" w:cs="Arial"/>
          <w:b/>
          <w:bCs/>
          <w:sz w:val="24"/>
          <w:szCs w:val="24"/>
        </w:rPr>
      </w:pPr>
    </w:p>
    <w:p w14:paraId="39E797F1" w14:textId="20F814E0" w:rsidR="00CD615F" w:rsidRDefault="00CD615F" w:rsidP="00BF68B1">
      <w:pPr>
        <w:pStyle w:val="p3"/>
        <w:rPr>
          <w:rFonts w:ascii="Arial" w:hAnsi="Arial" w:cs="Arial"/>
          <w:sz w:val="24"/>
          <w:szCs w:val="24"/>
        </w:rPr>
      </w:pPr>
      <w:r>
        <w:rPr>
          <w:rFonts w:ascii="Arial" w:hAnsi="Arial" w:cs="Arial"/>
          <w:sz w:val="24"/>
          <w:szCs w:val="24"/>
        </w:rPr>
        <w:t xml:space="preserve">Contact municipal staff and community organizers from Boston, Cambridge, Lexington, and Newton to discuss their experience with </w:t>
      </w:r>
      <w:r w:rsidR="001E19A7">
        <w:rPr>
          <w:rFonts w:ascii="Arial" w:hAnsi="Arial" w:cs="Arial"/>
          <w:sz w:val="24"/>
          <w:szCs w:val="24"/>
        </w:rPr>
        <w:t xml:space="preserve">enacted </w:t>
      </w:r>
      <w:r>
        <w:rPr>
          <w:rFonts w:ascii="Arial" w:hAnsi="Arial" w:cs="Arial"/>
          <w:sz w:val="24"/>
          <w:szCs w:val="24"/>
        </w:rPr>
        <w:t xml:space="preserve">BERDO </w:t>
      </w:r>
      <w:r w:rsidR="001E19A7">
        <w:rPr>
          <w:rFonts w:ascii="Arial" w:hAnsi="Arial" w:cs="Arial"/>
          <w:sz w:val="24"/>
          <w:szCs w:val="24"/>
        </w:rPr>
        <w:t>ordinances</w:t>
      </w:r>
    </w:p>
    <w:p w14:paraId="2D768AC5" w14:textId="77777777" w:rsidR="00CD615F" w:rsidRDefault="00CD615F" w:rsidP="00BF68B1">
      <w:pPr>
        <w:pStyle w:val="p3"/>
        <w:rPr>
          <w:rFonts w:ascii="Arial" w:hAnsi="Arial" w:cs="Arial"/>
          <w:sz w:val="24"/>
          <w:szCs w:val="24"/>
        </w:rPr>
      </w:pPr>
    </w:p>
    <w:p w14:paraId="55430810" w14:textId="683EA6E7" w:rsidR="00CD615F" w:rsidRDefault="00CD615F" w:rsidP="00CD615F">
      <w:pPr>
        <w:pStyle w:val="p3"/>
        <w:rPr>
          <w:rFonts w:ascii="Arial" w:hAnsi="Arial" w:cs="Arial"/>
          <w:sz w:val="24"/>
          <w:szCs w:val="24"/>
        </w:rPr>
      </w:pPr>
      <w:r>
        <w:rPr>
          <w:rFonts w:ascii="Arial" w:hAnsi="Arial" w:cs="Arial"/>
          <w:sz w:val="24"/>
          <w:szCs w:val="24"/>
        </w:rPr>
        <w:t xml:space="preserve">Contact municipal staff and community organizers from Watertown to discuss their experience </w:t>
      </w:r>
      <w:r w:rsidR="001E19A7">
        <w:rPr>
          <w:rFonts w:ascii="Arial" w:hAnsi="Arial" w:cs="Arial"/>
          <w:sz w:val="24"/>
          <w:szCs w:val="24"/>
        </w:rPr>
        <w:t xml:space="preserve">developing </w:t>
      </w:r>
      <w:r>
        <w:rPr>
          <w:rFonts w:ascii="Arial" w:hAnsi="Arial" w:cs="Arial"/>
          <w:sz w:val="24"/>
          <w:szCs w:val="24"/>
        </w:rPr>
        <w:t>BERDO implementation</w:t>
      </w:r>
    </w:p>
    <w:p w14:paraId="7854510B" w14:textId="4BB37E2E" w:rsidR="00FC6258" w:rsidRPr="00E41CEB" w:rsidRDefault="00FC6258">
      <w:pPr>
        <w:rPr>
          <w:rFonts w:ascii="Arial" w:eastAsia="Times New Roman" w:hAnsi="Arial" w:cs="Arial"/>
          <w:color w:val="000000"/>
          <w:kern w:val="0"/>
          <w14:ligatures w14:val="none"/>
        </w:rPr>
      </w:pPr>
    </w:p>
    <w:sectPr w:rsidR="00FC6258" w:rsidRPr="00E41CE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5784B3" w14:textId="77777777" w:rsidR="00625AF0" w:rsidRDefault="00625AF0" w:rsidP="004E696B">
      <w:r>
        <w:separator/>
      </w:r>
    </w:p>
  </w:endnote>
  <w:endnote w:type="continuationSeparator" w:id="0">
    <w:p w14:paraId="54DD26BE" w14:textId="77777777" w:rsidR="00625AF0" w:rsidRDefault="00625AF0" w:rsidP="004E6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5E6EED" w14:textId="77777777" w:rsidR="004E696B" w:rsidRDefault="004E69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6FC47" w14:textId="77777777" w:rsidR="004E696B" w:rsidRDefault="004E69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B5E175" w14:textId="77777777" w:rsidR="004E696B" w:rsidRDefault="004E69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C3DCE5" w14:textId="77777777" w:rsidR="00625AF0" w:rsidRDefault="00625AF0" w:rsidP="004E696B">
      <w:r>
        <w:separator/>
      </w:r>
    </w:p>
  </w:footnote>
  <w:footnote w:type="continuationSeparator" w:id="0">
    <w:p w14:paraId="3CAF1FAA" w14:textId="77777777" w:rsidR="00625AF0" w:rsidRDefault="00625AF0" w:rsidP="004E69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FD170E" w14:textId="00453D87" w:rsidR="004E696B" w:rsidRDefault="00625AF0">
    <w:pPr>
      <w:pStyle w:val="Header"/>
    </w:pPr>
    <w:r>
      <w:rPr>
        <w:noProof/>
      </w:rPr>
      <w:pict w14:anchorId="7B5618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656673" o:spid="_x0000_s1027" type="#_x0000_t136" alt="" style="position:absolute;margin-left:0;margin-top:0;width:467.8pt;height:204.65pt;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6FE0EF" w14:textId="0E4EC645" w:rsidR="004E696B" w:rsidRDefault="00625AF0">
    <w:pPr>
      <w:pStyle w:val="Header"/>
    </w:pPr>
    <w:r>
      <w:rPr>
        <w:noProof/>
      </w:rPr>
      <w:pict w14:anchorId="7F18FBD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656674" o:spid="_x0000_s1026" type="#_x0000_t136" alt="" style="position:absolute;margin-left:0;margin-top:0;width:467.8pt;height:204.65pt;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E5752" w14:textId="0826C1DA" w:rsidR="004E696B" w:rsidRDefault="00625AF0">
    <w:pPr>
      <w:pStyle w:val="Header"/>
    </w:pPr>
    <w:r>
      <w:rPr>
        <w:noProof/>
      </w:rPr>
      <w:pict w14:anchorId="51E7842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656672" o:spid="_x0000_s1025" type="#_x0000_t136" alt="" style="position:absolute;margin-left:0;margin-top:0;width:467.8pt;height:204.65pt;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A16CB"/>
    <w:multiLevelType w:val="hybridMultilevel"/>
    <w:tmpl w:val="123E3998"/>
    <w:lvl w:ilvl="0" w:tplc="D5363A7C">
      <w:start w:val="2"/>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E0ACB"/>
    <w:multiLevelType w:val="hybridMultilevel"/>
    <w:tmpl w:val="666EE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7E63B7"/>
    <w:multiLevelType w:val="hybridMultilevel"/>
    <w:tmpl w:val="746E1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1E0D70"/>
    <w:multiLevelType w:val="hybridMultilevel"/>
    <w:tmpl w:val="89029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EF7907"/>
    <w:multiLevelType w:val="hybridMultilevel"/>
    <w:tmpl w:val="9D369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9C2966"/>
    <w:multiLevelType w:val="hybridMultilevel"/>
    <w:tmpl w:val="D814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BF2C85"/>
    <w:multiLevelType w:val="hybridMultilevel"/>
    <w:tmpl w:val="603AFAC4"/>
    <w:lvl w:ilvl="0" w:tplc="80C0EF1A">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17530A"/>
    <w:multiLevelType w:val="hybridMultilevel"/>
    <w:tmpl w:val="89B0BC18"/>
    <w:lvl w:ilvl="0" w:tplc="BF222F72">
      <w:start w:val="2"/>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8B2B8B"/>
    <w:multiLevelType w:val="hybridMultilevel"/>
    <w:tmpl w:val="E656EC60"/>
    <w:lvl w:ilvl="0" w:tplc="16505DFC">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2D36C3"/>
    <w:multiLevelType w:val="hybridMultilevel"/>
    <w:tmpl w:val="40624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C6C6FAC"/>
    <w:multiLevelType w:val="hybridMultilevel"/>
    <w:tmpl w:val="08200926"/>
    <w:lvl w:ilvl="0" w:tplc="B1D233C2">
      <w:start w:val="2"/>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8823FA"/>
    <w:multiLevelType w:val="hybridMultilevel"/>
    <w:tmpl w:val="2618D290"/>
    <w:lvl w:ilvl="0" w:tplc="385EF164">
      <w:start w:val="2"/>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4C4933"/>
    <w:multiLevelType w:val="hybridMultilevel"/>
    <w:tmpl w:val="C32ADC4A"/>
    <w:lvl w:ilvl="0" w:tplc="E7761944">
      <w:start w:val="2"/>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016D11"/>
    <w:multiLevelType w:val="hybridMultilevel"/>
    <w:tmpl w:val="39CE1728"/>
    <w:lvl w:ilvl="0" w:tplc="D1568BA8">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B62E5A"/>
    <w:multiLevelType w:val="hybridMultilevel"/>
    <w:tmpl w:val="72F82A7A"/>
    <w:lvl w:ilvl="0" w:tplc="945AD204">
      <w:start w:val="2"/>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6A3E3A"/>
    <w:multiLevelType w:val="hybridMultilevel"/>
    <w:tmpl w:val="18E2F07A"/>
    <w:lvl w:ilvl="0" w:tplc="52F2690A">
      <w:start w:val="2"/>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3F6F46"/>
    <w:multiLevelType w:val="hybridMultilevel"/>
    <w:tmpl w:val="1B4A6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48996619">
    <w:abstractNumId w:val="16"/>
  </w:num>
  <w:num w:numId="2" w16cid:durableId="720713923">
    <w:abstractNumId w:val="9"/>
  </w:num>
  <w:num w:numId="3" w16cid:durableId="235672950">
    <w:abstractNumId w:val="8"/>
  </w:num>
  <w:num w:numId="4" w16cid:durableId="1185485495">
    <w:abstractNumId w:val="11"/>
  </w:num>
  <w:num w:numId="5" w16cid:durableId="1102334382">
    <w:abstractNumId w:val="0"/>
  </w:num>
  <w:num w:numId="6" w16cid:durableId="632179348">
    <w:abstractNumId w:val="7"/>
  </w:num>
  <w:num w:numId="7" w16cid:durableId="58595576">
    <w:abstractNumId w:val="15"/>
  </w:num>
  <w:num w:numId="8" w16cid:durableId="387218633">
    <w:abstractNumId w:val="12"/>
  </w:num>
  <w:num w:numId="9" w16cid:durableId="1819564953">
    <w:abstractNumId w:val="10"/>
  </w:num>
  <w:num w:numId="10" w16cid:durableId="1980575391">
    <w:abstractNumId w:val="14"/>
  </w:num>
  <w:num w:numId="11" w16cid:durableId="504369934">
    <w:abstractNumId w:val="6"/>
  </w:num>
  <w:num w:numId="12" w16cid:durableId="1182626349">
    <w:abstractNumId w:val="13"/>
  </w:num>
  <w:num w:numId="13" w16cid:durableId="2070420752">
    <w:abstractNumId w:val="5"/>
  </w:num>
  <w:num w:numId="14" w16cid:durableId="629748182">
    <w:abstractNumId w:val="1"/>
  </w:num>
  <w:num w:numId="15" w16cid:durableId="376006993">
    <w:abstractNumId w:val="2"/>
  </w:num>
  <w:num w:numId="16" w16cid:durableId="672225646">
    <w:abstractNumId w:val="3"/>
  </w:num>
  <w:num w:numId="17" w16cid:durableId="21156624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70D"/>
    <w:rsid w:val="0000334D"/>
    <w:rsid w:val="00007045"/>
    <w:rsid w:val="00013995"/>
    <w:rsid w:val="00013A35"/>
    <w:rsid w:val="00013FFA"/>
    <w:rsid w:val="00015648"/>
    <w:rsid w:val="0003612D"/>
    <w:rsid w:val="00042B38"/>
    <w:rsid w:val="00051F35"/>
    <w:rsid w:val="00061E6B"/>
    <w:rsid w:val="000670B8"/>
    <w:rsid w:val="00070482"/>
    <w:rsid w:val="00086145"/>
    <w:rsid w:val="00092A82"/>
    <w:rsid w:val="00094F9F"/>
    <w:rsid w:val="000A4951"/>
    <w:rsid w:val="000B62F5"/>
    <w:rsid w:val="000C1F45"/>
    <w:rsid w:val="000C5871"/>
    <w:rsid w:val="000C72AB"/>
    <w:rsid w:val="000D2128"/>
    <w:rsid w:val="000D32E2"/>
    <w:rsid w:val="000D7013"/>
    <w:rsid w:val="000E0721"/>
    <w:rsid w:val="000E336E"/>
    <w:rsid w:val="0010225D"/>
    <w:rsid w:val="001026CC"/>
    <w:rsid w:val="00110296"/>
    <w:rsid w:val="00120B46"/>
    <w:rsid w:val="0014533B"/>
    <w:rsid w:val="00160F48"/>
    <w:rsid w:val="00165ABD"/>
    <w:rsid w:val="00173B35"/>
    <w:rsid w:val="00174BC7"/>
    <w:rsid w:val="00183D88"/>
    <w:rsid w:val="00196E0E"/>
    <w:rsid w:val="001D7CCA"/>
    <w:rsid w:val="001E19A7"/>
    <w:rsid w:val="001F05BD"/>
    <w:rsid w:val="001F0B95"/>
    <w:rsid w:val="001F1D50"/>
    <w:rsid w:val="001F4214"/>
    <w:rsid w:val="002005B5"/>
    <w:rsid w:val="002035DB"/>
    <w:rsid w:val="002239B8"/>
    <w:rsid w:val="00223D44"/>
    <w:rsid w:val="00235F75"/>
    <w:rsid w:val="00236942"/>
    <w:rsid w:val="00237DD3"/>
    <w:rsid w:val="0025776C"/>
    <w:rsid w:val="002700BB"/>
    <w:rsid w:val="002726B7"/>
    <w:rsid w:val="00283ACE"/>
    <w:rsid w:val="002875ED"/>
    <w:rsid w:val="002A67CC"/>
    <w:rsid w:val="002B67D2"/>
    <w:rsid w:val="002C0639"/>
    <w:rsid w:val="002C3821"/>
    <w:rsid w:val="002C5972"/>
    <w:rsid w:val="002C59C3"/>
    <w:rsid w:val="002C6F25"/>
    <w:rsid w:val="002D011A"/>
    <w:rsid w:val="002D2C19"/>
    <w:rsid w:val="002D38E9"/>
    <w:rsid w:val="002D64DC"/>
    <w:rsid w:val="002D769E"/>
    <w:rsid w:val="002F7868"/>
    <w:rsid w:val="00304247"/>
    <w:rsid w:val="00304840"/>
    <w:rsid w:val="00306E91"/>
    <w:rsid w:val="00322416"/>
    <w:rsid w:val="00330255"/>
    <w:rsid w:val="00332D2D"/>
    <w:rsid w:val="003430CF"/>
    <w:rsid w:val="0035358F"/>
    <w:rsid w:val="00356ABA"/>
    <w:rsid w:val="00357A69"/>
    <w:rsid w:val="00363403"/>
    <w:rsid w:val="0037704D"/>
    <w:rsid w:val="00386985"/>
    <w:rsid w:val="003B7B9B"/>
    <w:rsid w:val="003D3D9C"/>
    <w:rsid w:val="003D6156"/>
    <w:rsid w:val="003E28DB"/>
    <w:rsid w:val="003E70DE"/>
    <w:rsid w:val="003F4C0C"/>
    <w:rsid w:val="003F60A5"/>
    <w:rsid w:val="00406AD5"/>
    <w:rsid w:val="00444473"/>
    <w:rsid w:val="00445A54"/>
    <w:rsid w:val="00455261"/>
    <w:rsid w:val="00460298"/>
    <w:rsid w:val="004665A1"/>
    <w:rsid w:val="0047109C"/>
    <w:rsid w:val="004737E6"/>
    <w:rsid w:val="00474E0B"/>
    <w:rsid w:val="00481173"/>
    <w:rsid w:val="004817B6"/>
    <w:rsid w:val="00494587"/>
    <w:rsid w:val="004948DD"/>
    <w:rsid w:val="00495FDF"/>
    <w:rsid w:val="004A043F"/>
    <w:rsid w:val="004A13F9"/>
    <w:rsid w:val="004A585A"/>
    <w:rsid w:val="004A6087"/>
    <w:rsid w:val="004B40B4"/>
    <w:rsid w:val="004B570D"/>
    <w:rsid w:val="004C0452"/>
    <w:rsid w:val="004E5683"/>
    <w:rsid w:val="004E6407"/>
    <w:rsid w:val="004E696B"/>
    <w:rsid w:val="004F47E9"/>
    <w:rsid w:val="00507CBE"/>
    <w:rsid w:val="00524D7B"/>
    <w:rsid w:val="0054156B"/>
    <w:rsid w:val="00546E39"/>
    <w:rsid w:val="00553352"/>
    <w:rsid w:val="0056579F"/>
    <w:rsid w:val="0056627E"/>
    <w:rsid w:val="00566F91"/>
    <w:rsid w:val="00581E4C"/>
    <w:rsid w:val="0058427B"/>
    <w:rsid w:val="00587504"/>
    <w:rsid w:val="005A317E"/>
    <w:rsid w:val="005A6EEC"/>
    <w:rsid w:val="005B0325"/>
    <w:rsid w:val="005C58E7"/>
    <w:rsid w:val="005E0585"/>
    <w:rsid w:val="005E4EF0"/>
    <w:rsid w:val="005F7756"/>
    <w:rsid w:val="006047E6"/>
    <w:rsid w:val="00605B3D"/>
    <w:rsid w:val="006202EF"/>
    <w:rsid w:val="00625AF0"/>
    <w:rsid w:val="006469E6"/>
    <w:rsid w:val="00646A9F"/>
    <w:rsid w:val="00650E15"/>
    <w:rsid w:val="00663813"/>
    <w:rsid w:val="00674346"/>
    <w:rsid w:val="00676CA3"/>
    <w:rsid w:val="006A57B9"/>
    <w:rsid w:val="006B7A99"/>
    <w:rsid w:val="006C3D8E"/>
    <w:rsid w:val="006D0E58"/>
    <w:rsid w:val="006D4854"/>
    <w:rsid w:val="006E2002"/>
    <w:rsid w:val="006E59E4"/>
    <w:rsid w:val="006F043E"/>
    <w:rsid w:val="006F5993"/>
    <w:rsid w:val="00704E2E"/>
    <w:rsid w:val="007073A0"/>
    <w:rsid w:val="007139DA"/>
    <w:rsid w:val="007249D2"/>
    <w:rsid w:val="00724CA3"/>
    <w:rsid w:val="00727D49"/>
    <w:rsid w:val="00740191"/>
    <w:rsid w:val="007564EA"/>
    <w:rsid w:val="007573C6"/>
    <w:rsid w:val="00775531"/>
    <w:rsid w:val="00780BC8"/>
    <w:rsid w:val="00784333"/>
    <w:rsid w:val="007C27B2"/>
    <w:rsid w:val="007D37DA"/>
    <w:rsid w:val="007D500C"/>
    <w:rsid w:val="007D6CF6"/>
    <w:rsid w:val="007E47F2"/>
    <w:rsid w:val="007E6812"/>
    <w:rsid w:val="007F0DB7"/>
    <w:rsid w:val="007F2DF8"/>
    <w:rsid w:val="007F4481"/>
    <w:rsid w:val="00801DE0"/>
    <w:rsid w:val="0080442E"/>
    <w:rsid w:val="00807AAB"/>
    <w:rsid w:val="00815705"/>
    <w:rsid w:val="00815910"/>
    <w:rsid w:val="0081668C"/>
    <w:rsid w:val="00846DBF"/>
    <w:rsid w:val="00855C1E"/>
    <w:rsid w:val="00866363"/>
    <w:rsid w:val="00875492"/>
    <w:rsid w:val="0087621E"/>
    <w:rsid w:val="008835E2"/>
    <w:rsid w:val="00884D5D"/>
    <w:rsid w:val="0088536C"/>
    <w:rsid w:val="00891654"/>
    <w:rsid w:val="008A45A1"/>
    <w:rsid w:val="008B08FA"/>
    <w:rsid w:val="008C623C"/>
    <w:rsid w:val="008D7454"/>
    <w:rsid w:val="008F60BD"/>
    <w:rsid w:val="00912BB2"/>
    <w:rsid w:val="00920888"/>
    <w:rsid w:val="009430CA"/>
    <w:rsid w:val="00960A64"/>
    <w:rsid w:val="00960E9A"/>
    <w:rsid w:val="0096757D"/>
    <w:rsid w:val="0098164A"/>
    <w:rsid w:val="00996127"/>
    <w:rsid w:val="00996DA5"/>
    <w:rsid w:val="009C253C"/>
    <w:rsid w:val="009D4D47"/>
    <w:rsid w:val="009E272D"/>
    <w:rsid w:val="009F2C83"/>
    <w:rsid w:val="009F4EB9"/>
    <w:rsid w:val="00A03C20"/>
    <w:rsid w:val="00A1312C"/>
    <w:rsid w:val="00A1524A"/>
    <w:rsid w:val="00A30A51"/>
    <w:rsid w:val="00A32353"/>
    <w:rsid w:val="00A32576"/>
    <w:rsid w:val="00A3515F"/>
    <w:rsid w:val="00A41D77"/>
    <w:rsid w:val="00A61CFE"/>
    <w:rsid w:val="00A6405F"/>
    <w:rsid w:val="00A72304"/>
    <w:rsid w:val="00A72945"/>
    <w:rsid w:val="00A838DF"/>
    <w:rsid w:val="00AA4671"/>
    <w:rsid w:val="00AA4D6B"/>
    <w:rsid w:val="00AA6161"/>
    <w:rsid w:val="00AC2499"/>
    <w:rsid w:val="00AD0D40"/>
    <w:rsid w:val="00AD4624"/>
    <w:rsid w:val="00AE6519"/>
    <w:rsid w:val="00AE6FD4"/>
    <w:rsid w:val="00AF06F3"/>
    <w:rsid w:val="00AF5C45"/>
    <w:rsid w:val="00AF750E"/>
    <w:rsid w:val="00B0460A"/>
    <w:rsid w:val="00B21D7F"/>
    <w:rsid w:val="00B31994"/>
    <w:rsid w:val="00B41652"/>
    <w:rsid w:val="00B4188F"/>
    <w:rsid w:val="00B5709B"/>
    <w:rsid w:val="00B62860"/>
    <w:rsid w:val="00B6414A"/>
    <w:rsid w:val="00B76C76"/>
    <w:rsid w:val="00BA3677"/>
    <w:rsid w:val="00BA381E"/>
    <w:rsid w:val="00BA3915"/>
    <w:rsid w:val="00BA6D22"/>
    <w:rsid w:val="00BC7972"/>
    <w:rsid w:val="00BD0EA0"/>
    <w:rsid w:val="00BD7746"/>
    <w:rsid w:val="00BE0DE8"/>
    <w:rsid w:val="00BE6CA7"/>
    <w:rsid w:val="00BF68B1"/>
    <w:rsid w:val="00BF77ED"/>
    <w:rsid w:val="00C02914"/>
    <w:rsid w:val="00C03425"/>
    <w:rsid w:val="00C44B9A"/>
    <w:rsid w:val="00C54586"/>
    <w:rsid w:val="00C74185"/>
    <w:rsid w:val="00C7447F"/>
    <w:rsid w:val="00C7646C"/>
    <w:rsid w:val="00C768C4"/>
    <w:rsid w:val="00C862FA"/>
    <w:rsid w:val="00C910E6"/>
    <w:rsid w:val="00C93B07"/>
    <w:rsid w:val="00CA4B22"/>
    <w:rsid w:val="00CB27EF"/>
    <w:rsid w:val="00CC316F"/>
    <w:rsid w:val="00CC4099"/>
    <w:rsid w:val="00CC48ED"/>
    <w:rsid w:val="00CC621E"/>
    <w:rsid w:val="00CD1E5A"/>
    <w:rsid w:val="00CD615F"/>
    <w:rsid w:val="00CE3E74"/>
    <w:rsid w:val="00CF2A27"/>
    <w:rsid w:val="00CF647A"/>
    <w:rsid w:val="00CF7087"/>
    <w:rsid w:val="00D04EA1"/>
    <w:rsid w:val="00D07668"/>
    <w:rsid w:val="00D15028"/>
    <w:rsid w:val="00D26B36"/>
    <w:rsid w:val="00D30893"/>
    <w:rsid w:val="00D34055"/>
    <w:rsid w:val="00D36954"/>
    <w:rsid w:val="00D424DC"/>
    <w:rsid w:val="00D5523F"/>
    <w:rsid w:val="00D645B6"/>
    <w:rsid w:val="00D662AA"/>
    <w:rsid w:val="00D669AD"/>
    <w:rsid w:val="00D72722"/>
    <w:rsid w:val="00D77C8F"/>
    <w:rsid w:val="00D8565D"/>
    <w:rsid w:val="00D85E30"/>
    <w:rsid w:val="00DA05CE"/>
    <w:rsid w:val="00DA2812"/>
    <w:rsid w:val="00DC3F17"/>
    <w:rsid w:val="00DD1B41"/>
    <w:rsid w:val="00DE100A"/>
    <w:rsid w:val="00DE178B"/>
    <w:rsid w:val="00DF44E9"/>
    <w:rsid w:val="00DF6F9E"/>
    <w:rsid w:val="00E048AC"/>
    <w:rsid w:val="00E05F4D"/>
    <w:rsid w:val="00E274BD"/>
    <w:rsid w:val="00E37A76"/>
    <w:rsid w:val="00E41736"/>
    <w:rsid w:val="00E41CEB"/>
    <w:rsid w:val="00E43B31"/>
    <w:rsid w:val="00E46DCB"/>
    <w:rsid w:val="00E52DBD"/>
    <w:rsid w:val="00E56C43"/>
    <w:rsid w:val="00E571FF"/>
    <w:rsid w:val="00E73427"/>
    <w:rsid w:val="00E7489D"/>
    <w:rsid w:val="00E84EF9"/>
    <w:rsid w:val="00E91EED"/>
    <w:rsid w:val="00E92D42"/>
    <w:rsid w:val="00E97765"/>
    <w:rsid w:val="00EB5CA6"/>
    <w:rsid w:val="00EC2347"/>
    <w:rsid w:val="00EC55F9"/>
    <w:rsid w:val="00EC750B"/>
    <w:rsid w:val="00EC7B66"/>
    <w:rsid w:val="00ED59C8"/>
    <w:rsid w:val="00EE255B"/>
    <w:rsid w:val="00EE37F2"/>
    <w:rsid w:val="00EF0705"/>
    <w:rsid w:val="00EF6225"/>
    <w:rsid w:val="00F04054"/>
    <w:rsid w:val="00F0570C"/>
    <w:rsid w:val="00F06613"/>
    <w:rsid w:val="00F07F49"/>
    <w:rsid w:val="00F21FC4"/>
    <w:rsid w:val="00F30D4A"/>
    <w:rsid w:val="00F333B6"/>
    <w:rsid w:val="00F35013"/>
    <w:rsid w:val="00F4727D"/>
    <w:rsid w:val="00F551A4"/>
    <w:rsid w:val="00F628A4"/>
    <w:rsid w:val="00F64F9F"/>
    <w:rsid w:val="00F86BF0"/>
    <w:rsid w:val="00F86C52"/>
    <w:rsid w:val="00FA60C4"/>
    <w:rsid w:val="00FC1800"/>
    <w:rsid w:val="00FC3393"/>
    <w:rsid w:val="00FC6258"/>
    <w:rsid w:val="00FD5582"/>
    <w:rsid w:val="00FD7C82"/>
    <w:rsid w:val="00FE5D90"/>
    <w:rsid w:val="00FE6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E610AA"/>
  <w15:chartTrackingRefBased/>
  <w15:docId w15:val="{E1BBD453-D4E6-864A-A974-DDA306E7D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57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57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57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57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57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570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570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570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570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7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57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57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57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57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57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57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57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570D"/>
    <w:rPr>
      <w:rFonts w:eastAsiaTheme="majorEastAsia" w:cstheme="majorBidi"/>
      <w:color w:val="272727" w:themeColor="text1" w:themeTint="D8"/>
    </w:rPr>
  </w:style>
  <w:style w:type="paragraph" w:styleId="Title">
    <w:name w:val="Title"/>
    <w:basedOn w:val="Normal"/>
    <w:next w:val="Normal"/>
    <w:link w:val="TitleChar"/>
    <w:uiPriority w:val="10"/>
    <w:qFormat/>
    <w:rsid w:val="004B570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7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570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57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570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B570D"/>
    <w:rPr>
      <w:i/>
      <w:iCs/>
      <w:color w:val="404040" w:themeColor="text1" w:themeTint="BF"/>
    </w:rPr>
  </w:style>
  <w:style w:type="paragraph" w:styleId="ListParagraph">
    <w:name w:val="List Paragraph"/>
    <w:basedOn w:val="Normal"/>
    <w:uiPriority w:val="34"/>
    <w:qFormat/>
    <w:rsid w:val="004B570D"/>
    <w:pPr>
      <w:ind w:left="720"/>
      <w:contextualSpacing/>
    </w:pPr>
  </w:style>
  <w:style w:type="character" w:styleId="IntenseEmphasis">
    <w:name w:val="Intense Emphasis"/>
    <w:basedOn w:val="DefaultParagraphFont"/>
    <w:uiPriority w:val="21"/>
    <w:qFormat/>
    <w:rsid w:val="004B570D"/>
    <w:rPr>
      <w:i/>
      <w:iCs/>
      <w:color w:val="0F4761" w:themeColor="accent1" w:themeShade="BF"/>
    </w:rPr>
  </w:style>
  <w:style w:type="paragraph" w:styleId="IntenseQuote">
    <w:name w:val="Intense Quote"/>
    <w:basedOn w:val="Normal"/>
    <w:next w:val="Normal"/>
    <w:link w:val="IntenseQuoteChar"/>
    <w:uiPriority w:val="30"/>
    <w:qFormat/>
    <w:rsid w:val="004B57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570D"/>
    <w:rPr>
      <w:i/>
      <w:iCs/>
      <w:color w:val="0F4761" w:themeColor="accent1" w:themeShade="BF"/>
    </w:rPr>
  </w:style>
  <w:style w:type="character" w:styleId="IntenseReference">
    <w:name w:val="Intense Reference"/>
    <w:basedOn w:val="DefaultParagraphFont"/>
    <w:uiPriority w:val="32"/>
    <w:qFormat/>
    <w:rsid w:val="004B570D"/>
    <w:rPr>
      <w:b/>
      <w:bCs/>
      <w:smallCaps/>
      <w:color w:val="0F4761" w:themeColor="accent1" w:themeShade="BF"/>
      <w:spacing w:val="5"/>
    </w:rPr>
  </w:style>
  <w:style w:type="paragraph" w:customStyle="1" w:styleId="p1">
    <w:name w:val="p1"/>
    <w:basedOn w:val="Normal"/>
    <w:rsid w:val="004B570D"/>
    <w:rPr>
      <w:rFonts w:ascii="Helvetica" w:eastAsia="Times New Roman" w:hAnsi="Helvetica" w:cs="Times New Roman"/>
      <w:color w:val="0F374E"/>
      <w:kern w:val="0"/>
      <w:sz w:val="30"/>
      <w:szCs w:val="30"/>
      <w14:ligatures w14:val="none"/>
    </w:rPr>
  </w:style>
  <w:style w:type="paragraph" w:customStyle="1" w:styleId="p2">
    <w:name w:val="p2"/>
    <w:basedOn w:val="Normal"/>
    <w:rsid w:val="004B570D"/>
    <w:rPr>
      <w:rFonts w:ascii="Helvetica" w:eastAsia="Times New Roman" w:hAnsi="Helvetica" w:cs="Times New Roman"/>
      <w:color w:val="0F374E"/>
      <w:kern w:val="0"/>
      <w14:ligatures w14:val="none"/>
    </w:rPr>
  </w:style>
  <w:style w:type="paragraph" w:customStyle="1" w:styleId="p3">
    <w:name w:val="p3"/>
    <w:basedOn w:val="Normal"/>
    <w:rsid w:val="004B570D"/>
    <w:rPr>
      <w:rFonts w:ascii="Helvetica" w:eastAsia="Times New Roman" w:hAnsi="Helvetica" w:cs="Times New Roman"/>
      <w:color w:val="000000"/>
      <w:kern w:val="0"/>
      <w:sz w:val="18"/>
      <w:szCs w:val="18"/>
      <w14:ligatures w14:val="none"/>
    </w:rPr>
  </w:style>
  <w:style w:type="character" w:customStyle="1" w:styleId="s1">
    <w:name w:val="s1"/>
    <w:basedOn w:val="DefaultParagraphFont"/>
    <w:rsid w:val="004B570D"/>
    <w:rPr>
      <w:rFonts w:ascii="Arial" w:hAnsi="Arial" w:cs="Arial" w:hint="default"/>
      <w:sz w:val="18"/>
      <w:szCs w:val="18"/>
    </w:rPr>
  </w:style>
  <w:style w:type="character" w:customStyle="1" w:styleId="s2">
    <w:name w:val="s2"/>
    <w:basedOn w:val="DefaultParagraphFont"/>
    <w:rsid w:val="004B570D"/>
    <w:rPr>
      <w:rFonts w:ascii="Calibri" w:hAnsi="Calibri" w:cs="Calibri" w:hint="default"/>
      <w:sz w:val="15"/>
      <w:szCs w:val="15"/>
    </w:rPr>
  </w:style>
  <w:style w:type="character" w:customStyle="1" w:styleId="s3">
    <w:name w:val="s3"/>
    <w:basedOn w:val="DefaultParagraphFont"/>
    <w:rsid w:val="004B570D"/>
    <w:rPr>
      <w:rFonts w:ascii="Arial" w:hAnsi="Arial" w:cs="Arial" w:hint="default"/>
      <w:sz w:val="15"/>
      <w:szCs w:val="15"/>
    </w:rPr>
  </w:style>
  <w:style w:type="character" w:customStyle="1" w:styleId="s4">
    <w:name w:val="s4"/>
    <w:basedOn w:val="DefaultParagraphFont"/>
    <w:rsid w:val="004B570D"/>
    <w:rPr>
      <w:rFonts w:ascii="Courier New" w:hAnsi="Courier New" w:cs="Courier New" w:hint="default"/>
      <w:sz w:val="15"/>
      <w:szCs w:val="15"/>
    </w:rPr>
  </w:style>
  <w:style w:type="paragraph" w:styleId="Header">
    <w:name w:val="header"/>
    <w:basedOn w:val="Normal"/>
    <w:link w:val="HeaderChar"/>
    <w:uiPriority w:val="99"/>
    <w:unhideWhenUsed/>
    <w:rsid w:val="004E696B"/>
    <w:pPr>
      <w:tabs>
        <w:tab w:val="center" w:pos="4680"/>
        <w:tab w:val="right" w:pos="9360"/>
      </w:tabs>
    </w:pPr>
  </w:style>
  <w:style w:type="character" w:customStyle="1" w:styleId="HeaderChar">
    <w:name w:val="Header Char"/>
    <w:basedOn w:val="DefaultParagraphFont"/>
    <w:link w:val="Header"/>
    <w:uiPriority w:val="99"/>
    <w:rsid w:val="004E696B"/>
  </w:style>
  <w:style w:type="paragraph" w:styleId="Footer">
    <w:name w:val="footer"/>
    <w:basedOn w:val="Normal"/>
    <w:link w:val="FooterChar"/>
    <w:uiPriority w:val="99"/>
    <w:unhideWhenUsed/>
    <w:rsid w:val="004E696B"/>
    <w:pPr>
      <w:tabs>
        <w:tab w:val="center" w:pos="4680"/>
        <w:tab w:val="right" w:pos="9360"/>
      </w:tabs>
    </w:pPr>
  </w:style>
  <w:style w:type="character" w:customStyle="1" w:styleId="FooterChar">
    <w:name w:val="Footer Char"/>
    <w:basedOn w:val="DefaultParagraphFont"/>
    <w:link w:val="Footer"/>
    <w:uiPriority w:val="99"/>
    <w:rsid w:val="004E696B"/>
  </w:style>
  <w:style w:type="table" w:styleId="TableGrid">
    <w:name w:val="Table Grid"/>
    <w:basedOn w:val="TableNormal"/>
    <w:uiPriority w:val="39"/>
    <w:rsid w:val="00FA60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F1D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01848">
      <w:bodyDiv w:val="1"/>
      <w:marLeft w:val="0"/>
      <w:marRight w:val="0"/>
      <w:marTop w:val="0"/>
      <w:marBottom w:val="0"/>
      <w:divBdr>
        <w:top w:val="none" w:sz="0" w:space="0" w:color="auto"/>
        <w:left w:val="none" w:sz="0" w:space="0" w:color="auto"/>
        <w:bottom w:val="none" w:sz="0" w:space="0" w:color="auto"/>
        <w:right w:val="none" w:sz="0" w:space="0" w:color="auto"/>
      </w:divBdr>
    </w:div>
    <w:div w:id="293994879">
      <w:bodyDiv w:val="1"/>
      <w:marLeft w:val="0"/>
      <w:marRight w:val="0"/>
      <w:marTop w:val="0"/>
      <w:marBottom w:val="0"/>
      <w:divBdr>
        <w:top w:val="none" w:sz="0" w:space="0" w:color="auto"/>
        <w:left w:val="none" w:sz="0" w:space="0" w:color="auto"/>
        <w:bottom w:val="none" w:sz="0" w:space="0" w:color="auto"/>
        <w:right w:val="none" w:sz="0" w:space="0" w:color="auto"/>
      </w:divBdr>
    </w:div>
    <w:div w:id="589122655">
      <w:bodyDiv w:val="1"/>
      <w:marLeft w:val="0"/>
      <w:marRight w:val="0"/>
      <w:marTop w:val="0"/>
      <w:marBottom w:val="0"/>
      <w:divBdr>
        <w:top w:val="none" w:sz="0" w:space="0" w:color="auto"/>
        <w:left w:val="none" w:sz="0" w:space="0" w:color="auto"/>
        <w:bottom w:val="none" w:sz="0" w:space="0" w:color="auto"/>
        <w:right w:val="none" w:sz="0" w:space="0" w:color="auto"/>
      </w:divBdr>
    </w:div>
    <w:div w:id="611086610">
      <w:bodyDiv w:val="1"/>
      <w:marLeft w:val="0"/>
      <w:marRight w:val="0"/>
      <w:marTop w:val="0"/>
      <w:marBottom w:val="0"/>
      <w:divBdr>
        <w:top w:val="none" w:sz="0" w:space="0" w:color="auto"/>
        <w:left w:val="none" w:sz="0" w:space="0" w:color="auto"/>
        <w:bottom w:val="none" w:sz="0" w:space="0" w:color="auto"/>
        <w:right w:val="none" w:sz="0" w:space="0" w:color="auto"/>
      </w:divBdr>
    </w:div>
    <w:div w:id="709066083">
      <w:bodyDiv w:val="1"/>
      <w:marLeft w:val="0"/>
      <w:marRight w:val="0"/>
      <w:marTop w:val="0"/>
      <w:marBottom w:val="0"/>
      <w:divBdr>
        <w:top w:val="none" w:sz="0" w:space="0" w:color="auto"/>
        <w:left w:val="none" w:sz="0" w:space="0" w:color="auto"/>
        <w:bottom w:val="none" w:sz="0" w:space="0" w:color="auto"/>
        <w:right w:val="none" w:sz="0" w:space="0" w:color="auto"/>
      </w:divBdr>
    </w:div>
    <w:div w:id="1014307000">
      <w:bodyDiv w:val="1"/>
      <w:marLeft w:val="0"/>
      <w:marRight w:val="0"/>
      <w:marTop w:val="0"/>
      <w:marBottom w:val="0"/>
      <w:divBdr>
        <w:top w:val="none" w:sz="0" w:space="0" w:color="auto"/>
        <w:left w:val="none" w:sz="0" w:space="0" w:color="auto"/>
        <w:bottom w:val="none" w:sz="0" w:space="0" w:color="auto"/>
        <w:right w:val="none" w:sz="0" w:space="0" w:color="auto"/>
      </w:divBdr>
    </w:div>
    <w:div w:id="1234587513">
      <w:bodyDiv w:val="1"/>
      <w:marLeft w:val="0"/>
      <w:marRight w:val="0"/>
      <w:marTop w:val="0"/>
      <w:marBottom w:val="0"/>
      <w:divBdr>
        <w:top w:val="none" w:sz="0" w:space="0" w:color="auto"/>
        <w:left w:val="none" w:sz="0" w:space="0" w:color="auto"/>
        <w:bottom w:val="none" w:sz="0" w:space="0" w:color="auto"/>
        <w:right w:val="none" w:sz="0" w:space="0" w:color="auto"/>
      </w:divBdr>
    </w:div>
    <w:div w:id="1255632659">
      <w:bodyDiv w:val="1"/>
      <w:marLeft w:val="0"/>
      <w:marRight w:val="0"/>
      <w:marTop w:val="0"/>
      <w:marBottom w:val="0"/>
      <w:divBdr>
        <w:top w:val="none" w:sz="0" w:space="0" w:color="auto"/>
        <w:left w:val="none" w:sz="0" w:space="0" w:color="auto"/>
        <w:bottom w:val="none" w:sz="0" w:space="0" w:color="auto"/>
        <w:right w:val="none" w:sz="0" w:space="0" w:color="auto"/>
      </w:divBdr>
    </w:div>
    <w:div w:id="1341932521">
      <w:bodyDiv w:val="1"/>
      <w:marLeft w:val="0"/>
      <w:marRight w:val="0"/>
      <w:marTop w:val="0"/>
      <w:marBottom w:val="0"/>
      <w:divBdr>
        <w:top w:val="none" w:sz="0" w:space="0" w:color="auto"/>
        <w:left w:val="none" w:sz="0" w:space="0" w:color="auto"/>
        <w:bottom w:val="none" w:sz="0" w:space="0" w:color="auto"/>
        <w:right w:val="none" w:sz="0" w:space="0" w:color="auto"/>
      </w:divBdr>
    </w:div>
    <w:div w:id="1586843793">
      <w:bodyDiv w:val="1"/>
      <w:marLeft w:val="0"/>
      <w:marRight w:val="0"/>
      <w:marTop w:val="0"/>
      <w:marBottom w:val="0"/>
      <w:divBdr>
        <w:top w:val="none" w:sz="0" w:space="0" w:color="auto"/>
        <w:left w:val="none" w:sz="0" w:space="0" w:color="auto"/>
        <w:bottom w:val="none" w:sz="0" w:space="0" w:color="auto"/>
        <w:right w:val="none" w:sz="0" w:space="0" w:color="auto"/>
      </w:divBdr>
    </w:div>
    <w:div w:id="1749841233">
      <w:bodyDiv w:val="1"/>
      <w:marLeft w:val="0"/>
      <w:marRight w:val="0"/>
      <w:marTop w:val="0"/>
      <w:marBottom w:val="0"/>
      <w:divBdr>
        <w:top w:val="none" w:sz="0" w:space="0" w:color="auto"/>
        <w:left w:val="none" w:sz="0" w:space="0" w:color="auto"/>
        <w:bottom w:val="none" w:sz="0" w:space="0" w:color="auto"/>
        <w:right w:val="none" w:sz="0" w:space="0" w:color="auto"/>
      </w:divBdr>
    </w:div>
    <w:div w:id="1819302437">
      <w:bodyDiv w:val="1"/>
      <w:marLeft w:val="0"/>
      <w:marRight w:val="0"/>
      <w:marTop w:val="0"/>
      <w:marBottom w:val="0"/>
      <w:divBdr>
        <w:top w:val="none" w:sz="0" w:space="0" w:color="auto"/>
        <w:left w:val="none" w:sz="0" w:space="0" w:color="auto"/>
        <w:bottom w:val="none" w:sz="0" w:space="0" w:color="auto"/>
        <w:right w:val="none" w:sz="0" w:space="0" w:color="auto"/>
      </w:divBdr>
    </w:div>
    <w:div w:id="1841962268">
      <w:bodyDiv w:val="1"/>
      <w:marLeft w:val="0"/>
      <w:marRight w:val="0"/>
      <w:marTop w:val="0"/>
      <w:marBottom w:val="0"/>
      <w:divBdr>
        <w:top w:val="none" w:sz="0" w:space="0" w:color="auto"/>
        <w:left w:val="none" w:sz="0" w:space="0" w:color="auto"/>
        <w:bottom w:val="none" w:sz="0" w:space="0" w:color="auto"/>
        <w:right w:val="none" w:sz="0" w:space="0" w:color="auto"/>
      </w:divBdr>
    </w:div>
    <w:div w:id="1994218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2218</Words>
  <Characters>12645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dc:creator>
  <cp:keywords/>
  <dc:description/>
  <cp:lastModifiedBy>Alan</cp:lastModifiedBy>
  <cp:revision>5</cp:revision>
  <cp:lastPrinted>2025-05-18T13:55:00Z</cp:lastPrinted>
  <dcterms:created xsi:type="dcterms:W3CDTF">2025-06-27T20:33:00Z</dcterms:created>
  <dcterms:modified xsi:type="dcterms:W3CDTF">2025-06-28T13:16:00Z</dcterms:modified>
</cp:coreProperties>
</file>