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Transportation Mode Shift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Reduce then eliminate internal combustion engine (ICE)-based transportation. Electrify personal, municipal and public transit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Personal: Fewer cars, all electric.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Fewer cars: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 in and promote alternatives (walking, biking, scooters, other micromobility). Plan and implement dedicated, protected travel lanes. Strengthen Non-Car solutions in South Brookline. Safe routes to school.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whether public e-bike and e-scooter charging may be helpful.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remainder all electric: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build out publicly-available charging network.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Town-owned lots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Curbside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shared solutions? (ItsElectric?)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Promote to property owners who are able to provide their own charging solution (single family homes with off-street parking, etc). Advantages to starting small and building up from there.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120v trickle charge (public chargers to provide fast charge when needed)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240v intermediate level (NEMA 14-50 40A)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2 home charging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Privately-owned multi-unit condo or apartment buildings where car owner can't directly control or access charging solution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a few different scenarios, plan to work with condo association or landlord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Town-owned multi-unit properties (BHA most notably)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effective planning for on-site charging solutions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Municipal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Electrify town fleet, police.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lessons learned from the 2 electric vehicles in the police fleet?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Mustang - special events vehicle. One Ford F250 - animal control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 conversation at Brookline Day, they work for special purposes but EV not ready for line vehicles, which basically run 24/7 and can’t afford downtime for charging.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Street sweepers, grounds maintenance equipment.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eventual replacement of larger ICE equipment (fire, town-owned garbage, etc.)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an eye on fuel cell technology for large vehicles.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Transit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Subway already there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MBTA buses beyond Brookline's reach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Town-owned shuttles (Senior van. Other?)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Encourage taxis and ride shares to use available chargers (apparently the original premise for the Webster Street L3 chargers)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