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quay demo Cửu Long G Sync</w:t>
      </w:r>
    </w:p>
    <w:p>
      <w:r>
        <w:t>Dành cho nhóm The Blazers. Tài liệu này chỉ cách chuẩn bị, bấm từng nút và thuyết minh video minh họa giải pháp theo Final Report The Blazers và Tiêu chí chấm. Video chính dùng nhánh A với dữ liệu giả lập EX-0041; nhánh B ở cuối là bài trình diễn bổ sung. Thời lượng video nộp không quá 5 phút.</w:t>
      </w:r>
    </w:p>
    <w:p>
      <w:pPr>
        <w:pStyle w:val="Heading1"/>
      </w:pPr>
      <w:r>
        <w:t>1 Chuẩn bị trước khi bấm quay</w:t>
      </w:r>
    </w:p>
    <w:p>
      <w:pPr>
        <w:ind w:left="360" w:hanging="360"/>
      </w:pPr>
      <w:r>
        <w:rPr>
          <w:b/>
        </w:rPr>
        <w:t xml:space="preserve">1. Chạy bản mới </w:t>
      </w:r>
      <w:r>
        <w:t>Mở PowerShell → cd "$env:USERPROFILE\App-" → git pull --ff-only → npm.cmd run dev. Mở URL Local hiện trong PowerShell, thường là http://127.0.0.1:5173. Nếu mới tải mã hoặc README yêu cầu cài lại, chạy npm.cmd ci và npm.cmd run setup trước.</w:t>
      </w:r>
    </w:p>
    <w:p>
      <w:pPr>
        <w:ind w:left="360" w:hanging="360"/>
      </w:pPr>
      <w:r>
        <w:rPr>
          <w:b/>
        </w:rPr>
        <w:t xml:space="preserve">2. Kiểm tra Gemini </w:t>
      </w:r>
      <w:r>
        <w:t>Trong repo trên máy quay phải có .dev.vars do nhóm chia sẻ riêng. Khởi động lại server sau khi thay file. Ở tab nhận định, chỉ nói “Gemini phản hồi” khi UI hiện “Gemini thành công” và có model. Nếu không, nói rõ “mẫu tĩnh” hoặc “mẫu dự phòng”; vẫn quay được workflow A.</w:t>
      </w:r>
    </w:p>
    <w:p>
      <w:pPr>
        <w:ind w:left="360" w:hanging="360"/>
      </w:pPr>
      <w:r>
        <w:rPr>
          <w:b/>
        </w:rPr>
        <w:t xml:space="preserve">3. Làm sạch màn hình </w:t>
      </w:r>
      <w:r>
        <w:t>Đóng thông báo, tab cá nhân và cửa sổ chứa key; chỉ mở app và PowerShell khi cần chỉ URL. Trình duyệt ở mức zoom 90–100%, màn hình 16:9. Chọn vai trò Kho vận. Trong ô “Không gian demo” bấm “Đặt lại kịch bản” → “Đặt lại demo” nếu muốn bắt đầu lại. Nút này xóa dữ liệu demo local hiện tại.</w:t>
      </w:r>
    </w:p>
    <w:p>
      <w:pPr>
        <w:ind w:left="360" w:hanging="360"/>
      </w:pPr>
      <w:r>
        <w:rPr>
          <w:b/>
        </w:rPr>
        <w:t xml:space="preserve">4. Chuẩn bị phần mềm quay </w:t>
      </w:r>
      <w:r>
        <w:t>Chọn ghi màn hình 1920×1080 hoặc tối thiểu 1280×720, 16:9; lưu MP4 dưới 1,5 GB. Bật mic hoặc chuẩn bị phụ đề đồng bộ. Quay thử 10 giây để kiểm tra chữ và tiếng, tắt nhạc nền lấn lời.</w:t>
      </w:r>
    </w:p>
    <w:p>
      <w:r>
        <w:t>Cách quay trơn tru: thực hiện các bước thật theo đúng thứ tự, có thể cắt thời gian chờ và đoạn cuộn trang; giữ lại khung hình trước và sau mỗi lần bấm. Không dựng kết quả giả. Đặt mục tiêu 4 phút 40 giây để còn biên độ dưới giới hạn 5 phút.</w:t>
      </w:r>
    </w:p>
    <w:p>
      <w:pPr>
        <w:pStyle w:val="Heading1"/>
      </w:pPr>
      <w:r>
        <w:t>2 Kịch bản video chính 4 phút 40 giây</w:t>
      </w:r>
    </w:p>
    <w:tbl>
      <w:tblPr>
        <w:tblW w:type="auto" w:w="0"/>
        <w:jc w:val="center"/>
        <w:tblLayout w:type="fixed"/>
        <w:tblLook w:firstColumn="1" w:firstRow="1" w:lastColumn="0" w:lastRow="0" w:noHBand="0" w:noVBand="1" w:val="04A0"/>
      </w:tblPr>
      <w:tblGrid>
        <w:gridCol w:w="1512"/>
        <w:gridCol w:w="3816"/>
        <w:gridCol w:w="4608"/>
      </w:tblGrid>
      <w:tr>
        <w:trPr>
          <w:tblHeader/>
        </w:trPr>
        <w:tc>
          <w:tcPr>
            <w:tcW w:type="dxa" w:w="1512"/>
            <w:vAlign w:val="center"/>
            <w:tcBorders>
              <w:top w:val="single" w:sz="4" w:color="D9D9D9"/>
              <w:left w:val="single" w:sz="4" w:color="D9D9D9"/>
              <w:bottom w:val="single" w:sz="4" w:color="D9D9D9"/>
              <w:right w:val="single" w:sz="4" w:color="D9D9D9"/>
            </w:tcBorders>
            <w:shd w:fill="DEE9E3"/>
          </w:tcPr>
          <w:p>
            <w:pPr>
              <w:spacing w:after="0" w:line="259" w:lineRule="auto"/>
            </w:pPr>
            <w:r>
              <w:rPr>
                <w:rFonts w:ascii="Arial" w:hAnsi="Arial"/>
                <w:b/>
                <w:sz w:val="18"/>
              </w:rPr>
              <w:t>Thời gian</w:t>
            </w:r>
          </w:p>
        </w:tc>
        <w:tc>
          <w:tcPr>
            <w:tcW w:type="dxa" w:w="3816"/>
            <w:vAlign w:val="center"/>
            <w:tcBorders>
              <w:top w:val="single" w:sz="4" w:color="D9D9D9"/>
              <w:left w:val="single" w:sz="4" w:color="D9D9D9"/>
              <w:bottom w:val="single" w:sz="4" w:color="D9D9D9"/>
              <w:right w:val="single" w:sz="4" w:color="D9D9D9"/>
            </w:tcBorders>
            <w:shd w:fill="DEE9E3"/>
          </w:tcPr>
          <w:p>
            <w:pPr>
              <w:spacing w:after="0" w:line="259" w:lineRule="auto"/>
            </w:pPr>
            <w:r>
              <w:rPr>
                <w:rFonts w:ascii="Arial" w:hAnsi="Arial"/>
                <w:b/>
                <w:sz w:val="18"/>
              </w:rPr>
              <w:t>Màn hình và thao tác</w:t>
            </w:r>
          </w:p>
        </w:tc>
        <w:tc>
          <w:tcPr>
            <w:tcW w:type="dxa" w:w="4608"/>
            <w:vAlign w:val="center"/>
            <w:tcBorders>
              <w:top w:val="single" w:sz="4" w:color="D9D9D9"/>
              <w:left w:val="single" w:sz="4" w:color="D9D9D9"/>
              <w:bottom w:val="single" w:sz="4" w:color="D9D9D9"/>
              <w:right w:val="single" w:sz="4" w:color="D9D9D9"/>
            </w:tcBorders>
            <w:shd w:fill="DEE9E3"/>
          </w:tcPr>
          <w:p>
            <w:pPr>
              <w:spacing w:after="0" w:line="259" w:lineRule="auto"/>
            </w:pPr>
            <w:r>
              <w:rPr>
                <w:rFonts w:ascii="Arial" w:hAnsi="Arial"/>
                <w:b/>
                <w:sz w:val="18"/>
              </w:rPr>
              <w:t>Lời thuyết minh ngắn</w:t>
            </w:r>
          </w:p>
        </w:tc>
      </w:tr>
      <w:tr>
        <w:trPr/>
        <w:tc>
          <w:tcPr>
            <w:tcW w:type="dxa" w:w="1512"/>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0:00–0:25</w:t>
            </w:r>
          </w:p>
        </w:tc>
        <w:tc>
          <w:tcPr>
            <w:tcW w:type="dxa" w:w="3816"/>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Trang Tổng quan; hiện tên app và nhãn Dữ liệu giả lập.</w:t>
            </w:r>
          </w:p>
        </w:tc>
        <w:tc>
          <w:tcPr>
            <w:tcW w:type="dxa" w:w="4608"/>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“Thiếu nguyên liệu trước ca dễ làm chậm sản xuất. G Sync giúp khóa dữ liệu, cảnh báo sớm và đưa quyết định qua đúng người.”</w:t>
            </w:r>
          </w:p>
        </w:tc>
      </w:tr>
      <w:tr>
        <w:trPr/>
        <w:tc>
          <w:tcPr>
            <w:tcW w:type="dxa" w:w="1512"/>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0:25–0:55</w:t>
            </w:r>
          </w:p>
        </w:tc>
        <w:tc>
          <w:tcPr>
            <w:tcW w:type="dxa" w:w="3816"/>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Nhập dữ liệu → Cân đối &amp; cảnh báo → Bắt đầu EX-0041.</w:t>
            </w:r>
          </w:p>
        </w:tc>
        <w:tc>
          <w:tcPr>
            <w:tcW w:type="dxa" w:w="4608"/>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“App web local từ repo GitHub của nhóm. Kali có 100 tấn dùng được, cần 220 tấn trước 24/10; SHIP-90 tới 26/10 nên chưa được cộng.”</w:t>
            </w:r>
          </w:p>
        </w:tc>
      </w:tr>
      <w:tr>
        <w:trPr/>
        <w:tc>
          <w:tcPr>
            <w:tcW w:type="dxa" w:w="1512"/>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0:55–1:55</w:t>
            </w:r>
          </w:p>
        </w:tc>
        <w:tc>
          <w:tcPr>
            <w:tcW w:type="dxa" w:w="3816"/>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Mở hồ sơ; A 140 tấn → Lưu; bộ căn cứ demo; Soạn nhận định; rà soát C1–C3.</w:t>
            </w:r>
          </w:p>
        </w:tc>
        <w:tc>
          <w:tcPr>
            <w:tcW w:type="dxa" w:w="4608"/>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“Rule Engine tính số dư chắc chắn âm 120 và cần bù 140 để giữ dự trữ 20. Gemini chỉ diễn giải ba nhận định từ số khóa; con người kiểm tra từng câu.”</w:t>
            </w:r>
          </w:p>
        </w:tc>
      </w:tr>
      <w:tr>
        <w:trPr/>
        <w:tc>
          <w:tcPr>
            <w:tcW w:type="dxa" w:w="1512"/>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1:55–2:45</w:t>
            </w:r>
          </w:p>
        </w:tc>
        <w:tc>
          <w:tcPr>
            <w:tcW w:type="dxa" w:w="3816"/>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KH-TM xác minh → Kho vận trình → Giám đốc chuyển → TGĐ duyệt.</w:t>
            </w:r>
          </w:p>
        </w:tc>
        <w:tc>
          <w:tcPr>
            <w:tcW w:type="dxa" w:w="4608"/>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“Mỗi vai trò xác nhận đúng phần việc; checklist chứng từ được chụp tại thời điểm trình. Phiên bản đổi sẽ phải xem xét lại.”</w:t>
            </w:r>
          </w:p>
        </w:tc>
      </w:tr>
      <w:tr>
        <w:trPr/>
        <w:tc>
          <w:tcPr>
            <w:tcW w:type="dxa" w:w="1512"/>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2:45–4:10</w:t>
            </w:r>
          </w:p>
        </w:tc>
        <w:tc>
          <w:tcPr>
            <w:tcW w:type="dxa" w:w="3816"/>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Theo dõi A; lưu 140 tấn; thêm 3 chứng từ; Kho vận, Kế toán, QA xác nhận; Giám đốc đóng.</w:t>
            </w:r>
          </w:p>
        </w:tc>
        <w:tc>
          <w:tcPr>
            <w:tcW w:type="dxa" w:w="4608"/>
            <w:vAlign w:val="center"/>
            <w:tcBorders>
              <w:top w:val="single" w:sz="4" w:color="D9D9D9"/>
              <w:left w:val="single" w:sz="4" w:color="D9D9D9"/>
              <w:bottom w:val="single" w:sz="4" w:color="D9D9D9"/>
              <w:right w:val="single" w:sz="4" w:color="D9D9D9"/>
            </w:tcBorders>
          </w:tcPr>
          <w:p>
            <w:pPr>
              <w:spacing w:after="0" w:line="259" w:lineRule="auto"/>
            </w:pPr>
            <w:r>
              <w:rPr>
                <w:rFonts w:ascii="Arial" w:hAnsi="Arial"/>
                <w:b w:val="0"/>
                <w:sz w:val="18"/>
              </w:rPr>
              <w:t>“Không coi phương án là đã thực hiện. Đóng hồ sơ chỉ khi có lượng, thời điểm, chứng từ và ba xác nhận thực nhận.”</w:t>
            </w:r>
          </w:p>
        </w:tc>
      </w:tr>
      <w:tr>
        <w:trPr/>
        <w:tc>
          <w:tcPr>
            <w:tcW w:type="dxa" w:w="1512"/>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4:10–4:40</w:t>
            </w:r>
          </w:p>
        </w:tc>
        <w:tc>
          <w:tcPr>
            <w:tcW w:type="dxa" w:w="3816"/>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Xuất tờ trình, chỉ phần đầu và kết quả; mở Audit Trail hoặc Governance.</w:t>
            </w:r>
          </w:p>
        </w:tc>
        <w:tc>
          <w:tcPr>
            <w:tcW w:type="dxa" w:w="4608"/>
            <w:vAlign w:val="center"/>
            <w:tcBorders>
              <w:top w:val="single" w:sz="4" w:color="D9D9D9"/>
              <w:left w:val="single" w:sz="4" w:color="D9D9D9"/>
              <w:bottom w:val="single" w:sz="4" w:color="D9D9D9"/>
              <w:right w:val="single" w:sz="4" w:color="D9D9D9"/>
            </w:tcBorders>
            <w:shd w:fill="F8FAF9"/>
          </w:tcPr>
          <w:p>
            <w:pPr>
              <w:spacing w:after="0" w:line="259" w:lineRule="auto"/>
            </w:pPr>
            <w:r>
              <w:rPr>
                <w:rFonts w:ascii="Arial" w:hAnsi="Arial"/>
                <w:b w:val="0"/>
                <w:sz w:val="18"/>
              </w:rPr>
              <w:t>“Đầu ra là hồ sơ có nguồn, quyết định và vết kiểm tra. Đây là mô phỏng; cần tích hợp dữ liệu thật, định danh và SLA trước khi áp dụng tại nhà máy.”</w:t>
            </w:r>
          </w:p>
        </w:tc>
      </w:tr>
    </w:tbl>
    <w:p>
      <w:pPr>
        <w:spacing w:after="0"/>
      </w:pPr>
    </w:p>
    <w:p>
      <w:r>
        <w:t>Công cụ và đường dẫn cần nói trong video: “Cửu Long G Sync là app web chạy local tại địa chỉ Local trong PowerShell; mã nguồn ở https://github.com/ncat218/App-. Gemini API được gọi ở backend khi bấm Soạn nhận định và máy có cấu hình. Prompt được app đóng sẵn từ số Rule Engine; người dùng không phải nhập prompt tự do.”</w:t>
      </w:r>
    </w:p>
    <w:p>
      <w:pPr>
        <w:pStyle w:val="Heading1"/>
      </w:pPr>
      <w:r>
        <w:t>3 Thao tác chi tiết để quay nhánh A</w:t>
      </w:r>
    </w:p>
    <w:p>
      <w:pPr>
        <w:pStyle w:val="Heading2"/>
      </w:pPr>
      <w:r>
        <w:t>3.1 Truy cập và tạo ngoại lệ</w:t>
      </w:r>
    </w:p>
    <w:p>
      <w:pPr>
        <w:ind w:left="360" w:hanging="360"/>
      </w:pPr>
      <w:r>
        <w:rPr>
          <w:b/>
        </w:rPr>
        <w:t xml:space="preserve">1. Mở app </w:t>
      </w:r>
      <w:r>
        <w:t>Sau khi PowerShell hiện Local, nhấp URL. Góc trên chọn “Tác nghiệp”; trong “Chuyển vai trò mô phỏng” chọn “Kho vận”. Giữ nhãn “Dữ liệu giả lập” trên khung hình đầu.</w:t>
      </w:r>
    </w:p>
    <w:p>
      <w:pPr>
        <w:ind w:left="360" w:hanging="360"/>
      </w:pPr>
      <w:r>
        <w:rPr>
          <w:b/>
        </w:rPr>
        <w:t xml:space="preserve">2. Cho thấy dữ liệu </w:t>
      </w:r>
      <w:r>
        <w:t>Menu trái bấm “Nhập dữ liệu”; chỉ vào Kali: tồn 150, giữ 20, phân bổ 30, dùng được 100. Chỉ vào nhu cầu LSX-0041 220 tấn lúc 24/10/2026 07:00 và SHIP-90 dự kiến sẵn sàng 26/10/2026 06:00. Mẫu đã có xác nhận đầu vào giả lập; không cần sửa số khi quay chính.</w:t>
      </w:r>
    </w:p>
    <w:p>
      <w:pPr>
        <w:ind w:left="360" w:hanging="360"/>
      </w:pPr>
      <w:r>
        <w:rPr>
          <w:b/>
        </w:rPr>
        <w:t xml:space="preserve">3. Chạy cân đối </w:t>
      </w:r>
      <w:r>
        <w:t>Trở về “Tổng quan” bấm “Bắt đầu kịch bản EX-0041”; nếu đã chạy, menu “Cân đối &amp; cảnh báo” bấm “Chạy lại cân đối”. Cho thấy hàng Kali: tồn dùng được 100, nhu cầu 220, số dư chắc chắn −120, dự trữ 20. Mở EX-0041 qua nút “Xử lý” hoặc “Mở hồ sơ”.</w:t>
      </w:r>
    </w:p>
    <w:p>
      <w:pPr>
        <w:pStyle w:val="Heading2"/>
      </w:pPr>
      <w:r>
        <w:t>3.2 Lập phương án và rà soát AI</w:t>
      </w:r>
    </w:p>
    <w:p>
      <w:pPr>
        <w:ind w:left="360" w:hanging="360"/>
      </w:pPr>
      <w:r>
        <w:rPr>
          <w:b/>
        </w:rPr>
        <w:t xml:space="preserve">4. Lưu A </w:t>
      </w:r>
      <w:r>
        <w:t>Trong hồ sơ bấm tab “Nhận định &amp; phương án”. Chọn A “Bổ sung nguyên liệu”; giữ mẫu 140 tấn, thời điểm trước ca và mã KH-TM-DEMO-01. Chỉ vào bảng “Mốc nhu cầu”, rồi bấm “Lưu phương án”. Số 140 là cho bộ mẫu này; khi thêm mốc nhu cầu, app tính lại toàn bộ mốc.</w:t>
      </w:r>
    </w:p>
    <w:p>
      <w:pPr>
        <w:ind w:left="360" w:hanging="360"/>
      </w:pPr>
      <w:r>
        <w:rPr>
          <w:b/>
        </w:rPr>
        <w:t xml:space="preserve">5. Gắn căn cứ nền </w:t>
      </w:r>
      <w:r>
        <w:t>Cuộn tới “Chứng từ &amp; bằng chứng”; với vai trò Kho vận, bấm “Thêm bộ căn cứ demo”. App thêm đối soát tồn, trạng thái chất lượng và kế hoạch ban đầu đúng phiên bản. Đây chỉ là bằng chứng giả lập cho hồ sơ, chưa phải chứng từ thực nhận.</w:t>
      </w:r>
    </w:p>
    <w:p>
      <w:pPr>
        <w:ind w:left="360" w:hanging="360"/>
      </w:pPr>
      <w:r>
        <w:rPr>
          <w:b/>
        </w:rPr>
        <w:t xml:space="preserve">6. Soạn và kiểm </w:t>
      </w:r>
      <w:r>
        <w:t>Trở lại tab “Nhận định &amp; phương án” bấm “Soạn nhận định”. Chờ trạng thái hoàn tất. Cho thấy “Gemini thành công” và model nếu có; nếu hiện mẫu dự phòng, phát biểu đúng trạng thái. Đọc nhanh C1–C3 và nguồn, lần lượt bấm “Chấp nhận C1”, “Chấp nhận C2”, “Chấp nhận C3”. Nếu nội dung sai, nhập “Nội dung thay thế”, “Lý do”, chọn mã lỗi rồi bấm “Sửa ... &amp; lưu” hoặc “Bác bỏ ...”; không chấp nhận máy móc.</w:t>
      </w:r>
    </w:p>
    <w:p>
      <w:pPr>
        <w:ind w:left="360" w:hanging="360"/>
      </w:pPr>
      <w:r>
        <w:rPr>
          <w:b/>
        </w:rPr>
        <w:t xml:space="preserve">7. Xác minh nguồn phương án </w:t>
      </w:r>
      <w:r>
        <w:t>Ở đầu trang, ô “Chuyển vai trò mô phỏng” chọn “KH-TM”. Trong khung “Phương án xử lý” bấm “Xác minh phương án”. Nhãn sẽ đổi thành “Đủ xác minh”. Không bấm lại “Lưu phương án” sau bước này vì lưu lại sẽ yêu cầu xác minh và rà soát lại.</w:t>
      </w:r>
    </w:p>
    <w:p>
      <w:pPr>
        <w:pStyle w:val="Heading2"/>
      </w:pPr>
      <w:r>
        <w:t>3.3 Trình duyệt và thực hiện</w:t>
      </w:r>
    </w:p>
    <w:p>
      <w:pPr>
        <w:ind w:left="360" w:hanging="360"/>
      </w:pPr>
      <w:r>
        <w:rPr>
          <w:b/>
        </w:rPr>
        <w:t xml:space="preserve">8. Trình Giám đốc </w:t>
      </w:r>
      <w:r>
        <w:t>Chọn lại vai trò “Kho vận”. Tab “Kiểm tra &amp; phê duyệt” → bấm “Trình Giám đốc Nhà máy”. Nếu báo thiếu từng nhận định, quay lại tab trước và xử lý C1–C3; nếu thiếu căn cứ, kiểm tra “Thêm bộ căn cứ demo”.</w:t>
      </w:r>
    </w:p>
    <w:p>
      <w:pPr>
        <w:ind w:left="360" w:hanging="360"/>
      </w:pPr>
      <w:r>
        <w:rPr>
          <w:b/>
        </w:rPr>
        <w:t xml:space="preserve">9. Duyệt đúng tuyến </w:t>
      </w:r>
      <w:r>
        <w:t>Đổi vai trò “Giám đốc Nhà máy” → bấm “Kiểm tra &amp; trình TGĐ”. Đổi “Tổng Giám đốc SFG” → bấm “Phê duyệt phương án”. Tab “Theo dõi thực thi” giờ mở được. Giải thích duyệt phương án chưa đồng nghĩa đã nhận hàng.</w:t>
      </w:r>
    </w:p>
    <w:p>
      <w:pPr>
        <w:ind w:left="360" w:hanging="360"/>
      </w:pPr>
      <w:r>
        <w:rPr>
          <w:b/>
        </w:rPr>
        <w:t xml:space="preserve">10. Ghi thực nhận </w:t>
      </w:r>
      <w:r>
        <w:t>Đổi “Kho vận” → tab “Theo dõi thực thi” → bấm “Điền kết quả demo”, kiểm tra mã lần nhận PN-DEMO-001, lượng 140, thời điểm trước mốc cần → bấm “Lưu tiến độ A”. Nút điền mẫu chỉ điền form, không tự xác nhận.</w:t>
      </w:r>
    </w:p>
    <w:p>
      <w:pPr>
        <w:ind w:left="360" w:hanging="360"/>
      </w:pPr>
      <w:r>
        <w:rPr>
          <w:b/>
        </w:rPr>
        <w:t xml:space="preserve">11. Thêm ba chứng từ </w:t>
      </w:r>
      <w:r>
        <w:t>Ở “Chứng từ &amp; bằng chứng”, giữ “Phiên bản trên chứng từ” bằng v hiện hành và “Liên kết đợt / lần nhận” = PN-DEMO-001. Lần lượt chọn loại “Lệnh mua / điều động”, nội dung LM-DEMO-001 → “Thêm chứng từ”; “Chứng từ thực nhận”, nội dung PN-DEMO-001 → “Thêm chứng từ”; đổi vai trò “QA/QC”, chọn “Giải phóng chất lượng”, nội dung QC-PN-DEMO-001 → “Thêm chứng từ”. Không cần đính tệp để demo mã tham chiếu.</w:t>
      </w:r>
    </w:p>
    <w:p>
      <w:pPr>
        <w:ind w:left="360" w:hanging="360"/>
      </w:pPr>
      <w:r>
        <w:rPr>
          <w:b/>
        </w:rPr>
        <w:t xml:space="preserve">12. Ba xác nhận thực nhận </w:t>
      </w:r>
      <w:r>
        <w:t>Đổi “Kho vận” → trong tab thực thi bấm “Kho vận xác nhận lần nhận”. Đổi “Kế toán” → bấm “Kế toán xác nhận lần nhận”. Đổi “QA/QC” → bấm “QA/QC xác nhận”. Mỗi xác nhận gắn với đúng lượng, ngày và mã lần nhận đang lưu.</w:t>
      </w:r>
    </w:p>
    <w:p>
      <w:pPr>
        <w:ind w:left="360" w:hanging="360"/>
      </w:pPr>
      <w:r>
        <w:rPr>
          <w:b/>
        </w:rPr>
        <w:t xml:space="preserve">13. Đóng và xuất kết quả </w:t>
      </w:r>
      <w:r>
        <w:t>Đổi “Giám đốc Nhà máy”; xem “Điều kiện đóng hồ sơ”. Khi báo đủ, bấm “Xác nhận đóng hồ sơ”. Ở đầu hồ sơ bấm “Xuất tờ trình”; tab HTML mới có nút “In / lưu PDF”. Cho thấy số liệu, quyết định, chứng từ và phần thực thi. Sau đó quay app, menu “Audit Trail” hoặc “Governance &amp; báo cáo” để chỉ vết thao tác và G Score N/A.</w:t>
      </w:r>
    </w:p>
    <w:p>
      <w:pPr>
        <w:pStyle w:val="Heading1"/>
      </w:pPr>
      <w:r>
        <w:t>4 Nhánh B để trình diễn sâu ngoài video chính</w:t>
      </w:r>
    </w:p>
    <w:p>
      <w:r>
        <w:t>Đặt lại kịch bản rồi tạo lại EX-0041. B ở đây là kế hoạch có điều kiện: 80 tấn từ tồn, 90 tấn từ SHIP-90, 50 tấn chuyển kỳ; nhu cầu gốc vẫn là 220. Nếu nhóm muốn quay B trong video nộp, thay cho nhánh A và cắt ở quyết định hoặc chốt nguồn; không ghép cả A và B trong 5 phút.</w:t>
      </w:r>
    </w:p>
    <w:p>
      <w:pPr>
        <w:ind w:left="360" w:hanging="360"/>
      </w:pPr>
      <w:r>
        <w:rPr>
          <w:b/>
        </w:rPr>
        <w:t xml:space="preserve">1. Lập và duyệt B </w:t>
      </w:r>
      <w:r>
        <w:t>Kho vận → EX-0041 → “Nhận định &amp; phương án” → chọn B → “Lưu phương án” → “Thêm bộ căn cứ demo” → “Soạn nhận định” và rà soát C1–C3. Phân xưởng bấm “Xác minh phương án”; KH-TM bấm “Xác minh phương án”; Kho vận trình, Giám đốc chuyển, TGĐ duyệt.</w:t>
      </w:r>
    </w:p>
    <w:p>
      <w:pPr>
        <w:ind w:left="360" w:hanging="360"/>
      </w:pPr>
      <w:r>
        <w:rPr>
          <w:b/>
        </w:rPr>
        <w:t xml:space="preserve">2. Kế hoạch điều chỉnh </w:t>
      </w:r>
      <w:r>
        <w:t>Trong “Theo dõi thực thi” cuộn tới chứng từ. Chọn “Kế hoạch điều chỉnh đã duyệt”, nhập KH-DIEUCHINH-DEMO-01, liên kết cùng mã, phiên bản v hiện hành → “Thêm chứng từ”. Cần hoàn tất bước này trước mọi lần “Xác nhận DOT”.</w:t>
      </w:r>
    </w:p>
    <w:p>
      <w:pPr>
        <w:ind w:left="360" w:hanging="360"/>
      </w:pPr>
      <w:r>
        <w:rPr>
          <w:b/>
        </w:rPr>
        <w:t xml:space="preserve">3. Hoàn thành DOT-1 </w:t>
      </w:r>
      <w:r>
        <w:t>Kho vận “Điền mẫu DOT-1” → “Lưu DOT-1”. Thêm “Chứng từ thực hiện từng đợt” mã TH-DOT-1-GIẢ-LẬP, liên kết DOT-1. Kho vận bấm “Xác nhận DOT-1 · Kho vận”; đổi Phân xưởng bấm “Xác nhận DOT-1 · Phân xưởng”.</w:t>
      </w:r>
    </w:p>
    <w:p>
      <w:pPr>
        <w:ind w:left="360" w:hanging="360"/>
      </w:pPr>
      <w:r>
        <w:rPr>
          <w:b/>
        </w:rPr>
        <w:t xml:space="preserve">4. Cho thấy chốt nguồn </w:t>
      </w:r>
      <w:r>
        <w:t>Lưu DOT-2 và thêm chứng từ thực hiện liên kết DOT-2. Thử xác nhận khi SHIP-90 mới dự kiến: app báo chưa sẵn sàng. Kho vận “Điền mẫu nguồn SHIP-90” → “Lưu thực tế SHIP-90”; Kho vận, QA/QC, KH-TM lần lượt “Xác nhận nguồn SHIP-90”. Sau đó Kho vận và Phân xưởng lần lượt xác nhận DOT-2.</w:t>
      </w:r>
    </w:p>
    <w:p>
      <w:pPr>
        <w:ind w:left="360" w:hanging="360"/>
      </w:pPr>
      <w:r>
        <w:rPr>
          <w:b/>
        </w:rPr>
        <w:t xml:space="preserve">5. Chuyển kỳ và đóng </w:t>
      </w:r>
      <w:r>
        <w:t>Thêm “Kế hoạch tiếp nhận chuyển kỳ” với nội dung PD-CHUYENKY-DEMO, liên kết KH-KYSAU-DEMO, đúng phiên bản. Giám đốc bấm “Xác nhận liên kết chuyển kỳ”, xem điều kiện rồi “Xác nhận đóng hồ sơ”. Báo cáo phải ghi rõ 170 tấn theo hai đợt và 50 tấn chuyển kỳ, không nói đã hoàn thành 220 tấn trong kỳ.</w:t>
      </w:r>
    </w:p>
    <w:p>
      <w:pPr>
        <w:pStyle w:val="Heading1"/>
      </w:pPr>
      <w:r>
        <w:t>5 Kiểm tra trước khi nộp video</w:t>
      </w:r>
    </w:p>
    <w:p>
      <w:pPr>
        <w:pStyle w:val="ListBullet"/>
      </w:pPr>
      <w:r>
        <w:t>Video MP4 16:9, tối thiểu HD 1280×720, không quá 5 phút và không quá 1,5 GB. Xem lại bằng đồng hồ sau xuất; vượt 10 giây đã có thể bị trừ điểm.</w:t>
      </w:r>
    </w:p>
    <w:p>
      <w:pPr>
        <w:pStyle w:val="ListBullet"/>
      </w:pPr>
      <w:r>
        <w:t>Có đoạn quay màn hình bấm thật; lời nói hoặc phụ đề theo đúng hình. Nghe lại âm thanh, kiểm tra chữ ở độ phân giải xuất.</w:t>
      </w:r>
    </w:p>
    <w:p>
      <w:pPr>
        <w:pStyle w:val="ListBullet"/>
      </w:pPr>
      <w:r>
        <w:t>Nêu vấn đề doanh nghiệp, mục tiêu, tên app, link repo hoặc URL Local, bước truy cập → thao tác “Soạn nhận định” → duyệt → đầu ra, lợi ích dự kiến và giới hạn.</w:t>
      </w:r>
    </w:p>
    <w:p>
      <w:pPr>
        <w:pStyle w:val="ListBullet"/>
      </w:pPr>
      <w:r>
        <w:t>Chỉ hiện dữ liệu GIẢ LẬP. Không lộ API key, file .dev.vars, dữ liệu nội bộ hoặc tài khoản cá nhân. Không gọi kết quả demo là pilot hay hiệu quả đã đo.</w:t>
      </w:r>
    </w:p>
    <w:p>
      <w:pPr>
        <w:pStyle w:val="ListBullet"/>
      </w:pPr>
      <w:r>
        <w:t>Đối chiếu lời nói và phụ đề với Word/PPT: AI chỉ soạn C1–C3 từ số khóa; G Score N/A; Microsoft 365, Power Automate, OCR và đăng nhập doanh nghiệp là hướng tiếp theo.</w:t>
      </w:r>
    </w:p>
    <w:sectPr w:rsidR="00FC693F" w:rsidRPr="0006063C" w:rsidSect="00034616">
      <w:footerReference w:type="default" r:id="rId9"/>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Blazers  |  Cửu Long G Sync  |  Hướng dẫn demo bằng dữ liệu giả lập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