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4684"/>
          <w:sz w:val="22"/>
        </w:rPr>
        <w:t>NORTH CAROLINA AGRICULTURAL AND TECHNICAL STATE UNIVERSITY</w:t>
      </w:r>
    </w:p>
    <w:p>
      <w:pPr>
        <w:spacing w:before="0" w:after="240"/>
      </w:pPr>
      <w:r>
        <w:rPr>
          <w:rFonts w:ascii="Calibri" w:hAnsi="Calibri"/>
          <w:color w:val="546076"/>
          <w:sz w:val="19"/>
        </w:rPr>
        <w:t>College of Agriculture and Environmental Sciences (CAES) • Department of Natural Resources &amp; Environmental Design (NRED)</w:t>
        <w:br/>
        <w:t>Bachelor of Science in Landscape Architecture (BSLA) — Nation's Sole Accredited Undergraduate HBCU Pipeline</w:t>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80" w:type="dxa"/>
              <w:bottom w:w="80" w:type="dxa"/>
              <w:left w:w="120" w:type="dxa"/>
              <w:right w:w="120" w:type="dxa"/>
            </w:tcMar>
          </w:tcPr>
          <w:p>
            <w:pPr>
              <w:spacing w:after="0"/>
            </w:pPr>
            <w:r>
              <w:rPr>
                <w:rFonts w:ascii="Arial" w:hAnsi="Arial"/>
                <w:b/>
                <w:color w:val="004684"/>
                <w:sz w:val="19"/>
              </w:rPr>
              <w:t>PROGRAM ELEVATION PROSPECTUS</w:t>
              <w:br/>
            </w:r>
            <w:r>
              <w:rPr>
                <w:sz w:val="17"/>
              </w:rPr>
              <w:t>USDA NIFA 1890 Capacity Building Grants (CBG)</w:t>
              <w:br/>
              <w:t>Notice of Funding Opportunity: USDA-NIFA-CBGP-011698</w:t>
              <w:br/>
              <w:t>Assistance Listing: 10.216</w:t>
            </w:r>
          </w:p>
        </w:tc>
        <w:tc>
          <w:tcPr>
            <w:tcW w:type="dxa" w:w="5040"/>
            <w:shd w:fill="FEF9E8"/>
            <w:tcMar>
              <w:top w:w="80" w:type="dxa"/>
              <w:bottom w:w="80" w:type="dxa"/>
              <w:left w:w="120" w:type="dxa"/>
              <w:right w:w="120" w:type="dxa"/>
            </w:tcMar>
          </w:tcPr>
          <w:p>
            <w:pPr>
              <w:spacing w:after="0"/>
            </w:pPr>
            <w:r>
              <w:rPr>
                <w:rFonts w:ascii="Arial" w:hAnsi="Arial"/>
                <w:b/>
                <w:color w:val="B45309"/>
                <w:sz w:val="19"/>
              </w:rPr>
              <w:t>WORKING DRAFT FOR CO-PI REVIEW &amp; INPUT</w:t>
              <w:br/>
            </w:r>
            <w:r>
              <w:rPr>
                <w:sz w:val="17"/>
              </w:rPr>
              <w:t>Notice of Intent (NOI) Due: Wednesday, Sept 9, 2026</w:t>
              <w:br/>
              <w:t>NC A&amp;T Top 16 University Review: Sept 28, 2026</w:t>
              <w:br/>
              <w:t>Federal Submission: Nov 4, 2026</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left w:val="single" w:sz="36" w:space="0" w:color="FDB927"/>
              <w:top w:val="none"/>
              <w:right w:val="none"/>
              <w:bottom w:val="none"/>
            </w:tcBorders>
          </w:tcPr>
          <w:p>
            <w:pPr>
              <w:spacing w:before="40" w:after="80"/>
            </w:pPr>
            <w:r>
              <w:rPr>
                <w:rFonts w:ascii="Arial" w:hAnsi="Arial"/>
                <w:b/>
                <w:color w:val="004684"/>
                <w:sz w:val="21"/>
              </w:rPr>
              <w:t>★ WORKING DRAFT FOR CO-PI TEAM REVIEW, CALIBRATION &amp; SUGGESTIONS</w:t>
              <w:br/>
            </w:r>
            <w:r>
              <w:rPr>
                <w:rFonts w:ascii="Calibri" w:hAnsi="Calibri"/>
                <w:color w:val="222938"/>
                <w:sz w:val="20"/>
              </w:rPr>
              <w:t>This prospectus establishes our collaborative framework for Wednesday's Notice of Intent (NOI) placeholder to Department Chair Dr. Niroj Aryal. All narrative sections, laboratory scopes, research objectives, and budget allocations are fully open for Co-PI review, input, and adjustment. Please feel free to add comments, suggest edits, and calibrate your specific roles directly in this Google Doc as we build out the full proposal for the September 28 university deadline.</w:t>
            </w:r>
          </w:p>
        </w:tc>
      </w:tr>
    </w:tbl>
    <w:p>
      <w:pPr>
        <w:spacing w:before="0" w:after="120"/>
      </w:pPr>
    </w:p>
    <w:p>
      <w:pPr>
        <w:spacing w:before="120" w:after="40"/>
      </w:pPr>
      <w:r>
        <w:rPr>
          <w:rFonts w:ascii="Arial" w:hAnsi="Arial"/>
          <w:b/>
          <w:color w:val="B45309"/>
          <w:sz w:val="18"/>
        </w:rPr>
        <w:t>USDA NIFA 1890 CAPACITY BUILDING GRANT (CBG) — COLLABORATIVE EDUCATION TRACK</w:t>
        <w:br/>
      </w:r>
      <w:r>
        <w:rPr>
          <w:rFonts w:ascii="Arial" w:hAnsi="Arial"/>
          <w:b/>
          <w:color w:val="004684"/>
          <w:sz w:val="30"/>
        </w:rPr>
        <w:t>Living Landscapes Laboratory:</w:t>
        <w:br/>
        <w:t>Building Digital, Ecological, and Workforce Capacity in the Nation's Only Accredited Undergraduate HBCU Landscape Architecture Program</w:t>
      </w:r>
    </w:p>
    <w:p>
      <w:pPr>
        <w:spacing w:before="80" w:after="240"/>
      </w:pPr>
      <w:r>
        <w:t>• Project Period: 36 Months (January 1, 2027 – December 31, 2029)</w:t>
        <w:br/>
        <w:t>• Proposed Total Federal Request: $500,000 (Collaborative Education Track Cap)</w:t>
        <w:br/>
        <w:t>• Principal Investigator (PI): W. Christopher Harrison, MLA, ASLA (Assistant Professor, NRED / CAES)</w:t>
        <w:br/>
        <w:t>• Co-Principal Investigators (Co-PIs):</w:t>
        <w:br/>
        <w:t xml:space="preserve">   - Dr. Omoanghe S. Isikhuemhen, Ph.D. (Research Professor, Plant Science / Fungal Biotechnology, NRED / CAES)</w:t>
        <w:br/>
        <w:t xml:space="preserve">   - Dr. Leila Hashemi-Beni, Ph.D. (Associate Professor, Geomatics / Remote Sensing, Dept. of Built Environment, College of Science and Technology)</w:t>
        <w:br/>
        <w:t xml:space="preserve">   - Dr. Porché Spence, Ph.D. (Assistant Professor, Environmental Studies, NRED / CAES; Appointee, NC Soil &amp; Water Conservation Commission)</w:t>
        <w:br/>
        <w:t xml:space="preserve">   - Dr. Jun Yang, Ph.D. (Assistant Professor, Landscape Architecture, NRED / CAES)</w:t>
        <w:br/>
        <w:t xml:space="preserve">   - Dallas C. Bretzman, M.S. (Program Coordinator &amp; Lecturer, Landscape Architecture, NRED / CAES)</w:t>
        <w:br/>
        <w:t>• Co-Investigators / Senior Personnel:</w:t>
        <w:br/>
        <w:t xml:space="preserve">   - Dr. Momtanu Chakraborty, Ph.D. (Assistant Professor, Biological Engineering, NRED / CAES; Canvas Champion)</w:t>
        <w:br/>
        <w:t xml:space="preserve">   - Jeffrey A. Kuehner, MLA, ASLA (Lecturer, Landscape Architecture, NRED / CAES)</w:t>
        <w:br/>
        <w:t>• Extension Partner:</w:t>
        <w:br/>
        <w:t xml:space="preserve">   - Charlie Hopper (Director, Small Farm Research and Innovation Center [SFRIC], CAES / NC Cooperative Extension)</w:t>
        <w:br/>
        <w:t>• Institutional Leverage: Active USDA NIFA Evans-Allen Formula Investment (Fund 241206 / State Match 112014, $237,056.55) + SFRIC 492-acre Farm + McIntire-Stennis Bridge.</w:t>
      </w:r>
    </w:p>
    <w:p>
      <w:pPr>
        <w:spacing w:before="280" w:after="80"/>
      </w:pPr>
      <w:r>
        <w:rPr>
          <w:rFonts w:ascii="Arial" w:hAnsi="Arial"/>
          <w:b/>
          <w:color w:val="004684"/>
          <w:sz w:val="24"/>
        </w:rPr>
        <w:t>1. The Problem, Institutional Need &amp; Strategic Opportunity</w:t>
      </w:r>
    </w:p>
    <w:p>
      <w:r>
        <w:t>The landscape architecture, ecological restoration, and civil planning professions are undergoing the most rapid technological realignment in 50 years. Modern design firms, regional planning bodies, and conservation agencies now require entry-level practitioners equipped with: (1) Artificial Intelligence (AI)-assisted spatial analysis and parametric modeling, (2) Real-time environmental Internet of Things (IoT) field sensing and microclimate quantification, (3) Building Information Modeling (BIM) via Vectorworks Landmark, and (4) High-resolution unmanned aerial vehicle (drone) photogrammetry and 3D digital twins.</w:t>
        <w:br/>
        <w:br/>
        <w:t>Historically underrepresented students at Historically Black Colleges and Universities (HBCUs) frequently lack structured access to this computational pipeline. North Carolina A&amp;T State University houses the ONLY undergraduate Landscape Architecture program (Bachelor of Science in Landscape Architecture [BSLA]) accredited by the Landscape Architectural Accreditation Board (LAAB) at any HBCU in the nation. Every single undergraduate student seeking an accredited HBCU pathway into this licensed profession must pass through NC A&amp;T. This proposal establishes the technological, pedagogical, and physical laboratory capacity required to make NC A&amp;T the premier national model for digital and ecological excellence in landscape architecture.</w:t>
      </w:r>
    </w:p>
    <w:p>
      <w:pPr>
        <w:spacing w:before="160" w:after="80"/>
      </w:pPr>
      <w:r>
        <w:rPr>
          <w:b/>
          <w:sz w:val="20"/>
        </w:rPr>
        <w:t>Table 1.1: Multi-Site Living Field Laboratory Network &amp; Planned Community Design Center (CDC)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2160"/>
            <w:shd w:fill="004684"/>
            <w:tcMar>
              <w:top w:w="120" w:type="dxa"/>
              <w:bottom w:w="120" w:type="dxa"/>
              <w:left w:w="150" w:type="dxa"/>
              <w:right w:w="150" w:type="dxa"/>
            </w:tcMar>
          </w:tcPr>
          <w:p>
            <w:pPr>
              <w:spacing w:before="40" w:after="40"/>
            </w:pPr>
            <w:r>
              <w:rPr>
                <w:rFonts w:ascii="Arial" w:hAnsi="Arial"/>
                <w:b/>
                <w:color w:val="FFFFFF"/>
                <w:sz w:val="18"/>
              </w:rPr>
              <w:t>Living Laboratory Site</w:t>
            </w:r>
          </w:p>
        </w:tc>
        <w:tc>
          <w:tcPr>
            <w:tcW w:type="dxa" w:w="2592"/>
            <w:shd w:fill="004684"/>
            <w:tcMar>
              <w:top w:w="120" w:type="dxa"/>
              <w:bottom w:w="120" w:type="dxa"/>
              <w:left w:w="150" w:type="dxa"/>
              <w:right w:w="150" w:type="dxa"/>
            </w:tcMar>
          </w:tcPr>
          <w:p>
            <w:pPr>
              <w:spacing w:before="40" w:after="40"/>
            </w:pPr>
            <w:r>
              <w:rPr>
                <w:rFonts w:ascii="Arial" w:hAnsi="Arial"/>
                <w:b/>
                <w:color w:val="FFFFFF"/>
                <w:sz w:val="18"/>
              </w:rPr>
              <w:t>Typology &amp; Scope</w:t>
            </w:r>
          </w:p>
        </w:tc>
        <w:tc>
          <w:tcPr>
            <w:tcW w:type="dxa" w:w="2880"/>
            <w:shd w:fill="004684"/>
            <w:tcMar>
              <w:top w:w="120" w:type="dxa"/>
              <w:bottom w:w="120" w:type="dxa"/>
              <w:left w:w="150" w:type="dxa"/>
              <w:right w:w="150" w:type="dxa"/>
            </w:tcMar>
          </w:tcPr>
          <w:p>
            <w:pPr>
              <w:spacing w:before="40" w:after="40"/>
            </w:pPr>
            <w:r>
              <w:rPr>
                <w:rFonts w:ascii="Arial" w:hAnsi="Arial"/>
                <w:b/>
                <w:color w:val="FFFFFF"/>
                <w:sz w:val="18"/>
              </w:rPr>
              <w:t>Embedded Student Experience</w:t>
            </w:r>
          </w:p>
        </w:tc>
        <w:tc>
          <w:tcPr>
            <w:tcW w:type="dxa" w:w="2448"/>
            <w:shd w:fill="004684"/>
            <w:tcMar>
              <w:top w:w="120" w:type="dxa"/>
              <w:bottom w:w="120" w:type="dxa"/>
              <w:left w:w="150" w:type="dxa"/>
              <w:right w:w="150" w:type="dxa"/>
            </w:tcMar>
          </w:tcPr>
          <w:p>
            <w:pPr>
              <w:spacing w:before="40" w:after="40"/>
            </w:pPr>
            <w:r>
              <w:rPr>
                <w:rFonts w:ascii="Arial" w:hAnsi="Arial"/>
                <w:b/>
                <w:color w:val="FFFFFF"/>
                <w:sz w:val="18"/>
              </w:rPr>
              <w:t>Community &amp; Extension Impact</w:t>
            </w:r>
          </w:p>
        </w:tc>
      </w:tr>
      <w:tr>
        <w:tc>
          <w:tcPr>
            <w:tcW w:type="dxa" w:w="2160"/>
            <w:tcMar>
              <w:top w:w="100" w:type="dxa"/>
              <w:bottom w:w="100" w:type="dxa"/>
              <w:left w:w="150" w:type="dxa"/>
              <w:right w:w="150" w:type="dxa"/>
            </w:tcMar>
          </w:tcPr>
          <w:p>
            <w:pPr>
              <w:spacing w:before="40" w:after="40" w:line="276" w:lineRule="auto"/>
            </w:pPr>
            <w:r>
              <w:rPr>
                <w:rFonts w:ascii="Calibri" w:hAnsi="Calibri"/>
                <w:b/>
                <w:sz w:val="19"/>
              </w:rPr>
              <w:t>492-Acre University Farm</w:t>
              <w:br/>
              <w:t>(East Greensboro)</w:t>
            </w:r>
          </w:p>
        </w:tc>
        <w:tc>
          <w:tcPr>
            <w:tcW w:type="dxa" w:w="2592"/>
            <w:tcMar>
              <w:top w:w="100" w:type="dxa"/>
              <w:bottom w:w="100" w:type="dxa"/>
              <w:left w:w="150" w:type="dxa"/>
              <w:right w:w="150" w:type="dxa"/>
            </w:tcMar>
          </w:tcPr>
          <w:p>
            <w:pPr>
              <w:spacing w:before="40" w:after="40" w:line="276" w:lineRule="auto"/>
            </w:pPr>
            <w:r>
              <w:rPr>
                <w:rFonts w:ascii="Calibri" w:hAnsi="Calibri"/>
                <w:sz w:val="19"/>
              </w:rPr>
              <w:t>Production agriculture, living agroforestry, grazing pastures, and wetland riparian corridors.</w:t>
            </w:r>
          </w:p>
        </w:tc>
        <w:tc>
          <w:tcPr>
            <w:tcW w:type="dxa" w:w="2880"/>
            <w:tcMar>
              <w:top w:w="100" w:type="dxa"/>
              <w:bottom w:w="100" w:type="dxa"/>
              <w:left w:w="150" w:type="dxa"/>
              <w:right w:w="150" w:type="dxa"/>
            </w:tcMar>
          </w:tcPr>
          <w:p>
            <w:pPr>
              <w:spacing w:before="40" w:after="40" w:line="276" w:lineRule="auto"/>
            </w:pPr>
            <w:r>
              <w:rPr>
                <w:rFonts w:ascii="Calibri" w:hAnsi="Calibri"/>
                <w:sz w:val="19"/>
              </w:rPr>
              <w:t>Autonomous ground robotics (Boston Dynamics Spot quadruped), UAV multispectral drone flights, SSURGO soil sensor calibration, and watershed runoff modeling.</w:t>
            </w:r>
          </w:p>
        </w:tc>
        <w:tc>
          <w:tcPr>
            <w:tcW w:type="dxa" w:w="2448"/>
            <w:tcMar>
              <w:top w:w="100" w:type="dxa"/>
              <w:bottom w:w="100" w:type="dxa"/>
              <w:left w:w="150" w:type="dxa"/>
              <w:right w:w="150" w:type="dxa"/>
            </w:tcMar>
          </w:tcPr>
          <w:p>
            <w:pPr>
              <w:spacing w:before="40" w:after="40" w:line="276" w:lineRule="auto"/>
            </w:pPr>
            <w:r>
              <w:rPr>
                <w:rFonts w:ascii="Calibri" w:hAnsi="Calibri"/>
                <w:sz w:val="19"/>
              </w:rPr>
              <w:t>Statewide small farm resilience models, demonstration field days, and digital twin conservation blueprints.</w:t>
            </w:r>
          </w:p>
        </w:tc>
      </w:tr>
      <w:tr>
        <w:tc>
          <w:tcPr>
            <w:tcW w:type="dxa" w:w="2160"/>
            <w:shd w:fill="F8FAFC"/>
            <w:tcMar>
              <w:top w:w="100" w:type="dxa"/>
              <w:bottom w:w="100" w:type="dxa"/>
              <w:left w:w="150" w:type="dxa"/>
              <w:right w:w="150" w:type="dxa"/>
            </w:tcMar>
          </w:tcPr>
          <w:p>
            <w:pPr>
              <w:spacing w:before="40" w:after="40" w:line="276" w:lineRule="auto"/>
            </w:pPr>
            <w:r>
              <w:rPr>
                <w:rFonts w:ascii="Calibri" w:hAnsi="Calibri"/>
                <w:b/>
                <w:sz w:val="19"/>
              </w:rPr>
              <w:t>Inspiration Courtyard</w:t>
              <w:br/>
              <w:t>(Campus Core)</w:t>
            </w:r>
          </w:p>
        </w:tc>
        <w:tc>
          <w:tcPr>
            <w:tcW w:type="dxa" w:w="2592"/>
            <w:shd w:fill="F8FAFC"/>
            <w:tcMar>
              <w:top w:w="100" w:type="dxa"/>
              <w:bottom w:w="100" w:type="dxa"/>
              <w:left w:w="150" w:type="dxa"/>
              <w:right w:w="150" w:type="dxa"/>
            </w:tcMar>
          </w:tcPr>
          <w:p>
            <w:pPr>
              <w:spacing w:before="40" w:after="40" w:line="276" w:lineRule="auto"/>
            </w:pPr>
            <w:r>
              <w:rPr>
                <w:rFonts w:ascii="Calibri" w:hAnsi="Calibri"/>
                <w:sz w:val="19"/>
              </w:rPr>
              <w:t>Campus contemplative oasis, pollinator habitat, microclimate sensor grid, and design-build healing landscape.</w:t>
            </w:r>
          </w:p>
        </w:tc>
        <w:tc>
          <w:tcPr>
            <w:tcW w:type="dxa" w:w="2880"/>
            <w:shd w:fill="F8FAFC"/>
            <w:tcMar>
              <w:top w:w="100" w:type="dxa"/>
              <w:bottom w:w="100" w:type="dxa"/>
              <w:left w:w="150" w:type="dxa"/>
              <w:right w:w="150" w:type="dxa"/>
            </w:tcMar>
          </w:tcPr>
          <w:p>
            <w:pPr>
              <w:spacing w:before="40" w:after="40" w:line="276" w:lineRule="auto"/>
            </w:pPr>
            <w:r>
              <w:rPr>
                <w:rFonts w:ascii="Calibri" w:hAnsi="Calibri"/>
                <w:sz w:val="19"/>
              </w:rPr>
              <w:t>Thermal microclimate mapping with FLIR cameras, bio-acoustic pollinator monitoring (AudioMoth), and design-build detailing.</w:t>
            </w:r>
          </w:p>
        </w:tc>
        <w:tc>
          <w:tcPr>
            <w:tcW w:type="dxa" w:w="2448"/>
            <w:shd w:fill="F8FAFC"/>
            <w:tcMar>
              <w:top w:w="100" w:type="dxa"/>
              <w:bottom w:w="100" w:type="dxa"/>
              <w:left w:w="150" w:type="dxa"/>
              <w:right w:w="150" w:type="dxa"/>
            </w:tcMar>
          </w:tcPr>
          <w:p>
            <w:pPr>
              <w:spacing w:before="40" w:after="40" w:line="276" w:lineRule="auto"/>
            </w:pPr>
            <w:r>
              <w:rPr>
                <w:rFonts w:ascii="Calibri" w:hAnsi="Calibri"/>
                <w:sz w:val="19"/>
              </w:rPr>
              <w:t>Campus wellness anchor, student mental health sanctuary, and accessible urban green infrastructure demonstration.</w:t>
            </w:r>
          </w:p>
        </w:tc>
      </w:tr>
      <w:tr>
        <w:tc>
          <w:tcPr>
            <w:tcW w:type="dxa" w:w="2160"/>
            <w:tcMar>
              <w:top w:w="100" w:type="dxa"/>
              <w:bottom w:w="100" w:type="dxa"/>
              <w:left w:w="150" w:type="dxa"/>
              <w:right w:w="150" w:type="dxa"/>
            </w:tcMar>
          </w:tcPr>
          <w:p>
            <w:pPr>
              <w:spacing w:before="40" w:after="40" w:line="276" w:lineRule="auto"/>
            </w:pPr>
            <w:r>
              <w:rPr>
                <w:rFonts w:ascii="Calibri" w:hAnsi="Calibri"/>
                <w:b/>
                <w:sz w:val="19"/>
              </w:rPr>
              <w:t>Holland Bowl</w:t>
              <w:br/>
              <w:t>(Historic Campus Core)</w:t>
            </w:r>
          </w:p>
        </w:tc>
        <w:tc>
          <w:tcPr>
            <w:tcW w:type="dxa" w:w="2592"/>
            <w:tcMar>
              <w:top w:w="100" w:type="dxa"/>
              <w:bottom w:w="100" w:type="dxa"/>
              <w:left w:w="150" w:type="dxa"/>
              <w:right w:w="150" w:type="dxa"/>
            </w:tcMar>
          </w:tcPr>
          <w:p>
            <w:pPr>
              <w:spacing w:before="40" w:after="40" w:line="276" w:lineRule="auto"/>
            </w:pPr>
            <w:r>
              <w:rPr>
                <w:rFonts w:ascii="Calibri" w:hAnsi="Calibri"/>
                <w:sz w:val="19"/>
              </w:rPr>
              <w:t>Major urban stormwater amphitheater, detention basin, and historic campus gathering venue.</w:t>
            </w:r>
          </w:p>
        </w:tc>
        <w:tc>
          <w:tcPr>
            <w:tcW w:type="dxa" w:w="2880"/>
            <w:tcMar>
              <w:top w:w="100" w:type="dxa"/>
              <w:bottom w:w="100" w:type="dxa"/>
              <w:left w:w="150" w:type="dxa"/>
              <w:right w:w="150" w:type="dxa"/>
            </w:tcMar>
          </w:tcPr>
          <w:p>
            <w:pPr>
              <w:spacing w:before="40" w:after="40" w:line="276" w:lineRule="auto"/>
            </w:pPr>
            <w:r>
              <w:rPr>
                <w:rFonts w:ascii="Calibri" w:hAnsi="Calibri"/>
                <w:sz w:val="19"/>
              </w:rPr>
              <w:t>Topographic grading, bioretention engineering, hydrodynamic stormwater simulation, and multi-scale diagramming.</w:t>
            </w:r>
          </w:p>
        </w:tc>
        <w:tc>
          <w:tcPr>
            <w:tcW w:type="dxa" w:w="2448"/>
            <w:tcMar>
              <w:top w:w="100" w:type="dxa"/>
              <w:bottom w:w="100" w:type="dxa"/>
              <w:left w:w="150" w:type="dxa"/>
              <w:right w:w="150" w:type="dxa"/>
            </w:tcMar>
          </w:tcPr>
          <w:p>
            <w:pPr>
              <w:spacing w:before="40" w:after="40" w:line="276" w:lineRule="auto"/>
            </w:pPr>
            <w:r>
              <w:rPr>
                <w:rFonts w:ascii="Calibri" w:hAnsi="Calibri"/>
                <w:sz w:val="19"/>
              </w:rPr>
              <w:t>Campus flood mitigation showcase, urban heat island cooling, and high-visibility community gathering hub.</w:t>
            </w:r>
          </w:p>
        </w:tc>
      </w:tr>
      <w:tr>
        <w:tc>
          <w:tcPr>
            <w:tcW w:type="dxa" w:w="2160"/>
            <w:shd w:fill="FEF9E8"/>
            <w:tcMar>
              <w:top w:w="100" w:type="dxa"/>
              <w:bottom w:w="100" w:type="dxa"/>
              <w:left w:w="150" w:type="dxa"/>
              <w:right w:w="150" w:type="dxa"/>
            </w:tcMar>
          </w:tcPr>
          <w:p>
            <w:pPr>
              <w:spacing w:before="40" w:after="40" w:line="276" w:lineRule="auto"/>
            </w:pPr>
            <w:r>
              <w:rPr>
                <w:rFonts w:ascii="Calibri" w:hAnsi="Calibri"/>
                <w:b/>
                <w:sz w:val="19"/>
              </w:rPr>
              <w:t>SFRIC Community Design Center (CDC)</w:t>
              <w:br/>
              <w:t>(In Planning)</w:t>
            </w:r>
          </w:p>
        </w:tc>
        <w:tc>
          <w:tcPr>
            <w:tcW w:type="dxa" w:w="2592"/>
            <w:shd w:fill="FEF9E8"/>
            <w:tcMar>
              <w:top w:w="100" w:type="dxa"/>
              <w:bottom w:w="100" w:type="dxa"/>
              <w:left w:w="150" w:type="dxa"/>
              <w:right w:w="150" w:type="dxa"/>
            </w:tcMar>
          </w:tcPr>
          <w:p>
            <w:pPr>
              <w:spacing w:before="40" w:after="40" w:line="276" w:lineRule="auto"/>
            </w:pPr>
            <w:r>
              <w:rPr>
                <w:rFonts w:ascii="Calibri" w:hAnsi="Calibri"/>
                <w:sz w:val="19"/>
              </w:rPr>
              <w:t>North Carolina Cooperative Extension community design hub serving underserved small farms, historic urban corridors, and rural towns.</w:t>
            </w:r>
          </w:p>
        </w:tc>
        <w:tc>
          <w:tcPr>
            <w:tcW w:type="dxa" w:w="2880"/>
            <w:shd w:fill="FEF9E8"/>
            <w:tcMar>
              <w:top w:w="100" w:type="dxa"/>
              <w:bottom w:w="100" w:type="dxa"/>
              <w:left w:w="150" w:type="dxa"/>
              <w:right w:w="150" w:type="dxa"/>
            </w:tcMar>
          </w:tcPr>
          <w:p>
            <w:pPr>
              <w:spacing w:before="40" w:after="40" w:line="276" w:lineRule="auto"/>
            </w:pPr>
            <w:r>
              <w:rPr>
                <w:rFonts w:ascii="Calibri" w:hAnsi="Calibri"/>
                <w:sz w:val="19"/>
              </w:rPr>
              <w:t>Client-facing design charrettes, Asset-Based Community Development (ABCD) workshops, master planning, and construction documentation.</w:t>
            </w:r>
          </w:p>
        </w:tc>
        <w:tc>
          <w:tcPr>
            <w:tcW w:type="dxa" w:w="2448"/>
            <w:shd w:fill="FEF9E8"/>
            <w:tcMar>
              <w:top w:w="100" w:type="dxa"/>
              <w:bottom w:w="100" w:type="dxa"/>
              <w:left w:w="150" w:type="dxa"/>
              <w:right w:w="150" w:type="dxa"/>
            </w:tcMar>
          </w:tcPr>
          <w:p>
            <w:pPr>
              <w:spacing w:before="40" w:after="40" w:line="276" w:lineRule="auto"/>
            </w:pPr>
            <w:r>
              <w:rPr>
                <w:rFonts w:ascii="Calibri" w:hAnsi="Calibri"/>
                <w:sz w:val="19"/>
              </w:rPr>
              <w:t>Direct technical design assistance to underserved small farmers, municipal park designs, and community grant acquisition.</w:t>
            </w:r>
          </w:p>
        </w:tc>
      </w:tr>
    </w:tbl>
    <w:p>
      <w:pPr>
        <w:spacing w:after="120"/>
      </w:pPr>
    </w:p>
    <w:p>
      <w:pPr>
        <w:spacing w:before="280" w:after="80"/>
      </w:pPr>
      <w:r>
        <w:rPr>
          <w:rFonts w:ascii="Arial" w:hAnsi="Arial"/>
          <w:b/>
          <w:color w:val="004684"/>
          <w:sz w:val="24"/>
        </w:rPr>
        <w:t>2. How the Grant Connects to &amp; Elevates Our Program</w:t>
      </w:r>
    </w:p>
    <w:p>
      <w:r>
        <w:t>The Living Landscapes Laboratory directly answers four foundational institutional priorities within the College of Agriculture and Environmental Sciences (CAES) and the Department of Natural Resources and Environmental Design (NRED):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004684"/>
            <w:tcMar>
              <w:top w:w="120" w:type="dxa"/>
              <w:bottom w:w="120" w:type="dxa"/>
              <w:left w:w="150" w:type="dxa"/>
              <w:right w:w="150" w:type="dxa"/>
            </w:tcMar>
          </w:tcPr>
          <w:p>
            <w:pPr>
              <w:spacing w:before="40" w:after="40"/>
            </w:pPr>
            <w:r>
              <w:rPr>
                <w:rFonts w:ascii="Arial" w:hAnsi="Arial"/>
                <w:b/>
                <w:color w:val="FFFFFF"/>
                <w:sz w:val="18"/>
              </w:rPr>
              <w:t>Strategic Dimension</w:t>
            </w:r>
          </w:p>
        </w:tc>
        <w:tc>
          <w:tcPr>
            <w:tcW w:type="dxa" w:w="3744"/>
            <w:shd w:fill="004684"/>
            <w:tcMar>
              <w:top w:w="120" w:type="dxa"/>
              <w:bottom w:w="120" w:type="dxa"/>
              <w:left w:w="150" w:type="dxa"/>
              <w:right w:w="150" w:type="dxa"/>
            </w:tcMar>
          </w:tcPr>
          <w:p>
            <w:pPr>
              <w:spacing w:before="40" w:after="40"/>
            </w:pPr>
            <w:r>
              <w:rPr>
                <w:rFonts w:ascii="Arial" w:hAnsi="Arial"/>
                <w:b/>
                <w:color w:val="FFFFFF"/>
                <w:sz w:val="18"/>
              </w:rPr>
              <w:t>Current Baseline State</w:t>
            </w:r>
          </w:p>
        </w:tc>
        <w:tc>
          <w:tcPr>
            <w:tcW w:type="dxa" w:w="3744"/>
            <w:shd w:fill="004684"/>
            <w:tcMar>
              <w:top w:w="120" w:type="dxa"/>
              <w:bottom w:w="120" w:type="dxa"/>
              <w:left w:w="150" w:type="dxa"/>
              <w:right w:w="150" w:type="dxa"/>
            </w:tcMar>
          </w:tcPr>
          <w:p>
            <w:pPr>
              <w:spacing w:before="40" w:after="40"/>
            </w:pPr>
            <w:r>
              <w:rPr>
                <w:rFonts w:ascii="Arial" w:hAnsi="Arial"/>
                <w:b/>
                <w:color w:val="FFFFFF"/>
                <w:sz w:val="18"/>
              </w:rPr>
              <w:t>Elevated State via USDA CBG Funding</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Accreditation Strength</w:t>
              <w:br/>
              <w:t>(LAAB Review 2027–2028)</w:t>
            </w:r>
          </w:p>
        </w:tc>
        <w:tc>
          <w:tcPr>
            <w:tcW w:type="dxa" w:w="3744"/>
            <w:tcMar>
              <w:top w:w="100" w:type="dxa"/>
              <w:bottom w:w="100" w:type="dxa"/>
              <w:left w:w="150" w:type="dxa"/>
              <w:right w:w="150" w:type="dxa"/>
            </w:tcMar>
          </w:tcPr>
          <w:p>
            <w:pPr>
              <w:spacing w:before="40" w:after="40" w:line="276" w:lineRule="auto"/>
            </w:pPr>
            <w:r>
              <w:rPr>
                <w:rFonts w:ascii="Calibri" w:hAnsi="Calibri"/>
                <w:sz w:val="19"/>
              </w:rPr>
              <w:t>Program vulnerable following senior faculty departure; digital design sequence needs modernization to satisfy LAAB Standard 3 (Curriculum) and Standard 6 (Research).</w:t>
            </w:r>
          </w:p>
        </w:tc>
        <w:tc>
          <w:tcPr>
            <w:tcW w:type="dxa" w:w="3744"/>
            <w:tcMar>
              <w:top w:w="100" w:type="dxa"/>
              <w:bottom w:w="100" w:type="dxa"/>
              <w:left w:w="150" w:type="dxa"/>
              <w:right w:w="150" w:type="dxa"/>
            </w:tcMar>
          </w:tcPr>
          <w:p>
            <w:pPr>
              <w:spacing w:before="40" w:after="40" w:line="276" w:lineRule="auto"/>
            </w:pPr>
            <w:r>
              <w:rPr>
                <w:rFonts w:ascii="Calibri" w:hAnsi="Calibri"/>
                <w:sz w:val="19"/>
              </w:rPr>
              <w:t>Establishes a published, peer-reviewed technological framework recognized nationally. Provides undeniable evidence of pedagogical innovation and digital leadership for re-accreditation.</w:t>
            </w:r>
          </w:p>
        </w:tc>
      </w:tr>
      <w:tr>
        <w:tc>
          <w:tcPr>
            <w:tcW w:type="dxa" w:w="2592"/>
            <w:shd w:fill="F8FAFC"/>
            <w:tcMar>
              <w:top w:w="100" w:type="dxa"/>
              <w:bottom w:w="100" w:type="dxa"/>
              <w:left w:w="150" w:type="dxa"/>
              <w:right w:w="150" w:type="dxa"/>
            </w:tcMar>
          </w:tcPr>
          <w:p>
            <w:pPr>
              <w:spacing w:before="40" w:after="40" w:line="276" w:lineRule="auto"/>
            </w:pPr>
            <w:r>
              <w:rPr>
                <w:rFonts w:ascii="Calibri" w:hAnsi="Calibri"/>
                <w:b/>
                <w:sz w:val="19"/>
              </w:rPr>
              <w:t>Faculty Cohesion &amp; Teaching Load</w:t>
            </w:r>
          </w:p>
        </w:tc>
        <w:tc>
          <w:tcPr>
            <w:tcW w:type="dxa" w:w="3744"/>
            <w:shd w:fill="F8FAFC"/>
            <w:tcMar>
              <w:top w:w="100" w:type="dxa"/>
              <w:bottom w:w="100" w:type="dxa"/>
              <w:left w:w="150" w:type="dxa"/>
              <w:right w:w="150" w:type="dxa"/>
            </w:tcMar>
          </w:tcPr>
          <w:p>
            <w:pPr>
              <w:spacing w:before="40" w:after="40" w:line="276" w:lineRule="auto"/>
            </w:pPr>
            <w:r>
              <w:rPr>
                <w:rFonts w:ascii="Calibri" w:hAnsi="Calibri"/>
                <w:sz w:val="19"/>
              </w:rPr>
              <w:t>Faculty operating in instructional silos; high studio contact hours make curriculum redesign difficult without dedicated summer support and student assistants.</w:t>
            </w:r>
          </w:p>
        </w:tc>
        <w:tc>
          <w:tcPr>
            <w:tcW w:type="dxa" w:w="3744"/>
            <w:shd w:fill="F8FAFC"/>
            <w:tcMar>
              <w:top w:w="100" w:type="dxa"/>
              <w:bottom w:w="100" w:type="dxa"/>
              <w:left w:w="150" w:type="dxa"/>
              <w:right w:w="150" w:type="dxa"/>
            </w:tcMar>
          </w:tcPr>
          <w:p>
            <w:pPr>
              <w:spacing w:before="40" w:after="40" w:line="276" w:lineRule="auto"/>
            </w:pPr>
            <w:r>
              <w:rPr>
                <w:rFonts w:ascii="Calibri" w:hAnsi="Calibri"/>
                <w:sz w:val="19"/>
              </w:rPr>
              <w:t>Unifies all 4 program faculty (Harrison, Bretzman, Yang, Kuehner) on a shared 3-year interdisciplinary charter. Funds summer course build-out and 4 graduate teaching assistants.</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Research &amp; Tenure Productivity</w:t>
            </w:r>
          </w:p>
        </w:tc>
        <w:tc>
          <w:tcPr>
            <w:tcW w:type="dxa" w:w="3744"/>
            <w:tcMar>
              <w:top w:w="100" w:type="dxa"/>
              <w:bottom w:w="100" w:type="dxa"/>
              <w:left w:w="150" w:type="dxa"/>
              <w:right w:w="150" w:type="dxa"/>
            </w:tcMar>
          </w:tcPr>
          <w:p>
            <w:pPr>
              <w:spacing w:before="40" w:after="40" w:line="276" w:lineRule="auto"/>
            </w:pPr>
            <w:r>
              <w:rPr>
                <w:rFonts w:ascii="Calibri" w:hAnsi="Calibri"/>
                <w:sz w:val="19"/>
              </w:rPr>
              <w:t>Tenure-track faculty (Harrison, Yang) need externally funded grants and peer-reviewed journal publications to secure tenure and promotion.</w:t>
            </w:r>
          </w:p>
        </w:tc>
        <w:tc>
          <w:tcPr>
            <w:tcW w:type="dxa" w:w="3744"/>
            <w:tcMar>
              <w:top w:w="100" w:type="dxa"/>
              <w:bottom w:w="100" w:type="dxa"/>
              <w:left w:w="150" w:type="dxa"/>
              <w:right w:w="150" w:type="dxa"/>
            </w:tcMar>
          </w:tcPr>
          <w:p>
            <w:pPr>
              <w:spacing w:before="40" w:after="40" w:line="276" w:lineRule="auto"/>
            </w:pPr>
            <w:r>
              <w:rPr>
                <w:rFonts w:ascii="Calibri" w:hAnsi="Calibri"/>
                <w:sz w:val="19"/>
              </w:rPr>
              <w:t>Directly funds Dr. Jun Yang's longitudinal AI pedagogy and design cognition research agenda and Chris Harrison's digital twin / agro-ecological modeling, targeting CELA (Landscape Journal and Landscape Research Record) and EDRA conference proceedings.</w:t>
            </w:r>
          </w:p>
        </w:tc>
      </w:tr>
      <w:tr>
        <w:tc>
          <w:tcPr>
            <w:tcW w:type="dxa" w:w="2592"/>
            <w:shd w:fill="FEF9E8"/>
            <w:tcMar>
              <w:top w:w="100" w:type="dxa"/>
              <w:bottom w:w="100" w:type="dxa"/>
              <w:left w:w="150" w:type="dxa"/>
              <w:right w:w="150" w:type="dxa"/>
            </w:tcMar>
          </w:tcPr>
          <w:p>
            <w:pPr>
              <w:spacing w:before="40" w:after="40" w:line="276" w:lineRule="auto"/>
            </w:pPr>
            <w:r>
              <w:rPr>
                <w:rFonts w:ascii="Calibri" w:hAnsi="Calibri"/>
                <w:b/>
                <w:sz w:val="19"/>
              </w:rPr>
              <w:t>Extension &amp; 1890 Community Impact</w:t>
            </w:r>
          </w:p>
        </w:tc>
        <w:tc>
          <w:tcPr>
            <w:tcW w:type="dxa" w:w="3744"/>
            <w:shd w:fill="FEF9E8"/>
            <w:tcMar>
              <w:top w:w="100" w:type="dxa"/>
              <w:bottom w:w="100" w:type="dxa"/>
              <w:left w:w="150" w:type="dxa"/>
              <w:right w:w="150" w:type="dxa"/>
            </w:tcMar>
          </w:tcPr>
          <w:p>
            <w:pPr>
              <w:spacing w:before="40" w:after="40" w:line="276" w:lineRule="auto"/>
            </w:pPr>
            <w:r>
              <w:rPr>
                <w:rFonts w:ascii="Calibri" w:hAnsi="Calibri"/>
                <w:sz w:val="19"/>
              </w:rPr>
              <w:t>Academic studios frequently design hypothetical or disconnected urban sites with minimal follow-through to actual construction.</w:t>
            </w:r>
          </w:p>
        </w:tc>
        <w:tc>
          <w:tcPr>
            <w:tcW w:type="dxa" w:w="3744"/>
            <w:shd w:fill="FEF9E8"/>
            <w:tcMar>
              <w:top w:w="100" w:type="dxa"/>
              <w:bottom w:w="100" w:type="dxa"/>
              <w:left w:w="150" w:type="dxa"/>
              <w:right w:w="150" w:type="dxa"/>
            </w:tcMar>
          </w:tcPr>
          <w:p>
            <w:pPr>
              <w:spacing w:before="40" w:after="40" w:line="276" w:lineRule="auto"/>
            </w:pPr>
            <w:r>
              <w:rPr>
                <w:rFonts w:ascii="Calibri" w:hAnsi="Calibri"/>
                <w:sz w:val="19"/>
              </w:rPr>
              <w:t>Permanently integrates the 492-acre Small Farm Research and Innovation Center (SFRIC) and NC Cooperative Extension partners as living client labs across all 4 years.</w:t>
            </w:r>
          </w:p>
        </w:tc>
      </w:tr>
    </w:tbl>
    <w:p>
      <w:pPr>
        <w:spacing w:after="120"/>
      </w:pPr>
    </w:p>
    <w:p>
      <w:pPr>
        <w:spacing w:before="280" w:after="80"/>
      </w:pPr>
      <w:r>
        <w:rPr>
          <w:rFonts w:ascii="Arial" w:hAnsi="Arial"/>
          <w:b/>
          <w:color w:val="004684"/>
          <w:sz w:val="24"/>
        </w:rPr>
        <w:t>3. The 4-Year Scaffolded Curricular Framework</w:t>
      </w:r>
    </w:p>
    <w:p>
      <w:r>
        <w:t>A cornerstone of our pedagogical philosophy is deliberate scaffolding. Rather than replacing foundational hand drafting with premature software, our 4-year curriculum guides students through an intentional progression:</w:t>
        <w:br/>
        <w:t>• Year 1 (Freshman): OBSERVE &amp; REPRESENT — Hand drafting, lineweight, field sketching, regional GIS data observation, Module 14 digital bridge, and spring BIM initiation in Vectorworks Landmark.</w:t>
        <w:br/>
        <w:t>• Year 2 (Sophomore): MEASURE &amp; INTERPRET — Empirical field data collection at SFRIC farm: soil sensors, FLIR microclimate thermography, drone orthomosaics, and flood zone mapping.</w:t>
        <w:br/>
        <w:t>• Year 3 (Junior): MODEL &amp; TEST — AI spatial prompt synthesis, Sustainable SITES Initiative (SITES v2) 250-point rating, hydrodynamic runoff modeling, and NRCS EQIP cost estimating.</w:t>
        <w:br/>
        <w:t>• Year 4 (Senior): SYNTHESIZE &amp; LEAD — Senior Capstone digital twins, Spot quadruped/drone LiDAR surveying, participatory community co-design charrettes, and LARE exam prep.</w:t>
      </w:r>
    </w:p>
    <w:p>
      <w:pPr>
        <w:spacing w:before="160" w:after="80"/>
      </w:pPr>
      <w:r>
        <w:rPr>
          <w:b/>
          <w:sz w:val="20"/>
        </w:rPr>
        <w:t>Table 3.1: 4-Year Curricular Redesign Matrix &amp; Course Deployments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1728"/>
            <w:shd w:fill="004684"/>
            <w:tcMar>
              <w:top w:w="120" w:type="dxa"/>
              <w:bottom w:w="120" w:type="dxa"/>
              <w:left w:w="150" w:type="dxa"/>
              <w:right w:w="150" w:type="dxa"/>
            </w:tcMar>
          </w:tcPr>
          <w:p>
            <w:pPr>
              <w:spacing w:before="40" w:after="40"/>
            </w:pPr>
            <w:r>
              <w:rPr>
                <w:rFonts w:ascii="Arial" w:hAnsi="Arial"/>
                <w:b/>
                <w:color w:val="FFFFFF"/>
                <w:sz w:val="18"/>
              </w:rPr>
              <w:t>Academic Year</w:t>
            </w:r>
          </w:p>
        </w:tc>
        <w:tc>
          <w:tcPr>
            <w:tcW w:type="dxa" w:w="2592"/>
            <w:shd w:fill="004684"/>
            <w:tcMar>
              <w:top w:w="120" w:type="dxa"/>
              <w:bottom w:w="120" w:type="dxa"/>
              <w:left w:w="150" w:type="dxa"/>
              <w:right w:w="150" w:type="dxa"/>
            </w:tcMar>
          </w:tcPr>
          <w:p>
            <w:pPr>
              <w:spacing w:before="40" w:after="40"/>
            </w:pPr>
            <w:r>
              <w:rPr>
                <w:rFonts w:ascii="Arial" w:hAnsi="Arial"/>
                <w:b/>
                <w:color w:val="FFFFFF"/>
                <w:sz w:val="18"/>
              </w:rPr>
              <w:t>Core Redesigned Courses</w:t>
            </w:r>
          </w:p>
        </w:tc>
        <w:tc>
          <w:tcPr>
            <w:tcW w:type="dxa" w:w="3168"/>
            <w:shd w:fill="004684"/>
            <w:tcMar>
              <w:top w:w="120" w:type="dxa"/>
              <w:bottom w:w="120" w:type="dxa"/>
              <w:left w:w="150" w:type="dxa"/>
              <w:right w:w="150" w:type="dxa"/>
            </w:tcMar>
          </w:tcPr>
          <w:p>
            <w:pPr>
              <w:spacing w:before="40" w:after="40"/>
            </w:pPr>
            <w:r>
              <w:rPr>
                <w:rFonts w:ascii="Arial" w:hAnsi="Arial"/>
                <w:b/>
                <w:color w:val="FFFFFF"/>
                <w:sz w:val="18"/>
              </w:rPr>
              <w:t>Embedded Technology &amp; Toolchain</w:t>
            </w:r>
          </w:p>
        </w:tc>
        <w:tc>
          <w:tcPr>
            <w:tcW w:type="dxa" w:w="2592"/>
            <w:shd w:fill="004684"/>
            <w:tcMar>
              <w:top w:w="120" w:type="dxa"/>
              <w:bottom w:w="120" w:type="dxa"/>
              <w:left w:w="150" w:type="dxa"/>
              <w:right w:w="150" w:type="dxa"/>
            </w:tcMar>
          </w:tcPr>
          <w:p>
            <w:pPr>
              <w:spacing w:before="40" w:after="40"/>
            </w:pPr>
            <w:r>
              <w:rPr>
                <w:rFonts w:ascii="Arial" w:hAnsi="Arial"/>
                <w:b/>
                <w:color w:val="FFFFFF"/>
                <w:sz w:val="18"/>
              </w:rPr>
              <w:t>Faculty Lead &amp; Experience</w:t>
            </w:r>
          </w:p>
        </w:tc>
      </w:tr>
      <w:tr>
        <w:tc>
          <w:tcPr>
            <w:tcW w:type="dxa" w:w="1728"/>
            <w:tcMar>
              <w:top w:w="100" w:type="dxa"/>
              <w:bottom w:w="100" w:type="dxa"/>
              <w:left w:w="150" w:type="dxa"/>
              <w:right w:w="150" w:type="dxa"/>
            </w:tcMar>
          </w:tcPr>
          <w:p>
            <w:pPr>
              <w:spacing w:before="40" w:after="40" w:line="276" w:lineRule="auto"/>
            </w:pPr>
            <w:r>
              <w:rPr>
                <w:rFonts w:ascii="Calibri" w:hAnsi="Calibri"/>
                <w:b/>
                <w:sz w:val="19"/>
              </w:rPr>
              <w:t>YEAR 1</w:t>
              <w:br/>
              <w:t>Freshman</w:t>
            </w:r>
          </w:p>
        </w:tc>
        <w:tc>
          <w:tcPr>
            <w:tcW w:type="dxa" w:w="2592"/>
            <w:tcMar>
              <w:top w:w="100" w:type="dxa"/>
              <w:bottom w:w="100" w:type="dxa"/>
              <w:left w:w="150" w:type="dxa"/>
              <w:right w:w="150" w:type="dxa"/>
            </w:tcMar>
          </w:tcPr>
          <w:p>
            <w:pPr>
              <w:spacing w:before="40" w:after="40" w:line="276" w:lineRule="auto"/>
            </w:pPr>
            <w:r>
              <w:rPr>
                <w:rFonts w:ascii="Calibri" w:hAnsi="Calibri"/>
                <w:sz w:val="19"/>
              </w:rPr>
              <w:t>• LDAR 147 Design Foundations</w:t>
              <w:br/>
              <w:t>• LDAR 170 Graphics I</w:t>
              <w:br/>
              <w:t>• LDAR 171 Graphics II (BIM)</w:t>
            </w:r>
          </w:p>
        </w:tc>
        <w:tc>
          <w:tcPr>
            <w:tcW w:type="dxa" w:w="3168"/>
            <w:tcMar>
              <w:top w:w="100" w:type="dxa"/>
              <w:bottom w:w="100" w:type="dxa"/>
              <w:left w:w="150" w:type="dxa"/>
              <w:right w:w="150" w:type="dxa"/>
            </w:tcMar>
          </w:tcPr>
          <w:p>
            <w:pPr>
              <w:spacing w:before="40" w:after="40" w:line="276" w:lineRule="auto"/>
            </w:pPr>
            <w:r>
              <w:rPr>
                <w:rFonts w:ascii="Calibri" w:hAnsi="Calibri"/>
                <w:sz w:val="19"/>
              </w:rPr>
              <w:t>• 15 Weekly Outdoor Field Sketches</w:t>
              <w:br/>
              <w:t>• Regional GIS Data: parcels, soils, zoning</w:t>
              <w:br/>
              <w:t>• Module 14 Analog-to-Digital Bridge</w:t>
              <w:br/>
              <w:t>• Vectorworks Landmark BIM spring start</w:t>
            </w:r>
          </w:p>
        </w:tc>
        <w:tc>
          <w:tcPr>
            <w:tcW w:type="dxa" w:w="2592"/>
            <w:tcMar>
              <w:top w:w="100" w:type="dxa"/>
              <w:bottom w:w="100" w:type="dxa"/>
              <w:left w:w="150" w:type="dxa"/>
              <w:right w:w="150" w:type="dxa"/>
            </w:tcMar>
          </w:tcPr>
          <w:p>
            <w:pPr>
              <w:spacing w:before="40" w:after="40" w:line="276" w:lineRule="auto"/>
            </w:pPr>
            <w:r>
              <w:rPr>
                <w:rFonts w:ascii="Calibri" w:hAnsi="Calibri"/>
                <w:sz w:val="19"/>
              </w:rPr>
              <w:t>Chris Harrison / Jeff Kuehner</w:t>
              <w:br/>
              <w:t>Building hand confidence, spatial literacy, and visual hierarchy before computational software.</w:t>
            </w:r>
          </w:p>
        </w:tc>
      </w:tr>
      <w:tr>
        <w:tc>
          <w:tcPr>
            <w:tcW w:type="dxa" w:w="1728"/>
            <w:shd w:fill="F8FAFC"/>
            <w:tcMar>
              <w:top w:w="100" w:type="dxa"/>
              <w:bottom w:w="100" w:type="dxa"/>
              <w:left w:w="150" w:type="dxa"/>
              <w:right w:w="150" w:type="dxa"/>
            </w:tcMar>
          </w:tcPr>
          <w:p>
            <w:pPr>
              <w:spacing w:before="40" w:after="40" w:line="276" w:lineRule="auto"/>
            </w:pPr>
            <w:r>
              <w:rPr>
                <w:rFonts w:ascii="Calibri" w:hAnsi="Calibri"/>
                <w:b/>
                <w:sz w:val="19"/>
              </w:rPr>
              <w:t>YEAR 2</w:t>
              <w:br/>
              <w:t>Sophomore</w:t>
            </w:r>
          </w:p>
        </w:tc>
        <w:tc>
          <w:tcPr>
            <w:tcW w:type="dxa" w:w="2592"/>
            <w:shd w:fill="F8FAFC"/>
            <w:tcMar>
              <w:top w:w="100" w:type="dxa"/>
              <w:bottom w:w="100" w:type="dxa"/>
              <w:left w:w="150" w:type="dxa"/>
              <w:right w:w="150" w:type="dxa"/>
            </w:tcMar>
          </w:tcPr>
          <w:p>
            <w:pPr>
              <w:spacing w:before="40" w:after="40" w:line="276" w:lineRule="auto"/>
            </w:pPr>
            <w:r>
              <w:rPr>
                <w:rFonts w:ascii="Calibri" w:hAnsi="Calibri"/>
                <w:sz w:val="19"/>
              </w:rPr>
              <w:t>• LDAR 247 Social Systems</w:t>
              <w:br/>
              <w:t>• LDAR 248 Ecological Systems</w:t>
              <w:br/>
              <w:t>• LDAR 249 Plant Materials</w:t>
            </w:r>
          </w:p>
        </w:tc>
        <w:tc>
          <w:tcPr>
            <w:tcW w:type="dxa" w:w="3168"/>
            <w:shd w:fill="F8FAFC"/>
            <w:tcMar>
              <w:top w:w="100" w:type="dxa"/>
              <w:bottom w:w="100" w:type="dxa"/>
              <w:left w:w="150" w:type="dxa"/>
              <w:right w:w="150" w:type="dxa"/>
            </w:tcMar>
          </w:tcPr>
          <w:p>
            <w:pPr>
              <w:spacing w:before="40" w:after="40" w:line="276" w:lineRule="auto"/>
            </w:pPr>
            <w:r>
              <w:rPr>
                <w:rFonts w:ascii="Calibri" w:hAnsi="Calibri"/>
                <w:sz w:val="19"/>
              </w:rPr>
              <w:t>• ABCD Community Certification</w:t>
              <w:br/>
              <w:t>• SITES v2 250-point rating via AVA</w:t>
              <w:br/>
              <w:t>• IoT Field Sensors (soil moisture, FLIR)</w:t>
              <w:br/>
              <w:t>• Drone orthomosaics &amp; living lab flights</w:t>
            </w:r>
          </w:p>
        </w:tc>
        <w:tc>
          <w:tcPr>
            <w:tcW w:type="dxa" w:w="2592"/>
            <w:shd w:fill="F8FAFC"/>
            <w:tcMar>
              <w:top w:w="100" w:type="dxa"/>
              <w:bottom w:w="100" w:type="dxa"/>
              <w:left w:w="150" w:type="dxa"/>
              <w:right w:w="150" w:type="dxa"/>
            </w:tcMar>
          </w:tcPr>
          <w:p>
            <w:pPr>
              <w:spacing w:before="40" w:after="40" w:line="276" w:lineRule="auto"/>
            </w:pPr>
            <w:r>
              <w:rPr>
                <w:rFonts w:ascii="Calibri" w:hAnsi="Calibri"/>
                <w:sz w:val="19"/>
              </w:rPr>
              <w:t>Dallas Bretzman / Charlie Hopper</w:t>
              <w:br/>
              <w:t>Students earn ABCD and SITES credentials while executing field research at SFRIC and campus living labs.</w:t>
            </w:r>
          </w:p>
        </w:tc>
      </w:tr>
      <w:tr>
        <w:tc>
          <w:tcPr>
            <w:tcW w:type="dxa" w:w="1728"/>
            <w:tcMar>
              <w:top w:w="100" w:type="dxa"/>
              <w:bottom w:w="100" w:type="dxa"/>
              <w:left w:w="150" w:type="dxa"/>
              <w:right w:w="150" w:type="dxa"/>
            </w:tcMar>
          </w:tcPr>
          <w:p>
            <w:pPr>
              <w:spacing w:before="40" w:after="40" w:line="276" w:lineRule="auto"/>
            </w:pPr>
            <w:r>
              <w:rPr>
                <w:rFonts w:ascii="Calibri" w:hAnsi="Calibri"/>
                <w:b/>
                <w:sz w:val="19"/>
              </w:rPr>
              <w:t>YEAR 3</w:t>
              <w:br/>
              <w:t>Junior</w:t>
            </w:r>
          </w:p>
        </w:tc>
        <w:tc>
          <w:tcPr>
            <w:tcW w:type="dxa" w:w="2592"/>
            <w:tcMar>
              <w:top w:w="100" w:type="dxa"/>
              <w:bottom w:w="100" w:type="dxa"/>
              <w:left w:w="150" w:type="dxa"/>
              <w:right w:w="150" w:type="dxa"/>
            </w:tcMar>
          </w:tcPr>
          <w:p>
            <w:pPr>
              <w:spacing w:before="40" w:after="40" w:line="276" w:lineRule="auto"/>
            </w:pPr>
            <w:r>
              <w:rPr>
                <w:rFonts w:ascii="Calibri" w:hAnsi="Calibri"/>
                <w:sz w:val="19"/>
              </w:rPr>
              <w:t>• LDAR 347 Landform &amp; Stormwater</w:t>
              <w:br/>
              <w:t>• LDAR 349 GIS in LA</w:t>
              <w:br/>
              <w:t>• LDAR 348 Master Planning</w:t>
            </w:r>
          </w:p>
        </w:tc>
        <w:tc>
          <w:tcPr>
            <w:tcW w:type="dxa" w:w="3168"/>
            <w:tcMar>
              <w:top w:w="100" w:type="dxa"/>
              <w:bottom w:w="100" w:type="dxa"/>
              <w:left w:w="150" w:type="dxa"/>
              <w:right w:w="150" w:type="dxa"/>
            </w:tcMar>
          </w:tcPr>
          <w:p>
            <w:pPr>
              <w:spacing w:before="40" w:after="40" w:line="276" w:lineRule="auto"/>
            </w:pPr>
            <w:r>
              <w:rPr>
                <w:rFonts w:ascii="Calibri" w:hAnsi="Calibri"/>
                <w:sz w:val="19"/>
              </w:rPr>
              <w:t>• Generative AI prompt workbench</w:t>
              <w:br/>
              <w:t>• SITES performance sustainability audit</w:t>
              <w:br/>
              <w:t>• FEMA &amp; USGS Watershed Modeling</w:t>
              <w:br/>
              <w:t>• USDA NRCS EQIP cost budgeting</w:t>
            </w:r>
          </w:p>
        </w:tc>
        <w:tc>
          <w:tcPr>
            <w:tcW w:type="dxa" w:w="2592"/>
            <w:tcMar>
              <w:top w:w="100" w:type="dxa"/>
              <w:bottom w:w="100" w:type="dxa"/>
              <w:left w:w="150" w:type="dxa"/>
              <w:right w:w="150" w:type="dxa"/>
            </w:tcMar>
          </w:tcPr>
          <w:p>
            <w:pPr>
              <w:spacing w:before="40" w:after="40" w:line="276" w:lineRule="auto"/>
            </w:pPr>
            <w:r>
              <w:rPr>
                <w:rFonts w:ascii="Calibri" w:hAnsi="Calibri"/>
                <w:sz w:val="19"/>
              </w:rPr>
              <w:t>Dr. Jun Yang / Jeff Kuehner</w:t>
              <w:br/>
              <w:t>Formulating AI prompts from site constraints, critiquing machine outputs, and engineering stormwater.</w:t>
            </w:r>
          </w:p>
        </w:tc>
      </w:tr>
      <w:tr>
        <w:tc>
          <w:tcPr>
            <w:tcW w:type="dxa" w:w="1728"/>
            <w:shd w:fill="FEF9E8"/>
            <w:tcMar>
              <w:top w:w="100" w:type="dxa"/>
              <w:bottom w:w="100" w:type="dxa"/>
              <w:left w:w="150" w:type="dxa"/>
              <w:right w:w="150" w:type="dxa"/>
            </w:tcMar>
          </w:tcPr>
          <w:p>
            <w:pPr>
              <w:spacing w:before="40" w:after="40" w:line="276" w:lineRule="auto"/>
            </w:pPr>
            <w:r>
              <w:rPr>
                <w:rFonts w:ascii="Calibri" w:hAnsi="Calibri"/>
                <w:b/>
                <w:sz w:val="19"/>
              </w:rPr>
              <w:t>YEAR 4</w:t>
              <w:br/>
              <w:t>Senior</w:t>
            </w:r>
          </w:p>
        </w:tc>
        <w:tc>
          <w:tcPr>
            <w:tcW w:type="dxa" w:w="2592"/>
            <w:shd w:fill="FEF9E8"/>
            <w:tcMar>
              <w:top w:w="100" w:type="dxa"/>
              <w:bottom w:w="100" w:type="dxa"/>
              <w:left w:w="150" w:type="dxa"/>
              <w:right w:w="150" w:type="dxa"/>
            </w:tcMar>
          </w:tcPr>
          <w:p>
            <w:pPr>
              <w:spacing w:before="40" w:after="40" w:line="276" w:lineRule="auto"/>
            </w:pPr>
            <w:r>
              <w:rPr>
                <w:rFonts w:ascii="Calibri" w:hAnsi="Calibri"/>
                <w:sz w:val="19"/>
              </w:rPr>
              <w:t>• LDAR 447 Collaborative Studio</w:t>
              <w:br/>
              <w:t>• LDAR 448 Senior Capstone</w:t>
              <w:br/>
              <w:t>• LDAR 400 Professional Practice</w:t>
            </w:r>
          </w:p>
        </w:tc>
        <w:tc>
          <w:tcPr>
            <w:tcW w:type="dxa" w:w="3168"/>
            <w:shd w:fill="FEF9E8"/>
            <w:tcMar>
              <w:top w:w="100" w:type="dxa"/>
              <w:bottom w:w="100" w:type="dxa"/>
              <w:left w:w="150" w:type="dxa"/>
              <w:right w:w="150" w:type="dxa"/>
            </w:tcMar>
          </w:tcPr>
          <w:p>
            <w:pPr>
              <w:spacing w:before="40" w:after="40" w:line="276" w:lineRule="auto"/>
            </w:pPr>
            <w:r>
              <w:rPr>
                <w:rFonts w:ascii="Calibri" w:hAnsi="Calibri"/>
                <w:sz w:val="19"/>
              </w:rPr>
              <w:t>• Community Design Center (CDC) delivery</w:t>
              <w:br/>
              <w:t>• USDA NRCS 9-Step Conservation Planning</w:t>
              <w:br/>
              <w:t>• FAA Part 107 Commercial Drone Pilot</w:t>
              <w:br/>
              <w:t>• Spot quadruped &amp; RTK drone LiDAR</w:t>
              <w:br/>
              <w:t>• LARE exam licensing preparation</w:t>
            </w:r>
          </w:p>
        </w:tc>
        <w:tc>
          <w:tcPr>
            <w:tcW w:type="dxa" w:w="2592"/>
            <w:shd w:fill="FEF9E8"/>
            <w:tcMar>
              <w:top w:w="100" w:type="dxa"/>
              <w:bottom w:w="100" w:type="dxa"/>
              <w:left w:w="150" w:type="dxa"/>
              <w:right w:w="150" w:type="dxa"/>
            </w:tcMar>
          </w:tcPr>
          <w:p>
            <w:pPr>
              <w:spacing w:before="40" w:after="40" w:line="276" w:lineRule="auto"/>
            </w:pPr>
            <w:r>
              <w:rPr>
                <w:rFonts w:ascii="Calibri" w:hAnsi="Calibri"/>
                <w:sz w:val="19"/>
              </w:rPr>
              <w:t>Chris Harrison / Dr. Jun Yang / Extension</w:t>
              <w:br/>
              <w:t>Seniors lead public charrettes through CDC, defend digital twins, and graduate with stackable credentials.</w:t>
            </w:r>
          </w:p>
        </w:tc>
      </w:tr>
    </w:tbl>
    <w:p>
      <w:pPr>
        <w:spacing w:after="120"/>
      </w:pPr>
    </w:p>
    <w:p>
      <w:pPr>
        <w:spacing w:before="280" w:after="80"/>
      </w:pPr>
      <w:r>
        <w:rPr>
          <w:rFonts w:ascii="Arial" w:hAnsi="Arial"/>
          <w:b/>
          <w:color w:val="004684"/>
          <w:sz w:val="24"/>
        </w:rPr>
        <w:t>4. Integrated Technology Ecosystem &amp; Leveraged Physical Infrastructure</w:t>
      </w:r>
    </w:p>
    <w:p>
      <w:r>
        <w:t>To ensure fiscal efficiency and demonstrate exceptional institutional backing, this grant directly leverages substantial surveying, robotic, computing, and sensing infrastructure already accessible through NC A&amp;T and partners, avoiding duplicative capital equipment expenditures: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004684"/>
            <w:tcMar>
              <w:top w:w="120" w:type="dxa"/>
              <w:bottom w:w="120" w:type="dxa"/>
              <w:left w:w="150" w:type="dxa"/>
              <w:right w:w="150" w:type="dxa"/>
            </w:tcMar>
          </w:tcPr>
          <w:p>
            <w:pPr>
              <w:spacing w:before="40" w:after="40"/>
            </w:pPr>
            <w:r>
              <w:rPr>
                <w:rFonts w:ascii="Arial" w:hAnsi="Arial"/>
                <w:b/>
                <w:color w:val="FFFFFF"/>
                <w:sz w:val="18"/>
              </w:rPr>
              <w:t>Hardware / Technology Tier</w:t>
            </w:r>
          </w:p>
        </w:tc>
        <w:tc>
          <w:tcPr>
            <w:tcW w:type="dxa" w:w="3744"/>
            <w:shd w:fill="004684"/>
            <w:tcMar>
              <w:top w:w="120" w:type="dxa"/>
              <w:bottom w:w="120" w:type="dxa"/>
              <w:left w:w="150" w:type="dxa"/>
              <w:right w:w="150" w:type="dxa"/>
            </w:tcMar>
          </w:tcPr>
          <w:p>
            <w:pPr>
              <w:spacing w:before="40" w:after="40"/>
            </w:pPr>
            <w:r>
              <w:rPr>
                <w:rFonts w:ascii="Arial" w:hAnsi="Arial"/>
                <w:b/>
                <w:color w:val="FFFFFF"/>
                <w:sz w:val="18"/>
              </w:rPr>
              <w:t>Existing Specific Equipment &amp; Specifications</w:t>
            </w:r>
          </w:p>
        </w:tc>
        <w:tc>
          <w:tcPr>
            <w:tcW w:type="dxa" w:w="3744"/>
            <w:shd w:fill="004684"/>
            <w:tcMar>
              <w:top w:w="120" w:type="dxa"/>
              <w:bottom w:w="120" w:type="dxa"/>
              <w:left w:w="150" w:type="dxa"/>
              <w:right w:w="150" w:type="dxa"/>
            </w:tcMar>
          </w:tcPr>
          <w:p>
            <w:pPr>
              <w:spacing w:before="40" w:after="40"/>
            </w:pPr>
            <w:r>
              <w:rPr>
                <w:rFonts w:ascii="Arial" w:hAnsi="Arial"/>
                <w:b/>
                <w:color w:val="FFFFFF"/>
                <w:sz w:val="18"/>
              </w:rPr>
              <w:t>Grant Deployment &amp; Course Application</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Terrestrial LiDAR &amp; Surveying</w:t>
            </w:r>
          </w:p>
        </w:tc>
        <w:tc>
          <w:tcPr>
            <w:tcW w:type="dxa" w:w="3744"/>
            <w:tcMar>
              <w:top w:w="100" w:type="dxa"/>
              <w:bottom w:w="100" w:type="dxa"/>
              <w:left w:w="150" w:type="dxa"/>
              <w:right w:w="150" w:type="dxa"/>
            </w:tcMar>
          </w:tcPr>
          <w:p>
            <w:pPr>
              <w:spacing w:before="40" w:after="40" w:line="276" w:lineRule="auto"/>
            </w:pPr>
            <w:r>
              <w:rPr>
                <w:rFonts w:ascii="Calibri" w:hAnsi="Calibri"/>
                <w:sz w:val="19"/>
              </w:rPr>
              <w:t>Leica BLK360 Terrestrial LiDAR Scanner (~760M points capture), RTK GNSS field rovers, NGS benchmarks, Leica Cyclone REGISTER 360 PLUS, Autodesk ReCap.</w:t>
            </w:r>
          </w:p>
        </w:tc>
        <w:tc>
          <w:tcPr>
            <w:tcW w:type="dxa" w:w="3744"/>
            <w:tcMar>
              <w:top w:w="100" w:type="dxa"/>
              <w:bottom w:w="100" w:type="dxa"/>
              <w:left w:w="150" w:type="dxa"/>
              <w:right w:w="150" w:type="dxa"/>
            </w:tcMar>
          </w:tcPr>
          <w:p>
            <w:pPr>
              <w:spacing w:before="40" w:after="40" w:line="276" w:lineRule="auto"/>
            </w:pPr>
            <w:r>
              <w:rPr>
                <w:rFonts w:ascii="Calibri" w:hAnsi="Calibri"/>
                <w:sz w:val="19"/>
              </w:rPr>
              <w:t>Millimeter-precision 3D scans of campus buildings, hardscapes, and Inspiration Courtyard for BIM and Gaussian splatting digital twins.</w:t>
            </w:r>
          </w:p>
        </w:tc>
      </w:tr>
      <w:tr>
        <w:tc>
          <w:tcPr>
            <w:tcW w:type="dxa" w:w="2592"/>
            <w:shd w:fill="F8FAFC"/>
            <w:tcMar>
              <w:top w:w="100" w:type="dxa"/>
              <w:bottom w:w="100" w:type="dxa"/>
              <w:left w:w="150" w:type="dxa"/>
              <w:right w:w="150" w:type="dxa"/>
            </w:tcMar>
          </w:tcPr>
          <w:p>
            <w:pPr>
              <w:spacing w:before="40" w:after="40" w:line="276" w:lineRule="auto"/>
            </w:pPr>
            <w:r>
              <w:rPr>
                <w:rFonts w:ascii="Calibri" w:hAnsi="Calibri"/>
                <w:b/>
                <w:sz w:val="19"/>
              </w:rPr>
              <w:t>Autonomous Ground Robotics</w:t>
            </w:r>
          </w:p>
        </w:tc>
        <w:tc>
          <w:tcPr>
            <w:tcW w:type="dxa" w:w="3744"/>
            <w:shd w:fill="F8FAFC"/>
            <w:tcMar>
              <w:top w:w="100" w:type="dxa"/>
              <w:bottom w:w="100" w:type="dxa"/>
              <w:left w:w="150" w:type="dxa"/>
              <w:right w:w="150" w:type="dxa"/>
            </w:tcMar>
          </w:tcPr>
          <w:p>
            <w:pPr>
              <w:spacing w:before="40" w:after="40" w:line="276" w:lineRule="auto"/>
            </w:pPr>
            <w:r>
              <w:rPr>
                <w:rFonts w:ascii="Calibri" w:hAnsi="Calibri"/>
                <w:sz w:val="19"/>
              </w:rPr>
              <w:t>Boston Dynamics Spot Quadruped Robotic Dog equipped with 3D LiDAR payload; 2-wheeled terrain survey bots (via Looking Glass XR partnership).</w:t>
            </w:r>
          </w:p>
        </w:tc>
        <w:tc>
          <w:tcPr>
            <w:tcW w:type="dxa" w:w="3744"/>
            <w:shd w:fill="F8FAFC"/>
            <w:tcMar>
              <w:top w:w="100" w:type="dxa"/>
              <w:bottom w:w="100" w:type="dxa"/>
              <w:left w:w="150" w:type="dxa"/>
              <w:right w:w="150" w:type="dxa"/>
            </w:tcMar>
          </w:tcPr>
          <w:p>
            <w:pPr>
              <w:spacing w:before="40" w:after="40" w:line="276" w:lineRule="auto"/>
            </w:pPr>
            <w:r>
              <w:rPr>
                <w:rFonts w:ascii="Calibri" w:hAnsi="Calibri"/>
                <w:sz w:val="19"/>
              </w:rPr>
              <w:t>Autonomous terrain and vegetation scanning across rugged 492-acre farm slopes, wooded stream corridors, and uneven community sites.</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Aerial Drone Fleet &amp; Thermography</w:t>
            </w:r>
          </w:p>
        </w:tc>
        <w:tc>
          <w:tcPr>
            <w:tcW w:type="dxa" w:w="3744"/>
            <w:tcMar>
              <w:top w:w="100" w:type="dxa"/>
              <w:bottom w:w="100" w:type="dxa"/>
              <w:left w:w="150" w:type="dxa"/>
              <w:right w:w="150" w:type="dxa"/>
            </w:tcMar>
          </w:tcPr>
          <w:p>
            <w:pPr>
              <w:spacing w:before="40" w:after="40" w:line="276" w:lineRule="auto"/>
            </w:pPr>
            <w:r>
              <w:rPr>
                <w:rFonts w:ascii="Calibri" w:hAnsi="Calibri"/>
                <w:sz w:val="19"/>
              </w:rPr>
              <w:t>DJI RTK Aerial Drones (high-res 4K photogrammetry &amp; multispectral); handheld &amp; drone-mountable FLIR Thermal Cameras.</w:t>
            </w:r>
          </w:p>
        </w:tc>
        <w:tc>
          <w:tcPr>
            <w:tcW w:type="dxa" w:w="3744"/>
            <w:tcMar>
              <w:top w:w="100" w:type="dxa"/>
              <w:bottom w:w="100" w:type="dxa"/>
              <w:left w:w="150" w:type="dxa"/>
              <w:right w:w="150" w:type="dxa"/>
            </w:tcMar>
          </w:tcPr>
          <w:p>
            <w:pPr>
              <w:spacing w:before="40" w:after="40" w:line="276" w:lineRule="auto"/>
            </w:pPr>
            <w:r>
              <w:rPr>
                <w:rFonts w:ascii="Calibri" w:hAnsi="Calibri"/>
                <w:sz w:val="19"/>
              </w:rPr>
              <w:t>Sub-centimeter orthomosaic mapping of Holland Bowl and Piedmont farms; urban microclimate heat-island analysis in LDAR 248.</w:t>
            </w:r>
          </w:p>
        </w:tc>
      </w:tr>
      <w:tr>
        <w:tc>
          <w:tcPr>
            <w:tcW w:type="dxa" w:w="2592"/>
            <w:shd w:fill="F8FAFC"/>
            <w:tcMar>
              <w:top w:w="100" w:type="dxa"/>
              <w:bottom w:w="100" w:type="dxa"/>
              <w:left w:w="150" w:type="dxa"/>
              <w:right w:w="150" w:type="dxa"/>
            </w:tcMar>
          </w:tcPr>
          <w:p>
            <w:pPr>
              <w:spacing w:before="40" w:after="40" w:line="276" w:lineRule="auto"/>
            </w:pPr>
            <w:r>
              <w:rPr>
                <w:rFonts w:ascii="Calibri" w:hAnsi="Calibri"/>
                <w:b/>
                <w:sz w:val="19"/>
              </w:rPr>
              <w:t>Environmental IoT Sensor Kits</w:t>
            </w:r>
          </w:p>
        </w:tc>
        <w:tc>
          <w:tcPr>
            <w:tcW w:type="dxa" w:w="3744"/>
            <w:shd w:fill="F8FAFC"/>
            <w:tcMar>
              <w:top w:w="100" w:type="dxa"/>
              <w:bottom w:w="100" w:type="dxa"/>
              <w:left w:w="150" w:type="dxa"/>
              <w:right w:w="150" w:type="dxa"/>
            </w:tcMar>
          </w:tcPr>
          <w:p>
            <w:pPr>
              <w:spacing w:before="40" w:after="40" w:line="276" w:lineRule="auto"/>
            </w:pPr>
            <w:r>
              <w:rPr>
                <w:rFonts w:ascii="Calibri" w:hAnsi="Calibri"/>
                <w:sz w:val="19"/>
              </w:rPr>
              <w:t>In-ground IoT soil moisture &amp; EC probes, bio-acoustic pollinator monitors (AudioMoth), on-site weather telemetry stations.</w:t>
            </w:r>
          </w:p>
        </w:tc>
        <w:tc>
          <w:tcPr>
            <w:tcW w:type="dxa" w:w="3744"/>
            <w:shd w:fill="F8FAFC"/>
            <w:tcMar>
              <w:top w:w="100" w:type="dxa"/>
              <w:bottom w:w="100" w:type="dxa"/>
              <w:left w:w="150" w:type="dxa"/>
              <w:right w:w="150" w:type="dxa"/>
            </w:tcMar>
          </w:tcPr>
          <w:p>
            <w:pPr>
              <w:spacing w:before="40" w:after="40" w:line="276" w:lineRule="auto"/>
            </w:pPr>
            <w:r>
              <w:rPr>
                <w:rFonts w:ascii="Calibri" w:hAnsi="Calibri"/>
                <w:sz w:val="19"/>
              </w:rPr>
              <w:t>Ground-truthing USDA SSURGO database infiltration rates against physical sensor data in LDAR 248 and conservation planning studios.</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Spatial Computing &amp; Field Hubs</w:t>
            </w:r>
          </w:p>
        </w:tc>
        <w:tc>
          <w:tcPr>
            <w:tcW w:type="dxa" w:w="3744"/>
            <w:tcMar>
              <w:top w:w="100" w:type="dxa"/>
              <w:bottom w:w="100" w:type="dxa"/>
              <w:left w:w="150" w:type="dxa"/>
              <w:right w:w="150" w:type="dxa"/>
            </w:tcMar>
          </w:tcPr>
          <w:p>
            <w:pPr>
              <w:spacing w:before="40" w:after="40" w:line="276" w:lineRule="auto"/>
            </w:pPr>
            <w:r>
              <w:rPr>
                <w:rFonts w:ascii="Calibri" w:hAnsi="Calibri"/>
                <w:sz w:val="19"/>
              </w:rPr>
              <w:t>Meta Quest Pro &amp; Apple Vision Pro XR Headsets (XR Jam space at CH Moore Station); Mobile Starlink Satellite Field Terminal; Carver Hall GPU design labs.</w:t>
            </w:r>
          </w:p>
        </w:tc>
        <w:tc>
          <w:tcPr>
            <w:tcW w:type="dxa" w:w="3744"/>
            <w:tcMar>
              <w:top w:w="100" w:type="dxa"/>
              <w:bottom w:w="100" w:type="dxa"/>
              <w:left w:w="150" w:type="dxa"/>
              <w:right w:w="150" w:type="dxa"/>
            </w:tcMar>
          </w:tcPr>
          <w:p>
            <w:pPr>
              <w:spacing w:before="40" w:after="40" w:line="276" w:lineRule="auto"/>
            </w:pPr>
            <w:r>
              <w:rPr>
                <w:rFonts w:ascii="Calibri" w:hAnsi="Calibri"/>
                <w:sz w:val="19"/>
              </w:rPr>
              <w:t>Immersive client design charrettes through the planned CDC, remote farm internet connectivity, and high-performance BIM modeling.</w:t>
            </w:r>
          </w:p>
        </w:tc>
      </w:tr>
    </w:tbl>
    <w:p>
      <w:pPr>
        <w:spacing w:after="120"/>
      </w:pPr>
    </w:p>
    <w:p>
      <w:pPr>
        <w:spacing w:before="280" w:after="80"/>
      </w:pPr>
      <w:r>
        <w:rPr>
          <w:rFonts w:ascii="Arial" w:hAnsi="Arial"/>
          <w:b/>
          <w:color w:val="004684"/>
          <w:sz w:val="24"/>
        </w:rPr>
        <w:t>5. Exact Measurable Deliverables (Teaching, Research, Extension)</w:t>
      </w:r>
    </w:p>
    <w:p>
      <w:r>
        <w:t>The grant commits to rigorous, verifiable outputs across all three land-grant mission pillars:</w:t>
        <w:br/>
        <w:br/>
        <w:t>A. TEACHING &amp; INSTITUTIONAL DELIVERABLES:</w:t>
        <w:br/>
        <w:t>• Deliverable T1: 8 Redesigned Core Courses with deployed Canvas LMS course cartridges (.imscc), assignment rubrics, and project briefs.</w:t>
        <w:br/>
        <w:t>• Deliverable T2: 120+ Trained BSLA Undergraduates receiving hands-on field and digital twin experience across 3 cohort years.</w:t>
        <w:br/>
        <w:t>• Deliverable T3: Vectorworks Landmark BIM Design Center transition supporting upper-level construction documentation.</w:t>
        <w:br/>
        <w:t>• Deliverable T4: 1890 National Curriculum Open-Source Package enabling sister HBCUs to replicate computational landscape pedagogy.</w:t>
        <w:br/>
        <w:t>• Deliverable T5: Stackable Industry Credentials Pathway (USDA NRCS Conservation Planner, ABCD, SITES AP, FAA Part 107).</w:t>
        <w:br/>
        <w:br/>
        <w:t>B. RESEARCH DELIVERABLES:</w:t>
        <w:br/>
        <w:t>• Deliverable R1: 3-Year Longitudinal AI Pedagogy &amp; Design Cognition Study led by Dr. Jun Yang, tracking design velocity and spatial synthesis.</w:t>
        <w:br/>
        <w:t>• Deliverable R2: 4+ Peer-Reviewed Journal Articles &amp; Conference Proceedings targeting CELA's Landscape Journal, Landscape Research Record (LRR), EDRA proceedings, Environment and Behavior, and IJAC.</w:t>
        <w:br/>
        <w:br/>
        <w:t>C. EXTENSION &amp; COMMUNITY DELIVERABLES:</w:t>
        <w:br/>
        <w:t>• Deliverable E1: 6 Multi-Site Living Lab Plans &amp; Digital Twins delivered across SFRIC's network (Farm, Inspiration Courtyard, Holland Bowl, partner sites).</w:t>
        <w:br/>
        <w:t>• Deliverable E2: Co-Launch of the SFRIC Community Design Center (CDC) with NC Cooperative Extension and the City of Greensboro.</w:t>
      </w:r>
    </w:p>
    <w:p>
      <w:pPr>
        <w:spacing w:before="280" w:after="80"/>
      </w:pPr>
      <w:r>
        <w:rPr>
          <w:rFonts w:ascii="Arial" w:hAnsi="Arial"/>
          <w:b/>
          <w:color w:val="004684"/>
          <w:sz w:val="24"/>
        </w:rPr>
        <w:t>6. Stackable Industry Credentials &amp; Student Career Velocity</w:t>
      </w:r>
    </w:p>
    <w:p>
      <w:r>
        <w:t>Graduates of our enhanced program will not only earn their LAAB-accredited BSLA degree, but will also carry recognized industry certifications that dramatically enhance employment velocity and starting compensation:</w:t>
        <w:br/>
        <w:t>1. USDA NRCS Nine-Step Conservation Farm Planning: Soil health, RUSLE2 erosion modeling, and EQIP practice standards.</w:t>
        <w:br/>
        <w:t>2. Asset-Based Community Development (ABCD): Stakeholder mapping, participatory charrettes, and equitable co-design.</w:t>
        <w:br/>
        <w:t>3. Sustainable SITES Initiative (SITES AP / Associate): Applied 250-point sustainable landscape rating system.</w:t>
        <w:br/>
        <w:t>4. FAA Part 107 Commercial Drone Pilot: FAA commercial flight regulations, multispectral sensors, and photogrammetric processing.</w:t>
        <w:br/>
        <w:t>5. LARE Professional Licensure Preparation: Comprehensive capstone portfolio defense aligning directly with licensing standards.</w:t>
      </w:r>
    </w:p>
    <w:p>
      <w:pPr>
        <w:spacing w:before="280" w:after="80"/>
      </w:pPr>
      <w:r>
        <w:rPr>
          <w:rFonts w:ascii="Arial" w:hAnsi="Arial"/>
          <w:b/>
          <w:color w:val="004684"/>
          <w:sz w:val="24"/>
        </w:rPr>
        <w:t>7. 3-Year Implementation Timeline &amp; Budget Allocation ($500,000 Collaborative Grant)</w:t>
      </w:r>
    </w:p>
    <w:p>
      <w:r>
        <w:t>The $500,000 budget is strategically phased across 36 months to align curriculum redesign, field sensor calibration, and living lab deployments: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1728"/>
            <w:shd w:fill="004684"/>
            <w:tcMar>
              <w:top w:w="120" w:type="dxa"/>
              <w:bottom w:w="120" w:type="dxa"/>
              <w:left w:w="150" w:type="dxa"/>
              <w:right w:w="150" w:type="dxa"/>
            </w:tcMar>
          </w:tcPr>
          <w:p>
            <w:pPr>
              <w:spacing w:before="40" w:after="40"/>
            </w:pPr>
            <w:r>
              <w:rPr>
                <w:rFonts w:ascii="Arial" w:hAnsi="Arial"/>
                <w:b/>
                <w:color w:val="FFFFFF"/>
                <w:sz w:val="18"/>
              </w:rPr>
              <w:t>Project Year</w:t>
            </w:r>
          </w:p>
        </w:tc>
        <w:tc>
          <w:tcPr>
            <w:tcW w:type="dxa" w:w="2880"/>
            <w:shd w:fill="004684"/>
            <w:tcMar>
              <w:top w:w="120" w:type="dxa"/>
              <w:bottom w:w="120" w:type="dxa"/>
              <w:left w:w="150" w:type="dxa"/>
              <w:right w:w="150" w:type="dxa"/>
            </w:tcMar>
          </w:tcPr>
          <w:p>
            <w:pPr>
              <w:spacing w:before="40" w:after="40"/>
            </w:pPr>
            <w:r>
              <w:rPr>
                <w:rFonts w:ascii="Arial" w:hAnsi="Arial"/>
                <w:b/>
                <w:color w:val="FFFFFF"/>
                <w:sz w:val="18"/>
              </w:rPr>
              <w:t>Strategic Focus</w:t>
            </w:r>
          </w:p>
        </w:tc>
        <w:tc>
          <w:tcPr>
            <w:tcW w:type="dxa" w:w="3744"/>
            <w:shd w:fill="004684"/>
            <w:tcMar>
              <w:top w:w="120" w:type="dxa"/>
              <w:bottom w:w="120" w:type="dxa"/>
              <w:left w:w="150" w:type="dxa"/>
              <w:right w:w="150" w:type="dxa"/>
            </w:tcMar>
          </w:tcPr>
          <w:p>
            <w:pPr>
              <w:spacing w:before="40" w:after="40"/>
            </w:pPr>
            <w:r>
              <w:rPr>
                <w:rFonts w:ascii="Arial" w:hAnsi="Arial"/>
                <w:b/>
                <w:color w:val="FFFFFF"/>
                <w:sz w:val="18"/>
              </w:rPr>
              <w:t>Key Milestones &amp; Deliverables</w:t>
            </w:r>
          </w:p>
        </w:tc>
        <w:tc>
          <w:tcPr>
            <w:tcW w:type="dxa" w:w="1728"/>
            <w:shd w:fill="004684"/>
            <w:tcMar>
              <w:top w:w="120" w:type="dxa"/>
              <w:bottom w:w="120" w:type="dxa"/>
              <w:left w:w="150" w:type="dxa"/>
              <w:right w:w="150" w:type="dxa"/>
            </w:tcMar>
          </w:tcPr>
          <w:p>
            <w:pPr>
              <w:spacing w:before="40" w:after="40"/>
            </w:pPr>
            <w:r>
              <w:rPr>
                <w:rFonts w:ascii="Arial" w:hAnsi="Arial"/>
                <w:b/>
                <w:color w:val="FFFFFF"/>
                <w:sz w:val="18"/>
              </w:rPr>
              <w:t>Budget ($500k)</w:t>
            </w:r>
          </w:p>
        </w:tc>
      </w:tr>
      <w:tr>
        <w:tc>
          <w:tcPr>
            <w:tcW w:type="dxa" w:w="1728"/>
            <w:tcMar>
              <w:top w:w="100" w:type="dxa"/>
              <w:bottom w:w="100" w:type="dxa"/>
              <w:left w:w="150" w:type="dxa"/>
              <w:right w:w="150" w:type="dxa"/>
            </w:tcMar>
          </w:tcPr>
          <w:p>
            <w:pPr>
              <w:spacing w:before="40" w:after="40" w:line="276" w:lineRule="auto"/>
            </w:pPr>
            <w:r>
              <w:rPr>
                <w:rFonts w:ascii="Calibri" w:hAnsi="Calibri"/>
                <w:b/>
                <w:sz w:val="19"/>
              </w:rPr>
              <w:t>YEAR 1</w:t>
              <w:br/>
              <w:t>CY 2027</w:t>
            </w:r>
          </w:p>
        </w:tc>
        <w:tc>
          <w:tcPr>
            <w:tcW w:type="dxa" w:w="2880"/>
            <w:tcMar>
              <w:top w:w="100" w:type="dxa"/>
              <w:bottom w:w="100" w:type="dxa"/>
              <w:left w:w="150" w:type="dxa"/>
              <w:right w:w="150" w:type="dxa"/>
            </w:tcMar>
          </w:tcPr>
          <w:p>
            <w:pPr>
              <w:spacing w:before="40" w:after="40" w:line="276" w:lineRule="auto"/>
            </w:pPr>
            <w:r>
              <w:rPr>
                <w:rFonts w:ascii="Calibri" w:hAnsi="Calibri"/>
                <w:sz w:val="19"/>
              </w:rPr>
              <w:t>Curricular Foundation &amp; Sensor Calibration</w:t>
            </w:r>
          </w:p>
        </w:tc>
        <w:tc>
          <w:tcPr>
            <w:tcW w:type="dxa" w:w="3744"/>
            <w:tcMar>
              <w:top w:w="100" w:type="dxa"/>
              <w:bottom w:w="100" w:type="dxa"/>
              <w:left w:w="150" w:type="dxa"/>
              <w:right w:w="150" w:type="dxa"/>
            </w:tcMar>
          </w:tcPr>
          <w:p>
            <w:pPr>
              <w:spacing w:before="40" w:after="40" w:line="276" w:lineRule="auto"/>
            </w:pPr>
            <w:r>
              <w:rPr>
                <w:rFonts w:ascii="Calibri" w:hAnsi="Calibri"/>
                <w:sz w:val="19"/>
              </w:rPr>
              <w:t>• Purchase &amp; calibrate sensors (soil moisture, FLIR thermal, AudioMoth) &amp; RTK GNSS field kit.</w:t>
              <w:br/>
              <w:t>• Vectorworks Landmark BIM faculty training &amp; 4 graphics workstations setup.</w:t>
              <w:br/>
              <w:t>• Redesign LDAR 147, 170, and 171 with embedded GIS data.</w:t>
              <w:br/>
              <w:t>• Secure IRB approval &amp; launch Dr. Yang's AI pedagogy baseline study.</w:t>
            </w:r>
          </w:p>
        </w:tc>
        <w:tc>
          <w:tcPr>
            <w:tcW w:type="dxa" w:w="1728"/>
            <w:tcMar>
              <w:top w:w="100" w:type="dxa"/>
              <w:bottom w:w="100" w:type="dxa"/>
              <w:left w:w="150" w:type="dxa"/>
              <w:right w:w="150" w:type="dxa"/>
            </w:tcMar>
          </w:tcPr>
          <w:p>
            <w:pPr>
              <w:spacing w:before="40" w:after="40" w:line="276" w:lineRule="auto"/>
            </w:pPr>
            <w:r>
              <w:rPr>
                <w:rFonts w:ascii="Calibri" w:hAnsi="Calibri"/>
                <w:sz w:val="19"/>
              </w:rPr>
              <w:t>$180,000</w:t>
              <w:br/>
              <w:t>(36%)</w:t>
            </w:r>
          </w:p>
        </w:tc>
      </w:tr>
      <w:tr>
        <w:tc>
          <w:tcPr>
            <w:tcW w:type="dxa" w:w="1728"/>
            <w:shd w:fill="F8FAFC"/>
            <w:tcMar>
              <w:top w:w="100" w:type="dxa"/>
              <w:bottom w:w="100" w:type="dxa"/>
              <w:left w:w="150" w:type="dxa"/>
              <w:right w:w="150" w:type="dxa"/>
            </w:tcMar>
          </w:tcPr>
          <w:p>
            <w:pPr>
              <w:spacing w:before="40" w:after="40" w:line="276" w:lineRule="auto"/>
            </w:pPr>
            <w:r>
              <w:rPr>
                <w:rFonts w:ascii="Calibri" w:hAnsi="Calibri"/>
                <w:b/>
                <w:sz w:val="19"/>
              </w:rPr>
              <w:t>YEAR 2</w:t>
              <w:br/>
              <w:t>CY 2028</w:t>
            </w:r>
          </w:p>
        </w:tc>
        <w:tc>
          <w:tcPr>
            <w:tcW w:type="dxa" w:w="2880"/>
            <w:shd w:fill="F8FAFC"/>
            <w:tcMar>
              <w:top w:w="100" w:type="dxa"/>
              <w:bottom w:w="100" w:type="dxa"/>
              <w:left w:w="150" w:type="dxa"/>
              <w:right w:w="150" w:type="dxa"/>
            </w:tcMar>
          </w:tcPr>
          <w:p>
            <w:pPr>
              <w:spacing w:before="40" w:after="40" w:line="276" w:lineRule="auto"/>
            </w:pPr>
            <w:r>
              <w:rPr>
                <w:rFonts w:ascii="Calibri" w:hAnsi="Calibri"/>
                <w:sz w:val="19"/>
              </w:rPr>
              <w:t>Field Integration &amp; AI Studio Launch</w:t>
            </w:r>
          </w:p>
        </w:tc>
        <w:tc>
          <w:tcPr>
            <w:tcW w:type="dxa" w:w="3744"/>
            <w:shd w:fill="F8FAFC"/>
            <w:tcMar>
              <w:top w:w="100" w:type="dxa"/>
              <w:bottom w:w="100" w:type="dxa"/>
              <w:left w:w="150" w:type="dxa"/>
              <w:right w:w="150" w:type="dxa"/>
            </w:tcMar>
          </w:tcPr>
          <w:p>
            <w:pPr>
              <w:spacing w:before="40" w:after="40" w:line="276" w:lineRule="auto"/>
            </w:pPr>
            <w:r>
              <w:rPr>
                <w:rFonts w:ascii="Calibri" w:hAnsi="Calibri"/>
                <w:sz w:val="19"/>
              </w:rPr>
              <w:t>• Deploy sophomores to SFRIC farm for live sensor ground-truthing and digital forestry twin with Dr. Omon.</w:t>
              <w:br/>
              <w:t>• Integrate drone orthomosaics into LDAR 248 and 347 site engineering with Dr. Beni.</w:t>
              <w:br/>
              <w:t>• Introduce Generative AI &amp; SITES v2 in junior studios.</w:t>
              <w:br/>
              <w:t>• Present preliminary findings at CELA and EDRA conferences.</w:t>
            </w:r>
          </w:p>
        </w:tc>
        <w:tc>
          <w:tcPr>
            <w:tcW w:type="dxa" w:w="1728"/>
            <w:shd w:fill="F8FAFC"/>
            <w:tcMar>
              <w:top w:w="100" w:type="dxa"/>
              <w:bottom w:w="100" w:type="dxa"/>
              <w:left w:w="150" w:type="dxa"/>
              <w:right w:w="150" w:type="dxa"/>
            </w:tcMar>
          </w:tcPr>
          <w:p>
            <w:pPr>
              <w:spacing w:before="40" w:after="40" w:line="276" w:lineRule="auto"/>
            </w:pPr>
            <w:r>
              <w:rPr>
                <w:rFonts w:ascii="Calibri" w:hAnsi="Calibri"/>
                <w:sz w:val="19"/>
              </w:rPr>
              <w:t>$170,000</w:t>
              <w:br/>
              <w:t>(34%)</w:t>
            </w:r>
          </w:p>
        </w:tc>
      </w:tr>
      <w:tr>
        <w:tc>
          <w:tcPr>
            <w:tcW w:type="dxa" w:w="1728"/>
            <w:tcMar>
              <w:top w:w="100" w:type="dxa"/>
              <w:bottom w:w="100" w:type="dxa"/>
              <w:left w:w="150" w:type="dxa"/>
              <w:right w:w="150" w:type="dxa"/>
            </w:tcMar>
          </w:tcPr>
          <w:p>
            <w:pPr>
              <w:spacing w:before="40" w:after="40" w:line="276" w:lineRule="auto"/>
            </w:pPr>
            <w:r>
              <w:rPr>
                <w:rFonts w:ascii="Calibri" w:hAnsi="Calibri"/>
                <w:b/>
                <w:sz w:val="19"/>
              </w:rPr>
              <w:t>YEAR 3</w:t>
              <w:br/>
              <w:t>CY 2029</w:t>
            </w:r>
          </w:p>
        </w:tc>
        <w:tc>
          <w:tcPr>
            <w:tcW w:type="dxa" w:w="2880"/>
            <w:tcMar>
              <w:top w:w="100" w:type="dxa"/>
              <w:bottom w:w="100" w:type="dxa"/>
              <w:left w:w="150" w:type="dxa"/>
              <w:right w:w="150" w:type="dxa"/>
            </w:tcMar>
          </w:tcPr>
          <w:p>
            <w:pPr>
              <w:spacing w:before="40" w:after="40" w:line="276" w:lineRule="auto"/>
            </w:pPr>
            <w:r>
              <w:rPr>
                <w:rFonts w:ascii="Calibri" w:hAnsi="Calibri"/>
                <w:sz w:val="19"/>
              </w:rPr>
              <w:t>Capstone Twins, Extension &amp; Dissemination</w:t>
            </w:r>
          </w:p>
        </w:tc>
        <w:tc>
          <w:tcPr>
            <w:tcW w:type="dxa" w:w="3744"/>
            <w:tcMar>
              <w:top w:w="100" w:type="dxa"/>
              <w:bottom w:w="100" w:type="dxa"/>
              <w:left w:w="150" w:type="dxa"/>
              <w:right w:w="150" w:type="dxa"/>
            </w:tcMar>
          </w:tcPr>
          <w:p>
            <w:pPr>
              <w:spacing w:before="40" w:after="40" w:line="276" w:lineRule="auto"/>
            </w:pPr>
            <w:r>
              <w:rPr>
                <w:rFonts w:ascii="Calibri" w:hAnsi="Calibri"/>
                <w:sz w:val="19"/>
              </w:rPr>
              <w:t>• Senior Capstone teams execute complete digital twins through planned CDC on Extension partner sites.</w:t>
              <w:br/>
              <w:t>• Host 4 multilingual community co-design charrettes in Piedmont corridors.</w:t>
              <w:br/>
              <w:t>• Submit peer-reviewed journal papers (CELA Landscape Journal &amp; LRR, EDRA).</w:t>
              <w:br/>
              <w:t>• Host National 1890 Digital Landscape Architecture Symposium at NC A&amp;T.</w:t>
            </w:r>
          </w:p>
        </w:tc>
        <w:tc>
          <w:tcPr>
            <w:tcW w:type="dxa" w:w="1728"/>
            <w:tcMar>
              <w:top w:w="100" w:type="dxa"/>
              <w:bottom w:w="100" w:type="dxa"/>
              <w:left w:w="150" w:type="dxa"/>
              <w:right w:w="150" w:type="dxa"/>
            </w:tcMar>
          </w:tcPr>
          <w:p>
            <w:pPr>
              <w:spacing w:before="40" w:after="40" w:line="276" w:lineRule="auto"/>
            </w:pPr>
            <w:r>
              <w:rPr>
                <w:rFonts w:ascii="Calibri" w:hAnsi="Calibri"/>
                <w:sz w:val="19"/>
              </w:rPr>
              <w:t>$150,000</w:t>
              <w:br/>
              <w:t>(30%)</w:t>
            </w:r>
          </w:p>
        </w:tc>
      </w:tr>
      <w:tr>
        <w:tc>
          <w:tcPr>
            <w:tcW w:type="dxa" w:w="1728"/>
            <w:shd w:fill="FEF9E8"/>
            <w:tcMar>
              <w:top w:w="100" w:type="dxa"/>
              <w:bottom w:w="100" w:type="dxa"/>
              <w:left w:w="150" w:type="dxa"/>
              <w:right w:w="150" w:type="dxa"/>
            </w:tcMar>
          </w:tcPr>
          <w:p>
            <w:pPr>
              <w:spacing w:before="40" w:after="40" w:line="276" w:lineRule="auto"/>
            </w:pPr>
            <w:r>
              <w:rPr>
                <w:rFonts w:ascii="Calibri" w:hAnsi="Calibri"/>
                <w:b/>
                <w:sz w:val="19"/>
              </w:rPr>
              <w:t>TOTAL</w:t>
            </w:r>
          </w:p>
        </w:tc>
        <w:tc>
          <w:tcPr>
            <w:tcW w:type="dxa" w:w="2880"/>
            <w:shd w:fill="FEF9E8"/>
            <w:tcMar>
              <w:top w:w="100" w:type="dxa"/>
              <w:bottom w:w="100" w:type="dxa"/>
              <w:left w:w="150" w:type="dxa"/>
              <w:right w:w="150" w:type="dxa"/>
            </w:tcMar>
          </w:tcPr>
          <w:p>
            <w:pPr>
              <w:spacing w:before="40" w:after="40" w:line="276" w:lineRule="auto"/>
            </w:pPr>
            <w:r>
              <w:rPr>
                <w:rFonts w:ascii="Calibri" w:hAnsi="Calibri"/>
                <w:sz w:val="19"/>
              </w:rPr>
              <w:t>36-Month Collaborative Capacity Investment</w:t>
            </w:r>
          </w:p>
        </w:tc>
        <w:tc>
          <w:tcPr>
            <w:tcW w:type="dxa" w:w="3744"/>
            <w:shd w:fill="FEF9E8"/>
            <w:tcMar>
              <w:top w:w="100" w:type="dxa"/>
              <w:bottom w:w="100" w:type="dxa"/>
              <w:left w:w="150" w:type="dxa"/>
              <w:right w:w="150" w:type="dxa"/>
            </w:tcMar>
          </w:tcPr>
          <w:p>
            <w:pPr>
              <w:spacing w:before="40" w:after="40" w:line="276" w:lineRule="auto"/>
            </w:pPr>
            <w:r>
              <w:rPr>
                <w:rFonts w:ascii="Calibri" w:hAnsi="Calibri"/>
                <w:sz w:val="19"/>
              </w:rPr>
              <w:t>Comprehensive 3-year capacity building across Teaching, Research, and Extension.</w:t>
            </w:r>
          </w:p>
        </w:tc>
        <w:tc>
          <w:tcPr>
            <w:tcW w:type="dxa" w:w="1728"/>
            <w:shd w:fill="FEF9E8"/>
            <w:tcMar>
              <w:top w:w="100" w:type="dxa"/>
              <w:bottom w:w="100" w:type="dxa"/>
              <w:left w:w="150" w:type="dxa"/>
              <w:right w:w="150" w:type="dxa"/>
            </w:tcMar>
          </w:tcPr>
          <w:p>
            <w:pPr>
              <w:spacing w:before="40" w:after="40" w:line="276" w:lineRule="auto"/>
            </w:pPr>
            <w:r>
              <w:rPr>
                <w:rFonts w:ascii="Calibri" w:hAnsi="Calibri"/>
                <w:sz w:val="19"/>
              </w:rPr>
              <w:t>$500,000</w:t>
              <w:br/>
              <w:t>(100%)</w:t>
            </w:r>
          </w:p>
        </w:tc>
      </w:tr>
    </w:tbl>
    <w:p>
      <w:pPr>
        <w:spacing w:after="120"/>
      </w:pPr>
    </w:p>
    <w:p>
      <w:pPr>
        <w:spacing w:before="120" w:after="40"/>
      </w:pPr>
      <w:r>
        <w:rPr>
          <w:b/>
          <w:sz w:val="20"/>
        </w:rPr>
        <w:t>Budget Allocation by Category:</w:t>
      </w:r>
    </w:p>
    <w:p>
      <w:r>
        <w:t>1. Faculty Summer Salaries &amp; Fringe (~$187,000 / 37.4%): Dedicated summer effort across all 3 years for PI Harrison, Co-PIs across CAES and CoST (Dr. Omon, Dr. Beni, Dr. Spence, Dr. Yang, Dallas Bretzman).</w:t>
        <w:br/>
        <w:t>2. Student Labor — 2+2 Paired Vertical Mentorship Model ($120,000 / 24.0%):</w:t>
        <w:br/>
        <w:t xml:space="preserve">   • Team 1 (Studio, BIM &amp; AI Pedagogy): 1 GRA ($16k/yr) + 1 Undergrad Assistant ($4k/yr) = $20,000/yr ($60k total)</w:t>
        <w:br/>
        <w:t xml:space="preserve">   • Team 2 (Field Sensors, Drones &amp; Forestry): 1 GRA ($16k/yr) + 1 Undergrad Assistant ($4k/yr) = $20,000/yr ($60k total)</w:t>
        <w:br/>
        <w:t xml:space="preserve">   • Total: 2 GRAs managing 2 Undergrads across all 3 project years ($120k total).</w:t>
        <w:br/>
        <w:t>3. Equipment, Sensors &amp; Hardware (~$78,000 / 15.6%): RTK GNSS field kit, environmental IoT sensors, and 4 high-performance studio graphics workstations.</w:t>
        <w:br/>
        <w:t>4. Industry Credentials, Travel, Dissemination &amp; F&amp;A (~$115,000 / 23.0%): Subsidized student certification exams (SITES AP, NRCS, ABCD), CELA/EDRA travel, and statutory indirect costs.</w:t>
      </w:r>
    </w:p>
    <w:p>
      <w:pPr>
        <w:spacing w:before="280" w:after="80"/>
      </w:pPr>
      <w:r>
        <w:rPr>
          <w:rFonts w:ascii="Arial" w:hAnsi="Arial"/>
          <w:b/>
          <w:color w:val="004684"/>
          <w:sz w:val="24"/>
        </w:rPr>
        <w:t>8. Multi-Disciplinary Investigator Team &amp; Strategic Contributions</w:t>
      </w:r>
    </w:p>
    <w:tbl>
      <w:tblPr>
        <w:tblW w:type="auto" w:w="0"/>
        <w:jc w:val="center"/>
        <w:tblLayout w:type="fixed"/>
        <w:tblLook w:firstColumn="1" w:firstRow="1" w:lastColumn="0" w:lastRow="0" w:noHBand="0" w:noVBand="1" w:val="04A0"/>
      </w:tblPr>
      <w:tblGrid>
        <w:gridCol w:w="10080"/>
      </w:tblGrid>
      <w:tr>
        <w:tc>
          <w:tcPr>
            <w:tcW w:type="dxa" w:w="10080"/>
            <w:shd w:fill="FEF9E8"/>
            <w:tcMar>
              <w:top w:w="140" w:type="dxa"/>
              <w:bottom w:w="140" w:type="dxa"/>
              <w:left w:w="200" w:type="dxa"/>
              <w:right w:w="200" w:type="dxa"/>
            </w:tcMar>
            <w:tcBorders>
              <w:left w:val="single" w:sz="36" w:space="0" w:color="004684"/>
              <w:top w:val="none"/>
              <w:right w:val="none"/>
              <w:bottom w:val="none"/>
            </w:tcBorders>
          </w:tcPr>
          <w:p>
            <w:pPr>
              <w:spacing w:before="40" w:after="80"/>
            </w:pPr>
            <w:r>
              <w:rPr>
                <w:rFonts w:ascii="Arial" w:hAnsi="Arial"/>
                <w:b/>
                <w:color w:val="004684"/>
                <w:sz w:val="21"/>
              </w:rPr>
              <w:t>★ DIRECT LEVERAGE OF ACTIVE EVANS-ALLEN INVESTMENT (FUND 241206) &amp; MCINTIRE-STENNIS BRIDGE</w:t>
              <w:br/>
            </w:r>
            <w:r>
              <w:rPr>
                <w:rFonts w:ascii="Calibri" w:hAnsi="Calibri"/>
                <w:color w:val="222938"/>
                <w:sz w:val="20"/>
              </w:rPr>
              <w:t>This CBG directly scales PI W. Chris Harrison's active USDA NIFA Evans-Allen research ('Testing the Potential for a Digital Twin to Enhance the Sustainability of a Campus Landscape', Banner Fund 241206, $237,056.55 total project cost). Evans-Allen developed baseline campus UAV photogrammetry and sensor prototypes. This CBG embeds these capabilities into the accredited BSLA curriculum, deploys students to living laboratories, and positions NC A&amp;T to capture future recurring USDA McIntire-Stennis Cooperative Forestry formula funding with Dr. Omon Isikhuemhen.</w:t>
            </w:r>
          </w:p>
        </w:tc>
      </w:tr>
    </w:tbl>
    <w:p>
      <w:pPr>
        <w:spacing w:before="0"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004684"/>
            <w:tcMar>
              <w:top w:w="120" w:type="dxa"/>
              <w:bottom w:w="120" w:type="dxa"/>
              <w:left w:w="150" w:type="dxa"/>
              <w:right w:w="150" w:type="dxa"/>
            </w:tcMar>
          </w:tcPr>
          <w:p>
            <w:pPr>
              <w:spacing w:before="40" w:after="40"/>
            </w:pPr>
            <w:r>
              <w:rPr>
                <w:rFonts w:ascii="Arial" w:hAnsi="Arial"/>
                <w:b/>
                <w:color w:val="FFFFFF"/>
                <w:sz w:val="18"/>
              </w:rPr>
              <w:t>Investigator &amp; Role</w:t>
            </w:r>
          </w:p>
        </w:tc>
        <w:tc>
          <w:tcPr>
            <w:tcW w:type="dxa" w:w="3168"/>
            <w:shd w:fill="004684"/>
            <w:tcMar>
              <w:top w:w="120" w:type="dxa"/>
              <w:bottom w:w="120" w:type="dxa"/>
              <w:left w:w="150" w:type="dxa"/>
              <w:right w:w="150" w:type="dxa"/>
            </w:tcMar>
          </w:tcPr>
          <w:p>
            <w:pPr>
              <w:spacing w:before="40" w:after="40"/>
            </w:pPr>
            <w:r>
              <w:rPr>
                <w:rFonts w:ascii="Arial" w:hAnsi="Arial"/>
                <w:b/>
                <w:color w:val="FFFFFF"/>
                <w:sz w:val="18"/>
              </w:rPr>
              <w:t>Title, Rank &amp; Academic Department</w:t>
            </w:r>
          </w:p>
        </w:tc>
        <w:tc>
          <w:tcPr>
            <w:tcW w:type="dxa" w:w="4320"/>
            <w:shd w:fill="004684"/>
            <w:tcMar>
              <w:top w:w="120" w:type="dxa"/>
              <w:bottom w:w="120" w:type="dxa"/>
              <w:left w:w="150" w:type="dxa"/>
              <w:right w:w="150" w:type="dxa"/>
            </w:tcMar>
          </w:tcPr>
          <w:p>
            <w:pPr>
              <w:spacing w:before="40" w:after="40"/>
            </w:pPr>
            <w:r>
              <w:rPr>
                <w:rFonts w:ascii="Arial" w:hAnsi="Arial"/>
                <w:b/>
                <w:color w:val="FFFFFF"/>
                <w:sz w:val="18"/>
              </w:rPr>
              <w:t>Project Responsibility &amp; Strategic Contribution</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W. Christopher Harrison, MLA, ASLA</w:t>
              <w:br/>
              <w:t>[Lead PI]</w:t>
            </w:r>
          </w:p>
        </w:tc>
        <w:tc>
          <w:tcPr>
            <w:tcW w:type="dxa" w:w="3168"/>
            <w:tcMar>
              <w:top w:w="100" w:type="dxa"/>
              <w:bottom w:w="100" w:type="dxa"/>
              <w:left w:w="150" w:type="dxa"/>
              <w:right w:w="150" w:type="dxa"/>
            </w:tcMar>
          </w:tcPr>
          <w:p>
            <w:pPr>
              <w:spacing w:before="40" w:after="40" w:line="276" w:lineRule="auto"/>
            </w:pPr>
            <w:r>
              <w:rPr>
                <w:rFonts w:ascii="Calibri" w:hAnsi="Calibri"/>
                <w:sz w:val="19"/>
              </w:rPr>
              <w:t>Assistant Professor (Tenure-Track) &amp; BSLA Program Coordinator</w:t>
              <w:br/>
              <w:t>NRED / CAES</w:t>
            </w:r>
          </w:p>
        </w:tc>
        <w:tc>
          <w:tcPr>
            <w:tcW w:type="dxa" w:w="4320"/>
            <w:tcMar>
              <w:top w:w="100" w:type="dxa"/>
              <w:bottom w:w="100" w:type="dxa"/>
              <w:left w:w="150" w:type="dxa"/>
              <w:right w:w="150" w:type="dxa"/>
            </w:tcMar>
          </w:tcPr>
          <w:p>
            <w:pPr>
              <w:spacing w:before="40" w:after="40" w:line="276" w:lineRule="auto"/>
            </w:pPr>
            <w:r>
              <w:rPr>
                <w:rFonts w:ascii="Calibri" w:hAnsi="Calibri"/>
                <w:sz w:val="19"/>
              </w:rPr>
              <w:t>Overall project leadership, fiscal governance, digital twin architecture, freshman design foundations sequence, senior capstone integration, and EDRA/CELA dissemination. Direct bridge to active Evans-Allen Fund 241206.</w:t>
            </w:r>
          </w:p>
        </w:tc>
      </w:tr>
      <w:tr>
        <w:tc>
          <w:tcPr>
            <w:tcW w:type="dxa" w:w="2592"/>
            <w:shd w:fill="F8FAFC"/>
            <w:tcMar>
              <w:top w:w="100" w:type="dxa"/>
              <w:bottom w:w="100" w:type="dxa"/>
              <w:left w:w="150" w:type="dxa"/>
              <w:right w:w="150" w:type="dxa"/>
            </w:tcMar>
          </w:tcPr>
          <w:p>
            <w:pPr>
              <w:spacing w:before="40" w:after="40" w:line="276" w:lineRule="auto"/>
            </w:pPr>
            <w:r>
              <w:rPr>
                <w:rFonts w:ascii="Calibri" w:hAnsi="Calibri"/>
                <w:b/>
                <w:sz w:val="19"/>
              </w:rPr>
              <w:t>Dr. Omoanghe S. Isikhuemhen, Ph.D.</w:t>
              <w:br/>
              <w:t>[Co-PI • Forestry &amp; Biotech]</w:t>
            </w:r>
          </w:p>
        </w:tc>
        <w:tc>
          <w:tcPr>
            <w:tcW w:type="dxa" w:w="3168"/>
            <w:shd w:fill="F8FAFC"/>
            <w:tcMar>
              <w:top w:w="100" w:type="dxa"/>
              <w:bottom w:w="100" w:type="dxa"/>
              <w:left w:w="150" w:type="dxa"/>
              <w:right w:w="150" w:type="dxa"/>
            </w:tcMar>
          </w:tcPr>
          <w:p>
            <w:pPr>
              <w:spacing w:before="40" w:after="40" w:line="276" w:lineRule="auto"/>
            </w:pPr>
            <w:r>
              <w:rPr>
                <w:rFonts w:ascii="Calibri" w:hAnsi="Calibri"/>
                <w:sz w:val="19"/>
              </w:rPr>
              <w:t>Research Professor of Plant Science / Fungal Biotechnology</w:t>
              <w:br/>
              <w:t>NRED / CAES</w:t>
            </w:r>
          </w:p>
        </w:tc>
        <w:tc>
          <w:tcPr>
            <w:tcW w:type="dxa" w:w="4320"/>
            <w:shd w:fill="F8FAFC"/>
            <w:tcMar>
              <w:top w:w="100" w:type="dxa"/>
              <w:bottom w:w="100" w:type="dxa"/>
              <w:left w:w="150" w:type="dxa"/>
              <w:right w:w="150" w:type="dxa"/>
            </w:tcMar>
          </w:tcPr>
          <w:p>
            <w:pPr>
              <w:spacing w:before="40" w:after="40" w:line="276" w:lineRule="auto"/>
            </w:pPr>
            <w:r>
              <w:rPr>
                <w:rFonts w:ascii="Calibri" w:hAnsi="Calibri"/>
                <w:sz w:val="19"/>
              </w:rPr>
              <w:t>Digital Forestry &amp; Living Agroforestry Twin lead across University Farm forest acreage; mycorrhizal truffle ecology, living soil carbon stabilization, forest health modeling, and positioning NC A&amp;T for USDA McIntire-Stennis capacity funding.</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Dr. Leila Hashemi-Beni, Ph.D.</w:t>
              <w:br/>
              <w:t>[Co-PI • Cross-College Lead]</w:t>
            </w:r>
          </w:p>
        </w:tc>
        <w:tc>
          <w:tcPr>
            <w:tcW w:type="dxa" w:w="3168"/>
            <w:tcMar>
              <w:top w:w="100" w:type="dxa"/>
              <w:bottom w:w="100" w:type="dxa"/>
              <w:left w:w="150" w:type="dxa"/>
              <w:right w:w="150" w:type="dxa"/>
            </w:tcMar>
          </w:tcPr>
          <w:p>
            <w:pPr>
              <w:spacing w:before="40" w:after="40" w:line="276" w:lineRule="auto"/>
            </w:pPr>
            <w:r>
              <w:rPr>
                <w:rFonts w:ascii="Calibri" w:hAnsi="Calibri"/>
                <w:sz w:val="19"/>
              </w:rPr>
              <w:t>Associate Professor of Geomatics &amp; Lab Director</w:t>
              <w:br/>
              <w:t>Dept. of Built Environment, College of Science and Technology (CoST)</w:t>
            </w:r>
          </w:p>
        </w:tc>
        <w:tc>
          <w:tcPr>
            <w:tcW w:type="dxa" w:w="4320"/>
            <w:tcMar>
              <w:top w:w="100" w:type="dxa"/>
              <w:bottom w:w="100" w:type="dxa"/>
              <w:left w:w="150" w:type="dxa"/>
              <w:right w:w="150" w:type="dxa"/>
            </w:tcMar>
          </w:tcPr>
          <w:p>
            <w:pPr>
              <w:spacing w:before="40" w:after="40" w:line="276" w:lineRule="auto"/>
            </w:pPr>
            <w:r>
              <w:rPr>
                <w:rFonts w:ascii="Calibri" w:hAnsi="Calibri"/>
                <w:sz w:val="19"/>
              </w:rPr>
              <w:t>Cross-college geospatial lead connecting CAES and CoST; aerial LiDAR, UAV photogrammetry, 3D WebGIS / 3D Tiles pyramid architecture, and Meta SAM automated point cloud segmentation.</w:t>
            </w:r>
          </w:p>
        </w:tc>
      </w:tr>
      <w:tr>
        <w:tc>
          <w:tcPr>
            <w:tcW w:type="dxa" w:w="2592"/>
            <w:shd w:fill="F8FAFC"/>
            <w:tcMar>
              <w:top w:w="100" w:type="dxa"/>
              <w:bottom w:w="100" w:type="dxa"/>
              <w:left w:w="150" w:type="dxa"/>
              <w:right w:w="150" w:type="dxa"/>
            </w:tcMar>
          </w:tcPr>
          <w:p>
            <w:pPr>
              <w:spacing w:before="40" w:after="40" w:line="276" w:lineRule="auto"/>
            </w:pPr>
            <w:r>
              <w:rPr>
                <w:rFonts w:ascii="Calibri" w:hAnsi="Calibri"/>
                <w:b/>
                <w:sz w:val="19"/>
              </w:rPr>
              <w:t>Dr. Porché Spence, Ph.D.</w:t>
              <w:br/>
              <w:t>[Co-PI • Soil Health &amp; Water Quality]</w:t>
            </w:r>
          </w:p>
        </w:tc>
        <w:tc>
          <w:tcPr>
            <w:tcW w:type="dxa" w:w="3168"/>
            <w:shd w:fill="F8FAFC"/>
            <w:tcMar>
              <w:top w:w="100" w:type="dxa"/>
              <w:bottom w:w="100" w:type="dxa"/>
              <w:left w:w="150" w:type="dxa"/>
              <w:right w:w="150" w:type="dxa"/>
            </w:tcMar>
          </w:tcPr>
          <w:p>
            <w:pPr>
              <w:spacing w:before="40" w:after="40" w:line="276" w:lineRule="auto"/>
            </w:pPr>
            <w:r>
              <w:rPr>
                <w:rFonts w:ascii="Calibri" w:hAnsi="Calibri"/>
                <w:sz w:val="19"/>
              </w:rPr>
              <w:t>Assistant Professor of Environmental Studies; NC Soil &amp; Water Comm. Appointee</w:t>
              <w:br/>
              <w:t>NRED / CAES</w:t>
            </w:r>
          </w:p>
        </w:tc>
        <w:tc>
          <w:tcPr>
            <w:tcW w:type="dxa" w:w="4320"/>
            <w:shd w:fill="F8FAFC"/>
            <w:tcMar>
              <w:top w:w="100" w:type="dxa"/>
              <w:bottom w:w="100" w:type="dxa"/>
              <w:left w:w="150" w:type="dxa"/>
              <w:right w:w="150" w:type="dxa"/>
            </w:tcMar>
          </w:tcPr>
          <w:p>
            <w:pPr>
              <w:spacing w:before="40" w:after="40" w:line="276" w:lineRule="auto"/>
            </w:pPr>
            <w:r>
              <w:rPr>
                <w:rFonts w:ascii="Calibri" w:hAnsi="Calibri"/>
                <w:sz w:val="19"/>
              </w:rPr>
              <w:t>Soil health and water quality monitoring, IoT environmental sensor calibration (soil moisture, hydrology), and student workforce certification alignment with USDA NRCS Conservation Farm Planning standards.</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Dr. Jun Yang, Ph.D.</w:t>
              <w:br/>
              <w:t>[Co-PI • Research Lead]</w:t>
            </w:r>
          </w:p>
        </w:tc>
        <w:tc>
          <w:tcPr>
            <w:tcW w:type="dxa" w:w="3168"/>
            <w:tcMar>
              <w:top w:w="100" w:type="dxa"/>
              <w:bottom w:w="100" w:type="dxa"/>
              <w:left w:w="150" w:type="dxa"/>
              <w:right w:w="150" w:type="dxa"/>
            </w:tcMar>
          </w:tcPr>
          <w:p>
            <w:pPr>
              <w:spacing w:before="40" w:after="40" w:line="276" w:lineRule="auto"/>
            </w:pPr>
            <w:r>
              <w:rPr>
                <w:rFonts w:ascii="Calibri" w:hAnsi="Calibri"/>
                <w:sz w:val="19"/>
              </w:rPr>
              <w:t>Assistant Professor (Tenure-Track) of Landscape Architecture</w:t>
              <w:br/>
              <w:t>NRED / CAES</w:t>
            </w:r>
          </w:p>
        </w:tc>
        <w:tc>
          <w:tcPr>
            <w:tcW w:type="dxa" w:w="4320"/>
            <w:tcMar>
              <w:top w:w="100" w:type="dxa"/>
              <w:bottom w:w="100" w:type="dxa"/>
              <w:left w:w="150" w:type="dxa"/>
              <w:right w:w="150" w:type="dxa"/>
            </w:tcMar>
          </w:tcPr>
          <w:p>
            <w:pPr>
              <w:spacing w:before="40" w:after="40" w:line="276" w:lineRule="auto"/>
            </w:pPr>
            <w:r>
              <w:rPr>
                <w:rFonts w:ascii="Calibri" w:hAnsi="Calibri"/>
                <w:sz w:val="19"/>
              </w:rPr>
              <w:t>Objective 2 Research Lead: Longitudinal AI pedagogy, design behavior, and cognitive velocity study, junior AI studio integration, quantitative assessment protocols, and CELA / EDRA conference proceedings and journal publications.</w:t>
            </w:r>
          </w:p>
        </w:tc>
      </w:tr>
      <w:tr>
        <w:tc>
          <w:tcPr>
            <w:tcW w:type="dxa" w:w="2592"/>
            <w:shd w:fill="F8FAFC"/>
            <w:tcMar>
              <w:top w:w="100" w:type="dxa"/>
              <w:bottom w:w="100" w:type="dxa"/>
              <w:left w:w="150" w:type="dxa"/>
              <w:right w:w="150" w:type="dxa"/>
            </w:tcMar>
          </w:tcPr>
          <w:p>
            <w:pPr>
              <w:spacing w:before="40" w:after="40" w:line="276" w:lineRule="auto"/>
            </w:pPr>
            <w:r>
              <w:rPr>
                <w:rFonts w:ascii="Calibri" w:hAnsi="Calibri"/>
                <w:b/>
                <w:sz w:val="19"/>
              </w:rPr>
              <w:t>Dallas C. Bretzman, M.S.</w:t>
              <w:br/>
              <w:t>[Co-PI • Curriculum Lead]</w:t>
            </w:r>
          </w:p>
        </w:tc>
        <w:tc>
          <w:tcPr>
            <w:tcW w:type="dxa" w:w="3168"/>
            <w:shd w:fill="F8FAFC"/>
            <w:tcMar>
              <w:top w:w="100" w:type="dxa"/>
              <w:bottom w:w="100" w:type="dxa"/>
              <w:left w:w="150" w:type="dxa"/>
              <w:right w:w="150" w:type="dxa"/>
            </w:tcMar>
          </w:tcPr>
          <w:p>
            <w:pPr>
              <w:spacing w:before="40" w:after="40" w:line="276" w:lineRule="auto"/>
            </w:pPr>
            <w:r>
              <w:rPr>
                <w:rFonts w:ascii="Calibri" w:hAnsi="Calibri"/>
                <w:sz w:val="19"/>
              </w:rPr>
              <w:t>Program Coordinator &amp; Lecturer of Landscape Architecture</w:t>
              <w:br/>
              <w:t>NRED / CAES</w:t>
            </w:r>
          </w:p>
        </w:tc>
        <w:tc>
          <w:tcPr>
            <w:tcW w:type="dxa" w:w="4320"/>
            <w:shd w:fill="F8FAFC"/>
            <w:tcMar>
              <w:top w:w="100" w:type="dxa"/>
              <w:bottom w:w="100" w:type="dxa"/>
              <w:left w:w="150" w:type="dxa"/>
              <w:right w:w="150" w:type="dxa"/>
            </w:tcMar>
          </w:tcPr>
          <w:p>
            <w:pPr>
              <w:spacing w:before="40" w:after="40" w:line="276" w:lineRule="auto"/>
            </w:pPr>
            <w:r>
              <w:rPr>
                <w:rFonts w:ascii="Calibri" w:hAnsi="Calibri"/>
                <w:sz w:val="19"/>
              </w:rPr>
              <w:t>Scaffolded 4-year curriculum coordinator, Vectorworks Landmark BIM integration, sophomore field sensor deployment at SFRIC, Asset-Based Community Development (ABCD) community charrettes with City of Greensboro, and plant materials.</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Dr. Momtanu Chakraborty, Ph.D.</w:t>
              <w:br/>
              <w:t>[Co-Investigator]</w:t>
            </w:r>
          </w:p>
        </w:tc>
        <w:tc>
          <w:tcPr>
            <w:tcW w:type="dxa" w:w="3168"/>
            <w:tcMar>
              <w:top w:w="100" w:type="dxa"/>
              <w:bottom w:w="100" w:type="dxa"/>
              <w:left w:w="150" w:type="dxa"/>
              <w:right w:w="150" w:type="dxa"/>
            </w:tcMar>
          </w:tcPr>
          <w:p>
            <w:pPr>
              <w:spacing w:before="40" w:after="40" w:line="276" w:lineRule="auto"/>
            </w:pPr>
            <w:r>
              <w:rPr>
                <w:rFonts w:ascii="Calibri" w:hAnsi="Calibri"/>
                <w:sz w:val="19"/>
              </w:rPr>
              <w:t>Assistant Professor of Biological Engineering; Canvas Champion</w:t>
              <w:br/>
              <w:t>NRED / CAES</w:t>
            </w:r>
          </w:p>
        </w:tc>
        <w:tc>
          <w:tcPr>
            <w:tcW w:type="dxa" w:w="4320"/>
            <w:tcMar>
              <w:top w:w="100" w:type="dxa"/>
              <w:bottom w:w="100" w:type="dxa"/>
              <w:left w:w="150" w:type="dxa"/>
              <w:right w:w="150" w:type="dxa"/>
            </w:tcMar>
          </w:tcPr>
          <w:p>
            <w:pPr>
              <w:spacing w:before="40" w:after="40" w:line="276" w:lineRule="auto"/>
            </w:pPr>
            <w:r>
              <w:rPr>
                <w:rFonts w:ascii="Calibri" w:hAnsi="Calibri"/>
                <w:sz w:val="19"/>
              </w:rPr>
              <w:t>UAV drone flight operations, Pix4D photogrammetric processing, ground-to-air sensor fusion, and modular Canvas LMS course cartridge packaging for national dissemination.</w:t>
            </w:r>
          </w:p>
        </w:tc>
      </w:tr>
      <w:tr>
        <w:tc>
          <w:tcPr>
            <w:tcW w:type="dxa" w:w="2592"/>
            <w:shd w:fill="F8FAFC"/>
            <w:tcMar>
              <w:top w:w="100" w:type="dxa"/>
              <w:bottom w:w="100" w:type="dxa"/>
              <w:left w:w="150" w:type="dxa"/>
              <w:right w:w="150" w:type="dxa"/>
            </w:tcMar>
          </w:tcPr>
          <w:p>
            <w:pPr>
              <w:spacing w:before="40" w:after="40" w:line="276" w:lineRule="auto"/>
            </w:pPr>
            <w:r>
              <w:rPr>
                <w:rFonts w:ascii="Calibri" w:hAnsi="Calibri"/>
                <w:b/>
                <w:sz w:val="19"/>
              </w:rPr>
              <w:t>Jeffrey A. Kuehner, MLA, ASLA</w:t>
              <w:br/>
              <w:t>[Co-Investigator]</w:t>
            </w:r>
          </w:p>
        </w:tc>
        <w:tc>
          <w:tcPr>
            <w:tcW w:type="dxa" w:w="3168"/>
            <w:shd w:fill="F8FAFC"/>
            <w:tcMar>
              <w:top w:w="100" w:type="dxa"/>
              <w:bottom w:w="100" w:type="dxa"/>
              <w:left w:w="150" w:type="dxa"/>
              <w:right w:w="150" w:type="dxa"/>
            </w:tcMar>
          </w:tcPr>
          <w:p>
            <w:pPr>
              <w:spacing w:before="40" w:after="40" w:line="276" w:lineRule="auto"/>
            </w:pPr>
            <w:r>
              <w:rPr>
                <w:rFonts w:ascii="Calibri" w:hAnsi="Calibri"/>
                <w:sz w:val="19"/>
              </w:rPr>
              <w:t>Lecturer of Landscape Architecture</w:t>
              <w:br/>
              <w:t>NRED / CAES</w:t>
            </w:r>
          </w:p>
        </w:tc>
        <w:tc>
          <w:tcPr>
            <w:tcW w:type="dxa" w:w="4320"/>
            <w:shd w:fill="F8FAFC"/>
            <w:tcMar>
              <w:top w:w="100" w:type="dxa"/>
              <w:bottom w:w="100" w:type="dxa"/>
              <w:left w:w="150" w:type="dxa"/>
              <w:right w:w="150" w:type="dxa"/>
            </w:tcMar>
          </w:tcPr>
          <w:p>
            <w:pPr>
              <w:spacing w:before="40" w:after="40" w:line="276" w:lineRule="auto"/>
            </w:pPr>
            <w:r>
              <w:rPr>
                <w:rFonts w:ascii="Calibri" w:hAnsi="Calibri"/>
                <w:sz w:val="19"/>
              </w:rPr>
              <w:t>Site engineering, professional construction detailing, LDAR 345/347 stormwater modeling, and technical construction documentation standards.</w:t>
            </w:r>
          </w:p>
        </w:tc>
      </w:tr>
      <w:tr>
        <w:tc>
          <w:tcPr>
            <w:tcW w:type="dxa" w:w="2592"/>
            <w:tcMar>
              <w:top w:w="100" w:type="dxa"/>
              <w:bottom w:w="100" w:type="dxa"/>
              <w:left w:w="150" w:type="dxa"/>
              <w:right w:w="150" w:type="dxa"/>
            </w:tcMar>
          </w:tcPr>
          <w:p>
            <w:pPr>
              <w:spacing w:before="40" w:after="40" w:line="276" w:lineRule="auto"/>
            </w:pPr>
            <w:r>
              <w:rPr>
                <w:rFonts w:ascii="Calibri" w:hAnsi="Calibri"/>
                <w:b/>
                <w:sz w:val="19"/>
              </w:rPr>
              <w:t>Charlie Hopper</w:t>
              <w:br/>
              <w:t>[Extension Partner]</w:t>
            </w:r>
          </w:p>
        </w:tc>
        <w:tc>
          <w:tcPr>
            <w:tcW w:type="dxa" w:w="3168"/>
            <w:tcMar>
              <w:top w:w="100" w:type="dxa"/>
              <w:bottom w:w="100" w:type="dxa"/>
              <w:left w:w="150" w:type="dxa"/>
              <w:right w:w="150" w:type="dxa"/>
            </w:tcMar>
          </w:tcPr>
          <w:p>
            <w:pPr>
              <w:spacing w:before="40" w:after="40" w:line="276" w:lineRule="auto"/>
            </w:pPr>
            <w:r>
              <w:rPr>
                <w:rFonts w:ascii="Calibri" w:hAnsi="Calibri"/>
                <w:sz w:val="19"/>
              </w:rPr>
              <w:t>Director, Small Farm Research &amp; Innovation Center (SFRIC)</w:t>
              <w:br/>
              <w:t>CAES / NC Cooperative Extension</w:t>
            </w:r>
          </w:p>
        </w:tc>
        <w:tc>
          <w:tcPr>
            <w:tcW w:type="dxa" w:w="4320"/>
            <w:tcMar>
              <w:top w:w="100" w:type="dxa"/>
              <w:bottom w:w="100" w:type="dxa"/>
              <w:left w:w="150" w:type="dxa"/>
              <w:right w:w="150" w:type="dxa"/>
            </w:tcMar>
          </w:tcPr>
          <w:p>
            <w:pPr>
              <w:spacing w:before="40" w:after="40" w:line="276" w:lineRule="auto"/>
            </w:pPr>
            <w:r>
              <w:rPr>
                <w:rFonts w:ascii="Calibri" w:hAnsi="Calibri"/>
                <w:sz w:val="19"/>
              </w:rPr>
              <w:t>Extension liaison, SFRIC multi-site living lab access (492-acre Farm, Inspiration Courtyard, Holland Bowl), Community Design Center (CDC) co-leadership, and farmer/municipal field trials.</w:t>
            </w:r>
          </w:p>
        </w:tc>
      </w:tr>
    </w:tbl>
    <w:p>
      <w:pPr>
        <w:spacing w:after="240"/>
      </w:pPr>
    </w:p>
    <w:p>
      <w:pPr>
        <w:spacing w:before="240" w:after="0"/>
        <w:jc w:val="center"/>
      </w:pPr>
      <w:r>
        <w:rPr>
          <w:color w:val="64748B"/>
          <w:sz w:val="17"/>
        </w:rPr>
        <w:t>North Carolina Agricultural and Technical State University — Department of Natural Resources &amp; Environmental Design</w:t>
        <w:br/>
        <w:t>Bachelor of Science in Landscape Architecture (BSLA) Program Elevation Plan • USDA NIFA CBG FY 2026/2027</w:t>
        <w:br/>
        <w:t>WORKING DRAFT FOR CO-PI REVIEW &amp; CALIBRATION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