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A5F"/>
        </w:rPr>
        <w:t>BYLAWS OF THINK VENTURES</w:t>
      </w:r>
    </w:p>
    <w:p>
      <w:pPr>
        <w:pStyle w:val="Heading3"/>
      </w:pPr>
      <w:r>
        <w:t>A North Carolina Nonprofit Corporation</w:t>
      </w:r>
    </w:p>
    <w:p>
      <w:pPr>
        <w:pBdr>
          <w:bottom w:val="single" w:sz="6" w:space="1" w:color="AAAAAA"/>
        </w:pBdr>
      </w:pPr>
    </w:p>
    <w:p>
      <w:r/>
      <w:r>
        <w:rPr>
          <w:i/>
        </w:rPr>
        <w:t>Adopted by the Board of Directors on _____________, 2026</w:t>
      </w:r>
      <w:r/>
    </w:p>
    <w:p>
      <w:r/>
      <w:r>
        <w:rPr>
          <w:i/>
        </w:rPr>
        <w:t>EIN: 42-2912572</w:t>
      </w:r>
      <w:r/>
    </w:p>
    <w:p>
      <w:pPr>
        <w:pBdr>
          <w:bottom w:val="single" w:sz="6" w:space="1" w:color="AAAAAA"/>
        </w:pBdr>
      </w:pPr>
    </w:p>
    <w:p>
      <w:pPr>
        <w:pStyle w:val="Heading2"/>
      </w:pPr>
      <w:r>
        <w:rPr>
          <w:color w:val="1F3A5F"/>
        </w:rPr>
        <w:t>ARTICLE I — NAME AND PRINCIPAL OFFICE</w:t>
      </w:r>
    </w:p>
    <w:p>
      <w:r/>
      <w:r>
        <w:rPr>
          <w:b/>
        </w:rPr>
        <w:t>Section 1.1 — Name.</w:t>
      </w:r>
      <w:r/>
    </w:p>
    <w:p>
      <w:r>
        <w:t xml:space="preserve">The name of this corporation is </w:t>
      </w:r>
      <w:r>
        <w:rPr>
          <w:b/>
        </w:rPr>
        <w:t>Think Ventures</w:t>
      </w:r>
      <w:r>
        <w:t xml:space="preserve"> (the "Corporation"), a nonprofit corporation organized under the laws of the State of North Carolina. The Corporation operates under the trade name </w:t>
      </w:r>
      <w:r>
        <w:rPr>
          <w:b/>
        </w:rPr>
        <w:t>Think! Ventures</w:t>
      </w:r>
      <w:r>
        <w:t>.</w:t>
      </w:r>
    </w:p>
    <w:p>
      <w:r/>
      <w:r>
        <w:rPr>
          <w:b/>
        </w:rPr>
        <w:t>Section 1.2 — Principal Office.</w:t>
      </w:r>
      <w:r/>
    </w:p>
    <w:p>
      <w:r>
        <w:t>The principal office of the Corporation shall be located at 4306 Goldenrod Drive, Greensboro, North Carolina 27455. The Board of Directors may change the principal office location by resolution.</w:t>
      </w:r>
    </w:p>
    <w:p>
      <w:r/>
      <w:r>
        <w:rPr>
          <w:b/>
        </w:rPr>
        <w:t>Section 1.3 — Registered Agent.</w:t>
      </w:r>
      <w:r/>
    </w:p>
    <w:p>
      <w:r>
        <w:t>The Corporation shall maintain a registered agent in the State of North Carolina as required by law. The registered agent may be changed by the Board of Directors.</w:t>
      </w:r>
    </w:p>
    <w:p>
      <w:pPr>
        <w:pBdr>
          <w:bottom w:val="single" w:sz="6" w:space="1" w:color="AAAAAA"/>
        </w:pBdr>
      </w:pPr>
    </w:p>
    <w:p>
      <w:pPr>
        <w:pStyle w:val="Heading2"/>
      </w:pPr>
      <w:r>
        <w:rPr>
          <w:color w:val="1F3A5F"/>
        </w:rPr>
        <w:t>ARTICLE II — MISSION AND PURPOSE</w:t>
      </w:r>
    </w:p>
    <w:p>
      <w:r/>
      <w:r>
        <w:rPr>
          <w:b/>
        </w:rPr>
        <w:t>Section 2.1 — Charitable Purpose.</w:t>
      </w:r>
      <w:r/>
    </w:p>
    <w:p>
      <w:r>
        <w:t>Think Ventures is organized exclusively for charitable and educational purposes within the meaning of Section 501(c)(3) of the Internal Revenue Code, including but not limited to:</w:t>
      </w:r>
    </w:p>
    <w:p>
      <w:pPr>
        <w:pStyle w:val="ListBullet"/>
      </w:pPr>
      <w:r>
        <w:t>Providing digital business infrastructure, entrepreneurship education, and economic development services to underserved communities;</w:t>
      </w:r>
    </w:p>
    <w:p>
      <w:pPr>
        <w:pStyle w:val="ListBullet"/>
      </w:pPr>
      <w:r>
        <w:t>Supporting minority entrepreneurs, veterans, first-generation business owners, and students of Historically Black Colleges and Universities (HBCUs);</w:t>
      </w:r>
    </w:p>
    <w:p>
      <w:pPr>
        <w:pStyle w:val="ListBullet"/>
      </w:pPr>
      <w:r>
        <w:t>Operating LaunchPad, MerchEngine, and Digital Equity Workshop programs that transform business ideas into functioning enterprises at zero cost to participants;</w:t>
      </w:r>
    </w:p>
    <w:p>
      <w:pPr>
        <w:pStyle w:val="ListBullet"/>
      </w:pPr>
      <w:r>
        <w:t>Conducting research and education related to AI-powered business development and digital equity.</w:t>
      </w:r>
    </w:p>
    <w:p>
      <w:r/>
      <w:r>
        <w:rPr>
          <w:b/>
        </w:rPr>
        <w:t>Section 2.2 — Limitations.</w:t>
      </w:r>
      <w:r/>
    </w:p>
    <w:p>
      <w:r>
        <w:t>No part of the net earnings of the Corporation shall inure to the benefit of, or be distributable to, its directors, officers, or other private persons, except that the Corporation shall be authorized and empowered to pay reasonable compensation for services rendered and to make payments and distributions in furtherance of the purposes set forth in Section 2.1.</w:t>
      </w:r>
    </w:p>
    <w:p>
      <w:r>
        <w:t>No substantial part of the activities of the Corporation shall be the carrying on of propaganda or otherwise attempting to influence legislation, and the Corporation shall not participate in or intervene in any political campaign on behalf of or in opposition to any candidate for public office.</w:t>
      </w:r>
    </w:p>
    <w:p>
      <w:pPr>
        <w:pBdr>
          <w:bottom w:val="single" w:sz="6" w:space="1" w:color="AAAAAA"/>
        </w:pBdr>
      </w:pPr>
    </w:p>
    <w:p>
      <w:pPr>
        <w:pStyle w:val="Heading2"/>
      </w:pPr>
      <w:r>
        <w:rPr>
          <w:color w:val="1F3A5F"/>
        </w:rPr>
        <w:t>ARTICLE III — BOARD OF DIRECTORS</w:t>
      </w:r>
    </w:p>
    <w:p>
      <w:r/>
      <w:r>
        <w:rPr>
          <w:b/>
        </w:rPr>
        <w:t>Section 3.1 — Authority.</w:t>
      </w:r>
      <w:r/>
    </w:p>
    <w:p>
      <w:r>
        <w:t>The Board of Directors (the "Board") shall be the governing body of the Corporation and shall have authority over all affairs of the Corporation.</w:t>
      </w:r>
    </w:p>
    <w:p>
      <w:r/>
      <w:r>
        <w:rPr>
          <w:b/>
        </w:rPr>
        <w:t>Section 3.2 — Number of Directors.</w:t>
      </w:r>
      <w:r/>
    </w:p>
    <w:p>
      <w:r>
        <w:t>The Board shall consist of a minimum of three (3) and a maximum of fifteen (15) directors. The initial Board shall consist of three (3) directors.</w:t>
      </w:r>
    </w:p>
    <w:p>
      <w:r/>
      <w:r>
        <w:rPr>
          <w:b/>
        </w:rPr>
        <w:t>Section 3.3 — Initial Board of Directors.</w:t>
      </w:r>
      <w:r/>
    </w:p>
    <w:p>
      <w:r>
        <w:t>The initial Board of Directors shall be:</w:t>
      </w:r>
    </w:p>
    <w:tbl>
      <w:tblPr>
        <w:tblStyle w:val="TableGrid"/>
        <w:tblW w:type="auto" w:w="0"/>
        <w:tblLook w:firstColumn="1" w:firstRow="1" w:lastColumn="0" w:lastRow="0" w:noHBand="0" w:noVBand="1" w:val="04A0"/>
      </w:tblPr>
      <w:tblGrid>
        <w:gridCol w:w="4320"/>
        <w:gridCol w:w="4320"/>
      </w:tblGrid>
      <w:tr>
        <w:tc>
          <w:tcPr>
            <w:tcW w:type="dxa" w:w="4320"/>
            <w:shd w:fill="1F3A5F" w:color="auto" w:val="clear"/>
          </w:tcPr>
          <w:p>
            <w:r>
              <w:rPr>
                <w:b/>
                <w:color w:val="FFFFFF"/>
                <w:sz w:val="20"/>
              </w:rPr>
              <w:t>Name</w:t>
            </w:r>
          </w:p>
        </w:tc>
        <w:tc>
          <w:tcPr>
            <w:tcW w:type="dxa" w:w="4320"/>
            <w:shd w:fill="1F3A5F" w:color="auto" w:val="clear"/>
          </w:tcPr>
          <w:p>
            <w:r>
              <w:rPr>
                <w:b/>
                <w:color w:val="FFFFFF"/>
                <w:sz w:val="20"/>
              </w:rPr>
              <w:t>Role</w:t>
            </w:r>
          </w:p>
        </w:tc>
      </w:tr>
      <w:tr>
        <w:tc>
          <w:tcPr>
            <w:tcW w:type="dxa" w:w="4320"/>
          </w:tcPr>
          <w:p>
            <w:r>
              <w:rPr>
                <w:sz w:val="20"/>
              </w:rPr>
              <w:t>Chris Harrison</w:t>
            </w:r>
          </w:p>
        </w:tc>
        <w:tc>
          <w:tcPr>
            <w:tcW w:type="dxa" w:w="4320"/>
          </w:tcPr>
          <w:p>
            <w:r>
              <w:rPr>
                <w:sz w:val="20"/>
              </w:rPr>
              <w:t>Chair / Executive Director</w:t>
            </w:r>
          </w:p>
        </w:tc>
      </w:tr>
      <w:tr>
        <w:tc>
          <w:tcPr>
            <w:tcW w:type="dxa" w:w="4320"/>
          </w:tcPr>
          <w:p>
            <w:r>
              <w:rPr>
                <w:sz w:val="20"/>
              </w:rPr>
              <w:t>Gregory Fulton</w:t>
            </w:r>
          </w:p>
        </w:tc>
        <w:tc>
          <w:tcPr>
            <w:tcW w:type="dxa" w:w="4320"/>
          </w:tcPr>
          <w:p>
            <w:r>
              <w:rPr>
                <w:sz w:val="20"/>
              </w:rPr>
              <w:t>Vice Chair</w:t>
            </w:r>
          </w:p>
        </w:tc>
      </w:tr>
      <w:tr>
        <w:tc>
          <w:tcPr>
            <w:tcW w:type="dxa" w:w="4320"/>
          </w:tcPr>
          <w:p>
            <w:r>
              <w:rPr>
                <w:sz w:val="20"/>
              </w:rPr>
              <w:t>Damon Howell</w:t>
            </w:r>
          </w:p>
        </w:tc>
        <w:tc>
          <w:tcPr>
            <w:tcW w:type="dxa" w:w="4320"/>
          </w:tcPr>
          <w:p>
            <w:r>
              <w:rPr>
                <w:sz w:val="20"/>
              </w:rPr>
              <w:t>Secretary / Treasurer</w:t>
            </w:r>
          </w:p>
        </w:tc>
      </w:tr>
    </w:tbl>
    <w:p/>
    <w:p>
      <w:r/>
      <w:r>
        <w:rPr>
          <w:b/>
        </w:rPr>
        <w:t>Section 3.4 — Terms.</w:t>
      </w:r>
      <w:r/>
    </w:p>
    <w:p>
      <w:r>
        <w:t>Directors shall serve staggered three-year terms as follows:</w:t>
      </w:r>
    </w:p>
    <w:p>
      <w:pPr>
        <w:pStyle w:val="ListBullet"/>
      </w:pPr>
      <w:r>
        <w:t>Class I (Chris Harrison): Term expires 2027</w:t>
      </w:r>
    </w:p>
    <w:p>
      <w:pPr>
        <w:pStyle w:val="ListBullet"/>
      </w:pPr>
      <w:r>
        <w:t>Class II (Gregory Fulton): Term expires 2028</w:t>
      </w:r>
    </w:p>
    <w:p>
      <w:pPr>
        <w:pStyle w:val="ListBullet"/>
      </w:pPr>
      <w:r>
        <w:t>Class III (Damon Howell): Term expires 2029</w:t>
      </w:r>
    </w:p>
    <w:p>
      <w:r>
        <w:t>Directors may serve an unlimited number of consecutive terms.</w:t>
      </w:r>
    </w:p>
    <w:p>
      <w:r/>
      <w:r>
        <w:rPr>
          <w:b/>
        </w:rPr>
        <w:t>Section 3.5 — Election of Directors.</w:t>
      </w:r>
      <w:r/>
    </w:p>
    <w:p>
      <w:r>
        <w:t>Directors shall be elected by a majority vote of the current Board at any duly held meeting. Any person eighteen (18) years of age or older may be elected as a director.</w:t>
      </w:r>
    </w:p>
    <w:p>
      <w:r/>
      <w:r>
        <w:rPr>
          <w:b/>
        </w:rPr>
        <w:t>Section 3.6 — Resignation and Removal.</w:t>
      </w:r>
      <w:r/>
    </w:p>
    <w:p>
      <w:r>
        <w:t>Any director may resign at any time by giving written notice to the Chair. A director may be removed for cause by a two-thirds (2/3) vote of the remaining directors.</w:t>
      </w:r>
    </w:p>
    <w:p>
      <w:r/>
      <w:r>
        <w:rPr>
          <w:b/>
        </w:rPr>
        <w:t>Section 3.7 — Vacancies.</w:t>
      </w:r>
      <w:r/>
    </w:p>
    <w:p>
      <w:r>
        <w:t>Any vacancy on the Board shall be filled by a majority vote of the remaining directors. A director elected to fill a vacancy shall serve the remainder of the unexpired term.</w:t>
      </w:r>
    </w:p>
    <w:p>
      <w:r/>
      <w:r>
        <w:rPr>
          <w:b/>
        </w:rPr>
        <w:t>Section 3.8 — Compensation.</w:t>
      </w:r>
      <w:r/>
    </w:p>
    <w:p>
      <w:r>
        <w:t>Directors shall serve without compensation for their service as directors. Directors may be reimbursed for reasonable out-of-pocket expenses incurred in the performance of their duties. Nothing in this section prevents the Corporation from compensating a director for services rendered in a non-director capacity, provided the compensation is reasonable and properly approved.</w:t>
      </w:r>
    </w:p>
    <w:p>
      <w:pPr>
        <w:pBdr>
          <w:bottom w:val="single" w:sz="6" w:space="1" w:color="AAAAAA"/>
        </w:pBdr>
      </w:pPr>
    </w:p>
    <w:p>
      <w:pPr>
        <w:pStyle w:val="Heading2"/>
      </w:pPr>
      <w:r>
        <w:rPr>
          <w:color w:val="1F3A5F"/>
        </w:rPr>
        <w:t>ARTICLE IV — MEETINGS OF THE BOARD</w:t>
      </w:r>
    </w:p>
    <w:p>
      <w:r/>
      <w:r>
        <w:rPr>
          <w:b/>
        </w:rPr>
        <w:t>Section 4.1 — Regular Meetings.</w:t>
      </w:r>
      <w:r/>
    </w:p>
    <w:p>
      <w:r>
        <w:t>The Board shall hold a minimum of four (4) regular meetings per year, at least one per quarter. The Chair shall set the meeting schedule annually.</w:t>
      </w:r>
    </w:p>
    <w:p>
      <w:r/>
      <w:r>
        <w:rPr>
          <w:b/>
        </w:rPr>
        <w:t>Section 4.2 — Annual Meeting.</w:t>
      </w:r>
      <w:r/>
    </w:p>
    <w:p>
      <w:r>
        <w:t>The Board shall hold an annual meeting each year for the purposes of reviewing the Corporation's activities, approving the budget, and conducting any other necessary business. The annual meeting shall be held no later than December 31 of each year.</w:t>
      </w:r>
    </w:p>
    <w:p>
      <w:r/>
      <w:r>
        <w:rPr>
          <w:b/>
        </w:rPr>
        <w:t>Section 4.3 — Special Meetings.</w:t>
      </w:r>
      <w:r/>
    </w:p>
    <w:p>
      <w:r>
        <w:t>Special meetings of the Board may be called by the Chair or by any two (2) directors. Notice of a special meeting shall be given at least 48 hours in advance.</w:t>
      </w:r>
    </w:p>
    <w:p>
      <w:r/>
      <w:r>
        <w:rPr>
          <w:b/>
        </w:rPr>
        <w:t>Section 4.4 — Notice.</w:t>
      </w:r>
      <w:r/>
    </w:p>
    <w:p>
      <w:r>
        <w:t>Notice of all Board meetings shall be provided to each director at least seven (7) days in advance by email, phone, or written notice. Notice may be waived in writing by any director.</w:t>
      </w:r>
    </w:p>
    <w:p>
      <w:r/>
      <w:r>
        <w:rPr>
          <w:b/>
        </w:rPr>
        <w:t>Section 4.5 — Quorum.</w:t>
      </w:r>
      <w:r/>
    </w:p>
    <w:p>
      <w:r>
        <w:t>A majority of the total number of directors then in office shall constitute a quorum for the transaction of business. No business shall be conducted without a quorum present.</w:t>
      </w:r>
    </w:p>
    <w:p>
      <w:r/>
      <w:r>
        <w:rPr>
          <w:b/>
        </w:rPr>
        <w:t>Section 4.6 — Voting.</w:t>
      </w:r>
      <w:r/>
    </w:p>
    <w:p>
      <w:r>
        <w:t>Each director shall have one vote. Actions of the Board require the affirmative vote of a majority of directors present at a meeting at which a quorum exists, unless otherwise specified in these Bylaws.</w:t>
      </w:r>
    </w:p>
    <w:p>
      <w:r/>
      <w:r>
        <w:rPr>
          <w:b/>
        </w:rPr>
        <w:t>Section 4.7 — Remote Participation.</w:t>
      </w:r>
      <w:r/>
    </w:p>
    <w:p>
      <w:r>
        <w:t>Directors may participate in meetings by telephone, video conference, or other electronic means by which all participants can simultaneously hear each other. Such participation constitutes presence in person at the meeting.</w:t>
      </w:r>
    </w:p>
    <w:p>
      <w:r/>
      <w:r>
        <w:rPr>
          <w:b/>
        </w:rPr>
        <w:t>Section 4.8 — Action Without a Meeting.</w:t>
      </w:r>
      <w:r/>
    </w:p>
    <w:p>
      <w:r>
        <w:t>Any action required or permitted to be taken at a meeting of the Board may be taken without a meeting if all directors consent in writing (including email) to such action. Written consents shall be filed with the minutes.</w:t>
      </w:r>
    </w:p>
    <w:p>
      <w:pPr>
        <w:pBdr>
          <w:bottom w:val="single" w:sz="6" w:space="1" w:color="AAAAAA"/>
        </w:pBdr>
      </w:pPr>
    </w:p>
    <w:p>
      <w:pPr>
        <w:pStyle w:val="Heading2"/>
      </w:pPr>
      <w:r>
        <w:rPr>
          <w:color w:val="1F3A5F"/>
        </w:rPr>
        <w:t>ARTICLE V — OFFICERS</w:t>
      </w:r>
    </w:p>
    <w:p>
      <w:r/>
      <w:r>
        <w:rPr>
          <w:b/>
        </w:rPr>
        <w:t>Section 5.1 — Officers.</w:t>
      </w:r>
      <w:r/>
    </w:p>
    <w:p>
      <w:r>
        <w:t>The officers of the Foundation shall be:</w:t>
      </w:r>
    </w:p>
    <w:p>
      <w:pPr>
        <w:pStyle w:val="ListBullet"/>
      </w:pPr>
      <w:r>
        <w:t>Chair (also serving as Executive Director)</w:t>
      </w:r>
    </w:p>
    <w:p>
      <w:pPr>
        <w:pStyle w:val="ListBullet"/>
      </w:pPr>
      <w:r>
        <w:t>Vice Chair</w:t>
      </w:r>
    </w:p>
    <w:p>
      <w:pPr>
        <w:pStyle w:val="ListBullet"/>
      </w:pPr>
      <w:r>
        <w:t>Secretary / Treasurer</w:t>
      </w:r>
    </w:p>
    <w:p>
      <w:r>
        <w:t>Additional officer positions may be created by the Board as needed.</w:t>
      </w:r>
    </w:p>
    <w:p>
      <w:r/>
      <w:r>
        <w:rPr>
          <w:b/>
        </w:rPr>
        <w:t>Section 5.2 — Election and Terms.</w:t>
      </w:r>
      <w:r/>
    </w:p>
    <w:p>
      <w:r>
        <w:t>Officers shall be elected by the Board at the annual meeting and shall serve one-year terms. Officers may be re-elected without limitation.</w:t>
      </w:r>
    </w:p>
    <w:p>
      <w:r/>
      <w:r>
        <w:rPr>
          <w:b/>
        </w:rPr>
        <w:t>Section 5.3 — Chair / Executive Director.</w:t>
      </w:r>
      <w:r/>
    </w:p>
    <w:p>
      <w:r>
        <w:t xml:space="preserve">The Chair shall be the chief executive officer of the Foundation, shall preside at all meetings of the Board, shall oversee all programs and operations, and shall perform all duties incident to the office. </w:t>
      </w:r>
      <w:r>
        <w:rPr>
          <w:b/>
        </w:rPr>
        <w:t>Chris Harrison</w:t>
      </w:r>
      <w:r>
        <w:t xml:space="preserve"> is hereby elected as the initial Chair.</w:t>
      </w:r>
    </w:p>
    <w:p>
      <w:r/>
      <w:r>
        <w:rPr>
          <w:b/>
        </w:rPr>
        <w:t>Section 5.4 — Vice Chair.</w:t>
      </w:r>
      <w:r/>
    </w:p>
    <w:p>
      <w:r>
        <w:t xml:space="preserve">The Vice Chair shall assist the Chair and shall perform the duties of the Chair in the Chair's absence or incapacity. </w:t>
      </w:r>
      <w:r>
        <w:rPr>
          <w:b/>
        </w:rPr>
        <w:t>Gregory Fulton</w:t>
      </w:r>
      <w:r>
        <w:t xml:space="preserve"> is hereby elected as the initial Vice Chair.</w:t>
      </w:r>
    </w:p>
    <w:p>
      <w:r/>
      <w:r>
        <w:rPr>
          <w:b/>
        </w:rPr>
        <w:t>Section 5.5 — Secretary / Treasurer.</w:t>
      </w:r>
      <w:r/>
    </w:p>
    <w:p>
      <w:r>
        <w:t>The Secretary/Treasurer shall:</w:t>
      </w:r>
    </w:p>
    <w:p>
      <w:pPr>
        <w:pStyle w:val="ListBullet"/>
      </w:pPr>
      <w:r>
        <w:t>Keep minutes of all Board meetings</w:t>
      </w:r>
    </w:p>
    <w:p>
      <w:pPr>
        <w:pStyle w:val="ListBullet"/>
      </w:pPr>
      <w:r>
        <w:t>Maintain the Foundation's official records and documents</w:t>
      </w:r>
    </w:p>
    <w:p>
      <w:pPr>
        <w:pStyle w:val="ListBullet"/>
      </w:pPr>
      <w:r>
        <w:t>Oversee financial accounts and records</w:t>
      </w:r>
    </w:p>
    <w:p>
      <w:pPr>
        <w:pStyle w:val="ListBullet"/>
      </w:pPr>
      <w:r>
        <w:t>Prepare or oversee preparation of annual financial reports and Form 990</w:t>
      </w:r>
    </w:p>
    <w:p>
      <w:pPr>
        <w:pStyle w:val="ListBullet"/>
      </w:pPr>
      <w:r>
        <w:t>Ensure compliance with all financial reporting requirements</w:t>
      </w:r>
    </w:p>
    <w:p>
      <w:r/>
      <w:r>
        <w:rPr>
          <w:b/>
        </w:rPr>
        <w:t>Damon Howell</w:t>
      </w:r>
      <w:r>
        <w:t xml:space="preserve"> is hereby elected as the initial Secretary/Treasurer.</w:t>
      </w:r>
    </w:p>
    <w:p>
      <w:r/>
      <w:r>
        <w:rPr>
          <w:b/>
        </w:rPr>
        <w:t>Section 5.6 — Removal of Officers.</w:t>
      </w:r>
      <w:r/>
    </w:p>
    <w:p>
      <w:r>
        <w:t>Any officer may be removed by a two-thirds (2/3) vote of the Board whenever the Board judges such removal to be in the best interest of the Foundation.</w:t>
      </w:r>
    </w:p>
    <w:p>
      <w:pPr>
        <w:pBdr>
          <w:bottom w:val="single" w:sz="6" w:space="1" w:color="AAAAAA"/>
        </w:pBdr>
      </w:pPr>
    </w:p>
    <w:p>
      <w:pPr>
        <w:pStyle w:val="Heading2"/>
      </w:pPr>
      <w:r>
        <w:rPr>
          <w:color w:val="1F3A5F"/>
        </w:rPr>
        <w:t>ARTICLE VI — COMMITTEES</w:t>
      </w:r>
    </w:p>
    <w:p>
      <w:r/>
      <w:r>
        <w:rPr>
          <w:b/>
        </w:rPr>
        <w:t>Section 6.1 — Standing Committees.</w:t>
      </w:r>
      <w:r/>
    </w:p>
    <w:p>
      <w:r>
        <w:t>The Board may establish standing committees as needed, including but not limited to:</w:t>
      </w:r>
    </w:p>
    <w:p>
      <w:pPr>
        <w:pStyle w:val="ListBullet"/>
      </w:pPr>
      <w:r>
        <w:t>Programs Committee</w:t>
      </w:r>
    </w:p>
    <w:p>
      <w:pPr>
        <w:pStyle w:val="ListBullet"/>
      </w:pPr>
      <w:r>
        <w:t>Finance Committee</w:t>
      </w:r>
    </w:p>
    <w:p>
      <w:pPr>
        <w:pStyle w:val="ListBullet"/>
      </w:pPr>
      <w:r>
        <w:t>Grants Committee</w:t>
      </w:r>
    </w:p>
    <w:p>
      <w:r/>
      <w:r>
        <w:rPr>
          <w:b/>
        </w:rPr>
        <w:t>Section 6.2 — Committee Composition.</w:t>
      </w:r>
      <w:r/>
    </w:p>
    <w:p>
      <w:r>
        <w:t>Each committee shall include at least one director. Committees may include non-directors as voting members, provided at least one director serves on each committee. No committee may exercise the authority of the full Board.</w:t>
      </w:r>
    </w:p>
    <w:p>
      <w:pPr>
        <w:pBdr>
          <w:bottom w:val="single" w:sz="6" w:space="1" w:color="AAAAAA"/>
        </w:pBdr>
      </w:pPr>
    </w:p>
    <w:p>
      <w:pPr>
        <w:pStyle w:val="Heading2"/>
      </w:pPr>
      <w:r>
        <w:rPr>
          <w:color w:val="1F3A5F"/>
        </w:rPr>
        <w:t>ARTICLE VII — FINANCIAL MANAGEMENT</w:t>
      </w:r>
    </w:p>
    <w:p>
      <w:r/>
      <w:r>
        <w:rPr>
          <w:b/>
        </w:rPr>
        <w:t>Section 7.1 — Fiscal Year.</w:t>
      </w:r>
      <w:r/>
    </w:p>
    <w:p>
      <w:r>
        <w:t>The fiscal year of the Foundation shall begin on January 1 and end on December 31 of each year. The first fiscal year shall begin on the date of incorporation and end on December 31, 2026.</w:t>
      </w:r>
    </w:p>
    <w:p>
      <w:r/>
      <w:r>
        <w:rPr>
          <w:b/>
        </w:rPr>
        <w:t>Section 7.2 — Bank Accounts.</w:t>
      </w:r>
      <w:r/>
    </w:p>
    <w:p>
      <w:r>
        <w:t>The Corporation shall maintain one or more bank accounts in the name of Think Ventures. All accounts shall require the signature of the Chair or Treasurer for withdrawals above $500.</w:t>
      </w:r>
    </w:p>
    <w:p>
      <w:r/>
      <w:r>
        <w:rPr>
          <w:b/>
        </w:rPr>
        <w:t>Section 7.3 — Expenditure Authority.</w:t>
      </w:r>
      <w:r/>
    </w:p>
    <w:p>
      <w:pPr>
        <w:pStyle w:val="ListBullet"/>
      </w:pPr>
      <w:r>
        <w:t>Expenditures up to $500: Chair or Treasurer may approve</w:t>
      </w:r>
    </w:p>
    <w:p>
      <w:pPr>
        <w:pStyle w:val="ListBullet"/>
      </w:pPr>
      <w:r>
        <w:t>Expenditures $501–$5,000: Requires approval of Chair + one other officer</w:t>
      </w:r>
    </w:p>
    <w:p>
      <w:pPr>
        <w:pStyle w:val="ListBullet"/>
      </w:pPr>
      <w:r>
        <w:t>Expenditures over $5,000: Requires Board approval by majority vote</w:t>
      </w:r>
    </w:p>
    <w:p>
      <w:r/>
      <w:r>
        <w:rPr>
          <w:b/>
        </w:rPr>
        <w:t>Section 7.4 — Annual Budget.</w:t>
      </w:r>
      <w:r/>
    </w:p>
    <w:p>
      <w:r>
        <w:t>The Board shall approve an annual operating budget at or before the beginning of each fiscal year.</w:t>
      </w:r>
    </w:p>
    <w:p>
      <w:r/>
      <w:r>
        <w:rPr>
          <w:b/>
        </w:rPr>
        <w:t>Section 7.5 — Financial Records.</w:t>
      </w:r>
      <w:r/>
    </w:p>
    <w:p>
      <w:r>
        <w:t>The Foundation shall maintain accurate financial records and books of account. Financial records shall be available for inspection by any director upon reasonable request.</w:t>
      </w:r>
    </w:p>
    <w:p>
      <w:r/>
      <w:r>
        <w:rPr>
          <w:b/>
        </w:rPr>
        <w:t>Section 7.6 — Independent Contractor Arrangements.</w:t>
      </w:r>
      <w:r/>
    </w:p>
    <w:p>
      <w:r>
        <w:t>The Corporation may contract with Think! Design &amp; Planning, LLC for technology services at fair market rates. All such contracts must be:</w:t>
      </w:r>
    </w:p>
    <w:p>
      <w:pPr>
        <w:pStyle w:val="ListNumber"/>
      </w:pPr>
      <w:r>
        <w:t>Approved by the Board with the interested party (Chris Harrison) recusing from the vote</w:t>
      </w:r>
    </w:p>
    <w:p>
      <w:pPr>
        <w:pStyle w:val="ListNumber"/>
      </w:pPr>
      <w:r>
        <w:t>Priced at or below fair market value</w:t>
      </w:r>
    </w:p>
    <w:p>
      <w:pPr>
        <w:pStyle w:val="ListNumber"/>
      </w:pPr>
      <w:r>
        <w:t>Documented and disclosed in the Corporation's annual Form 990</w:t>
      </w:r>
    </w:p>
    <w:p>
      <w:pPr>
        <w:pBdr>
          <w:bottom w:val="single" w:sz="6" w:space="1" w:color="AAAAAA"/>
        </w:pBdr>
      </w:pPr>
    </w:p>
    <w:p>
      <w:pPr>
        <w:pStyle w:val="Heading2"/>
      </w:pPr>
      <w:r>
        <w:rPr>
          <w:color w:val="1F3A5F"/>
        </w:rPr>
        <w:t>ARTICLE VIII — CONFLICT OF INTEREST POLICY</w:t>
      </w:r>
    </w:p>
    <w:p>
      <w:r/>
      <w:r>
        <w:rPr>
          <w:b/>
        </w:rPr>
        <w:t>Section 8.1 — Purpose.</w:t>
      </w:r>
      <w:r/>
    </w:p>
    <w:p>
      <w:r>
        <w:t>This policy is intended to protect the Corporation's interests when it is contemplating entering into a transaction or arrangement that might benefit the private interest of an officer or director of the Corporation.</w:t>
      </w:r>
    </w:p>
    <w:p>
      <w:r/>
      <w:r>
        <w:rPr>
          <w:b/>
        </w:rPr>
        <w:t>Section 8.2 — Interested Persons.</w:t>
      </w:r>
      <w:r/>
    </w:p>
    <w:p>
      <w:r>
        <w:t>Any director, officer, or member of a committee with Board-delegated powers who has a direct or indirect financial interest in a proposed transaction is an "interested person."</w:t>
      </w:r>
    </w:p>
    <w:p>
      <w:r/>
      <w:r>
        <w:rPr>
          <w:b/>
        </w:rPr>
        <w:t>Section 8.3 — Disclosure.</w:t>
      </w:r>
      <w:r/>
    </w:p>
    <w:p>
      <w:r>
        <w:t>Each interested person must disclose the existence of the financial interest to the Board before the Board considers the transaction. The disclosure shall be recorded in the Board minutes.</w:t>
      </w:r>
    </w:p>
    <w:p>
      <w:r/>
      <w:r>
        <w:rPr>
          <w:b/>
        </w:rPr>
        <w:t>Section 8.4 — Recusal.</w:t>
      </w:r>
      <w:r/>
    </w:p>
    <w:p>
      <w:r>
        <w:t>After disclosure, the interested person shall leave the meeting during the discussion and vote on the transaction. The remaining Board members shall determine whether the transaction is fair and reasonable to the Corporation.</w:t>
      </w:r>
    </w:p>
    <w:p>
      <w:r/>
      <w:r>
        <w:rPr>
          <w:b/>
        </w:rPr>
        <w:t>Section 8.5 — Annual Disclosure Statement.</w:t>
      </w:r>
      <w:r/>
    </w:p>
    <w:p>
      <w:r>
        <w:t>Each director and officer shall sign a Conflict of Interest Disclosure Statement annually, disclosing all potential conflicts. Signed statements shall be kept on file.</w:t>
      </w:r>
    </w:p>
    <w:p>
      <w:pPr>
        <w:pBdr>
          <w:bottom w:val="single" w:sz="6" w:space="1" w:color="AAAAAA"/>
        </w:pBdr>
      </w:pPr>
    </w:p>
    <w:p>
      <w:pPr>
        <w:pStyle w:val="Heading2"/>
      </w:pPr>
      <w:r>
        <w:rPr>
          <w:color w:val="1F3A5F"/>
        </w:rPr>
        <w:t>ARTICLE IX — INDEMNIFICATION</w:t>
      </w:r>
    </w:p>
    <w:p>
      <w:r/>
      <w:r>
        <w:rPr>
          <w:b/>
        </w:rPr>
        <w:t>Section 9.1 — Indemnification.</w:t>
      </w:r>
      <w:r/>
    </w:p>
    <w:p>
      <w:r>
        <w:t>The Corporation shall indemnify any director or officer who was or is a party to any proceeding by reason of the fact that he or she is or was a director or officer of the Corporation, to the fullest extent permitted under North Carolina law, provided that the director or officer acted in good faith and in a manner reasonably believed to be in the best interests of the Corporation.</w:t>
      </w:r>
    </w:p>
    <w:p>
      <w:r/>
      <w:r>
        <w:rPr>
          <w:b/>
        </w:rPr>
        <w:t>Section 9.2 — Insurance.</w:t>
      </w:r>
      <w:r/>
    </w:p>
    <w:p>
      <w:r>
        <w:t>The Foundation may purchase directors and officers (D&amp;O) liability insurance at the Board's discretion.</w:t>
      </w:r>
    </w:p>
    <w:p>
      <w:pPr>
        <w:pBdr>
          <w:bottom w:val="single" w:sz="6" w:space="1" w:color="AAAAAA"/>
        </w:pBdr>
      </w:pPr>
    </w:p>
    <w:p>
      <w:pPr>
        <w:pStyle w:val="Heading2"/>
      </w:pPr>
      <w:r>
        <w:rPr>
          <w:color w:val="1F3A5F"/>
        </w:rPr>
        <w:t>ARTICLE X — COOPERATIVE PARTNER PROGRAM</w:t>
      </w:r>
    </w:p>
    <w:p>
      <w:r/>
      <w:r>
        <w:rPr>
          <w:b/>
        </w:rPr>
        <w:t>Section 10.1 — Partner Agreements.</w:t>
      </w:r>
      <w:r/>
    </w:p>
    <w:p>
      <w:r>
        <w:t>The Corporation may enter into cooperative partnership agreements with businesses and entrepreneurs served through its programs. Such agreements may include a revenue-sharing provision not to exceed 10% of net profits, classified as program service revenue directly furthering the Corporation's charitable mission.</w:t>
      </w:r>
    </w:p>
    <w:p>
      <w:r/>
      <w:r>
        <w:rPr>
          <w:b/>
        </w:rPr>
        <w:t>Section 10.2 — Board Approval.</w:t>
      </w:r>
      <w:r/>
    </w:p>
    <w:p>
      <w:r>
        <w:t>All partnership agreements with revenue-sharing provisions shall require Board approval by majority vote.</w:t>
      </w:r>
    </w:p>
    <w:p>
      <w:pPr>
        <w:pBdr>
          <w:bottom w:val="single" w:sz="6" w:space="1" w:color="AAAAAA"/>
        </w:pBdr>
      </w:pPr>
    </w:p>
    <w:p>
      <w:pPr>
        <w:pStyle w:val="Heading2"/>
      </w:pPr>
      <w:r>
        <w:rPr>
          <w:color w:val="1F3A5F"/>
        </w:rPr>
        <w:t>ARTICLE XI — RECORDS AND REPORTS</w:t>
      </w:r>
    </w:p>
    <w:p>
      <w:r/>
      <w:r>
        <w:rPr>
          <w:b/>
        </w:rPr>
        <w:t>Section 11.1 — Corporate Records.</w:t>
      </w:r>
      <w:r/>
    </w:p>
    <w:p>
      <w:r>
        <w:t>The Corporation shall keep the following records:</w:t>
      </w:r>
    </w:p>
    <w:p>
      <w:pPr>
        <w:pStyle w:val="ListBullet"/>
      </w:pPr>
      <w:r>
        <w:t>Articles of Incorporation and all amendments</w:t>
      </w:r>
    </w:p>
    <w:p>
      <w:pPr>
        <w:pStyle w:val="ListBullet"/>
      </w:pPr>
      <w:r>
        <w:t>These Bylaws and all amendments</w:t>
      </w:r>
    </w:p>
    <w:p>
      <w:pPr>
        <w:pStyle w:val="ListBullet"/>
      </w:pPr>
      <w:r>
        <w:t>Minutes of all Board meetings</w:t>
      </w:r>
    </w:p>
    <w:p>
      <w:pPr>
        <w:pStyle w:val="ListBullet"/>
      </w:pPr>
      <w:r>
        <w:t>Financial records and annual reports</w:t>
      </w:r>
    </w:p>
    <w:p>
      <w:pPr>
        <w:pStyle w:val="ListBullet"/>
      </w:pPr>
      <w:r>
        <w:t>IRS determination letter (when received)</w:t>
      </w:r>
    </w:p>
    <w:p>
      <w:pPr>
        <w:pStyle w:val="ListBullet"/>
      </w:pPr>
      <w:r>
        <w:t>Form 990 filings</w:t>
      </w:r>
    </w:p>
    <w:p>
      <w:r/>
      <w:r>
        <w:rPr>
          <w:b/>
        </w:rPr>
        <w:t>Section 11.2 — Annual Report.</w:t>
      </w:r>
      <w:r/>
    </w:p>
    <w:p>
      <w:r>
        <w:t>The Corporation shall file all required annual reports with the State of North Carolina and the Internal Revenue Service, including Form 990, 990-EZ, or 990-N as required.</w:t>
      </w:r>
    </w:p>
    <w:p>
      <w:r/>
      <w:r>
        <w:rPr>
          <w:b/>
        </w:rPr>
        <w:t>Section 11.3 — Public Inspection.</w:t>
      </w:r>
      <w:r/>
    </w:p>
    <w:p>
      <w:r>
        <w:t>The Corporation shall make its Form 990, Form 1023 application, and IRS determination letter available for public inspection as required by law.</w:t>
      </w:r>
    </w:p>
    <w:p>
      <w:pPr>
        <w:pBdr>
          <w:bottom w:val="single" w:sz="6" w:space="1" w:color="AAAAAA"/>
        </w:pBdr>
      </w:pPr>
    </w:p>
    <w:p>
      <w:pPr>
        <w:pStyle w:val="Heading2"/>
      </w:pPr>
      <w:r>
        <w:rPr>
          <w:color w:val="1F3A5F"/>
        </w:rPr>
        <w:t>ARTICLE XII — AMENDMENTS</w:t>
      </w:r>
    </w:p>
    <w:p>
      <w:r/>
      <w:r>
        <w:rPr>
          <w:b/>
        </w:rPr>
        <w:t>Section 12.1 — Amendment Process.</w:t>
      </w:r>
      <w:r/>
    </w:p>
    <w:p>
      <w:r>
        <w:t>These Bylaws may be amended by a two-thirds (2/3) vote of the entire Board of Directors at any regular or special meeting, provided that:</w:t>
      </w:r>
    </w:p>
    <w:p>
      <w:pPr>
        <w:pStyle w:val="ListNumber"/>
      </w:pPr>
      <w:r>
        <w:t>The proposed amendment was submitted in writing to all directors at least fourteen (14) days before the meeting, and</w:t>
      </w:r>
    </w:p>
    <w:p>
      <w:pPr>
        <w:pStyle w:val="ListNumber"/>
      </w:pPr>
      <w:r>
        <w:t>A quorum is present at the meeting.</w:t>
      </w:r>
    </w:p>
    <w:p>
      <w:r>
        <w:t>No amendment may be made that would cause the Corporation to cease to qualify as a tax-exempt organization under Section 501(c)(3) of the Internal Revenue Code.</w:t>
      </w:r>
    </w:p>
    <w:p>
      <w:pPr>
        <w:pBdr>
          <w:bottom w:val="single" w:sz="6" w:space="1" w:color="AAAAAA"/>
        </w:pBdr>
      </w:pPr>
    </w:p>
    <w:p>
      <w:pPr>
        <w:pStyle w:val="Heading2"/>
      </w:pPr>
      <w:r>
        <w:rPr>
          <w:color w:val="1F3A5F"/>
        </w:rPr>
        <w:t>ARTICLE XIII — DISSOLUTION</w:t>
      </w:r>
    </w:p>
    <w:p>
      <w:r/>
      <w:r>
        <w:rPr>
          <w:b/>
        </w:rPr>
        <w:t>Section 13.1 — Dissolution.</w:t>
      </w:r>
      <w:r/>
    </w:p>
    <w:p>
      <w:r>
        <w:t>The Corporation may be dissolved by a two-thirds (2/3) vote of the entire Board of Directors.</w:t>
      </w:r>
    </w:p>
    <w:p>
      <w:r/>
      <w:r>
        <w:rPr>
          <w:b/>
        </w:rPr>
        <w:t>Section 13.2 — Distribution of Assets.</w:t>
      </w:r>
      <w:r/>
    </w:p>
    <w:p>
      <w:r>
        <w:t>Upon dissolution of the Corporation, after payment of all liabilities, all remaining assets shall be distributed to one or more organizations that qualify as tax-exempt under Section 501(c)(3) of the Internal Revenue Code, or to a federal, state, or local government for a public purpose. No assets shall be distributed to any director, officer, or private individual.</w:t>
      </w:r>
    </w:p>
    <w:p>
      <w:pPr>
        <w:pBdr>
          <w:bottom w:val="single" w:sz="6" w:space="1" w:color="AAAAAA"/>
        </w:pBdr>
      </w:pPr>
    </w:p>
    <w:p>
      <w:pPr>
        <w:pStyle w:val="Heading2"/>
      </w:pPr>
      <w:r>
        <w:rPr>
          <w:color w:val="1F3A5F"/>
        </w:rPr>
        <w:t>ARTICLE XIV — PARLIAMENTARY AUTHORITY</w:t>
      </w:r>
    </w:p>
    <w:p>
      <w:r>
        <w:t xml:space="preserve">In all matters not covered by these Bylaws, the Corporation shall be governed by the current edition of </w:t>
      </w:r>
      <w:r>
        <w:rPr>
          <w:i/>
        </w:rPr>
        <w:t>Robert's Rules of Order</w:t>
      </w:r>
      <w:r>
        <w:t>, to the extent consistent with these Bylaws and North Carolina law.</w:t>
      </w:r>
    </w:p>
    <w:p>
      <w:pPr>
        <w:pBdr>
          <w:bottom w:val="single" w:sz="6" w:space="1" w:color="AAAAAA"/>
        </w:pBdr>
      </w:pPr>
    </w:p>
    <w:p>
      <w:pPr>
        <w:pStyle w:val="Heading2"/>
      </w:pPr>
      <w:r>
        <w:rPr>
          <w:color w:val="1F3A5F"/>
        </w:rPr>
        <w:t>ARTICLE XV — CERTIFICATION</w:t>
      </w:r>
    </w:p>
    <w:p>
      <w:r>
        <w:t>These Bylaws were duly adopted by the Board of Directors of Think Ventures on the date indicated below.</w:t>
      </w:r>
    </w:p>
    <w:p>
      <w:pPr>
        <w:pBdr>
          <w:bottom w:val="single" w:sz="6" w:space="1" w:color="AAAAAA"/>
        </w:pBdr>
      </w:pPr>
    </w:p>
    <w:p>
      <w:r/>
      <w:r>
        <w:rPr>
          <w:b/>
        </w:rPr>
        <w:t>ADOPTED THIS _____ DAY OF _____________, 2026</w:t>
      </w:r>
      <w:r/>
    </w:p>
    <w:p>
      <w:r>
        <w:t xml:space="preserve">  </w:t>
      </w:r>
    </w:p>
    <w:p>
      <w:r>
        <w:rPr>
          <w:rFonts w:ascii="Courier New" w:hAnsi="Courier New"/>
          <w:sz w:val="22"/>
        </w:rPr>
        <w:t>_____________________________________        Date: ___________</w:t>
      </w:r>
    </w:p>
    <w:p>
      <w:r/>
      <w:r>
        <w:rPr>
          <w:b/>
        </w:rPr>
        <w:t>Chris Harrison</w:t>
      </w:r>
      <w:r>
        <w:t>, Chair / Executive Director</w:t>
      </w:r>
    </w:p>
    <w:p>
      <w:r>
        <w:t xml:space="preserve">  </w:t>
      </w:r>
    </w:p>
    <w:p>
      <w:r>
        <w:rPr>
          <w:rFonts w:ascii="Courier New" w:hAnsi="Courier New"/>
          <w:sz w:val="22"/>
        </w:rPr>
        <w:t>_____________________________________        Date: ___________</w:t>
      </w:r>
    </w:p>
    <w:p>
      <w:r/>
      <w:r>
        <w:rPr>
          <w:b/>
        </w:rPr>
        <w:t>Gregory Fulton</w:t>
      </w:r>
      <w:r>
        <w:t>, Vice Chair</w:t>
      </w:r>
    </w:p>
    <w:p>
      <w:r>
        <w:t xml:space="preserve">  </w:t>
      </w:r>
    </w:p>
    <w:p>
      <w:r>
        <w:rPr>
          <w:rFonts w:ascii="Courier New" w:hAnsi="Courier New"/>
          <w:sz w:val="22"/>
        </w:rPr>
        <w:t>_____________________________________        Date: ___________</w:t>
      </w:r>
    </w:p>
    <w:p>
      <w:r/>
      <w:r>
        <w:rPr>
          <w:b/>
        </w:rPr>
        <w:t>Damon Howell</w:t>
      </w:r>
      <w:r>
        <w:t>, Secretary / Treasurer</w:t>
      </w:r>
    </w:p>
    <w:p>
      <w:pPr>
        <w:pBdr>
          <w:bottom w:val="single" w:sz="6" w:space="1" w:color="AAAAAA"/>
        </w:pBdr>
      </w:pPr>
    </w:p>
    <w:p>
      <w:r/>
      <w:r>
        <w:rPr>
          <w:i/>
        </w:rPr>
        <w:t>Think Ventures | EIN: 42-2912572 | Greensboro, NC</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