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rPr>
        <w:t>Think Ventures</w:t>
      </w:r>
    </w:p>
    <w:p>
      <w:pPr>
        <w:pStyle w:val="Heading2"/>
      </w:pPr>
      <w:r>
        <w:rPr>
          <w:color w:val="1F3A5F"/>
        </w:rPr>
        <w:t>501(c)(3) Nonprofit Business Plan &amp; Mission Statement</w:t>
      </w:r>
    </w:p>
    <w:p>
      <w:pPr>
        <w:pBdr>
          <w:bottom w:val="single" w:sz="6" w:space="1" w:color="AAAAAA"/>
        </w:pBdr>
      </w:pPr>
    </w:p>
    <w:p>
      <w:pPr>
        <w:pStyle w:val="Heading2"/>
      </w:pPr>
      <w:r>
        <w:rPr>
          <w:color w:val="1F3A5F"/>
        </w:rPr>
        <w:t>Organization Overview</w:t>
      </w:r>
    </w:p>
    <w:tbl>
      <w:tblPr>
        <w:tblStyle w:val="TableGrid"/>
        <w:tblW w:type="auto" w:w="0"/>
        <w:tblLook w:firstColumn="1" w:firstRow="1" w:lastColumn="0" w:lastRow="0" w:noHBand="0" w:noVBand="1" w:val="04A0"/>
      </w:tblPr>
      <w:tblGrid>
        <w:gridCol w:w="4320"/>
        <w:gridCol w:w="4320"/>
      </w:tblGrid>
      <w:tr>
        <w:tc>
          <w:tcPr>
            <w:tcW w:type="dxa" w:w="4320"/>
            <w:shd w:fill="1F3A5F" w:color="auto" w:val="clear"/>
          </w:tcPr>
          <w:p>
            <w:r>
              <w:rPr>
                <w:b/>
                <w:color w:val="FFFFFF"/>
                <w:sz w:val="20"/>
              </w:rPr>
              <w:t>Field</w:t>
            </w:r>
          </w:p>
        </w:tc>
        <w:tc>
          <w:tcPr>
            <w:tcW w:type="dxa" w:w="4320"/>
            <w:shd w:fill="1F3A5F" w:color="auto" w:val="clear"/>
          </w:tcPr>
          <w:p>
            <w:r>
              <w:rPr>
                <w:b/>
                <w:color w:val="FFFFFF"/>
                <w:sz w:val="20"/>
              </w:rPr>
              <w:t>Detail</w:t>
            </w:r>
          </w:p>
        </w:tc>
      </w:tr>
      <w:tr>
        <w:tc>
          <w:tcPr>
            <w:tcW w:type="dxa" w:w="4320"/>
          </w:tcPr>
          <w:p>
            <w:r>
              <w:rPr>
                <w:sz w:val="20"/>
              </w:rPr>
              <w:t>Legal Name</w:t>
            </w:r>
          </w:p>
        </w:tc>
        <w:tc>
          <w:tcPr>
            <w:tcW w:type="dxa" w:w="4320"/>
          </w:tcPr>
          <w:p>
            <w:r>
              <w:rPr>
                <w:sz w:val="20"/>
              </w:rPr>
              <w:t>Think Ventures</w:t>
            </w:r>
          </w:p>
        </w:tc>
      </w:tr>
      <w:tr>
        <w:tc>
          <w:tcPr>
            <w:tcW w:type="dxa" w:w="4320"/>
          </w:tcPr>
          <w:p>
            <w:r>
              <w:rPr>
                <w:sz w:val="20"/>
              </w:rPr>
              <w:t>DBA</w:t>
            </w:r>
          </w:p>
        </w:tc>
        <w:tc>
          <w:tcPr>
            <w:tcW w:type="dxa" w:w="4320"/>
          </w:tcPr>
          <w:p>
            <w:r>
              <w:rPr>
                <w:sz w:val="20"/>
              </w:rPr>
              <w:t>Think! Ventures</w:t>
            </w:r>
          </w:p>
        </w:tc>
      </w:tr>
      <w:tr>
        <w:tc>
          <w:tcPr>
            <w:tcW w:type="dxa" w:w="4320"/>
          </w:tcPr>
          <w:p>
            <w:r>
              <w:rPr>
                <w:sz w:val="20"/>
              </w:rPr>
              <w:t>Federal EIN</w:t>
            </w:r>
          </w:p>
        </w:tc>
        <w:tc>
          <w:tcPr>
            <w:tcW w:type="dxa" w:w="4320"/>
          </w:tcPr>
          <w:p>
            <w:r>
              <w:rPr>
                <w:sz w:val="20"/>
              </w:rPr>
              <w:t>42-2912572</w:t>
            </w:r>
          </w:p>
        </w:tc>
      </w:tr>
      <w:tr>
        <w:tc>
          <w:tcPr>
            <w:tcW w:type="dxa" w:w="4320"/>
          </w:tcPr>
          <w:p>
            <w:r>
              <w:rPr>
                <w:sz w:val="20"/>
              </w:rPr>
              <w:t>Type</w:t>
            </w:r>
          </w:p>
        </w:tc>
        <w:tc>
          <w:tcPr>
            <w:tcW w:type="dxa" w:w="4320"/>
          </w:tcPr>
          <w:p>
            <w:r>
              <w:rPr>
                <w:sz w:val="20"/>
              </w:rPr>
              <w:t>501(c)(3) Public Charity (pending determination)</w:t>
            </w:r>
          </w:p>
        </w:tc>
      </w:tr>
      <w:tr>
        <w:tc>
          <w:tcPr>
            <w:tcW w:type="dxa" w:w="4320"/>
          </w:tcPr>
          <w:p>
            <w:r>
              <w:rPr>
                <w:sz w:val="20"/>
              </w:rPr>
              <w:t>State</w:t>
            </w:r>
          </w:p>
        </w:tc>
        <w:tc>
          <w:tcPr>
            <w:tcW w:type="dxa" w:w="4320"/>
          </w:tcPr>
          <w:p>
            <w:r>
              <w:rPr>
                <w:sz w:val="20"/>
              </w:rPr>
              <w:t>North Carolina</w:t>
            </w:r>
          </w:p>
        </w:tc>
      </w:tr>
      <w:tr>
        <w:tc>
          <w:tcPr>
            <w:tcW w:type="dxa" w:w="4320"/>
          </w:tcPr>
          <w:p>
            <w:r>
              <w:rPr>
                <w:sz w:val="20"/>
              </w:rPr>
              <w:t>Founder</w:t>
            </w:r>
          </w:p>
        </w:tc>
        <w:tc>
          <w:tcPr>
            <w:tcW w:type="dxa" w:w="4320"/>
          </w:tcPr>
          <w:p>
            <w:r>
              <w:rPr>
                <w:sz w:val="20"/>
              </w:rPr>
              <w:t>Chris Harrison (William Christopher Harrison)</w:t>
            </w:r>
          </w:p>
        </w:tc>
      </w:tr>
      <w:tr>
        <w:tc>
          <w:tcPr>
            <w:tcW w:type="dxa" w:w="4320"/>
          </w:tcPr>
          <w:p>
            <w:r>
              <w:rPr>
                <w:sz w:val="20"/>
              </w:rPr>
              <w:t>Affiliation</w:t>
            </w:r>
          </w:p>
        </w:tc>
        <w:tc>
          <w:tcPr>
            <w:tcW w:type="dxa" w:w="4320"/>
          </w:tcPr>
          <w:p>
            <w:r>
              <w:rPr>
                <w:sz w:val="20"/>
              </w:rPr>
              <w:t>NC A&amp;T State University (HBCU)</w:t>
            </w:r>
          </w:p>
        </w:tc>
      </w:tr>
      <w:tr>
        <w:tc>
          <w:tcPr>
            <w:tcW w:type="dxa" w:w="4320"/>
          </w:tcPr>
          <w:p>
            <w:r>
              <w:rPr>
                <w:sz w:val="20"/>
              </w:rPr>
              <w:t>Parent Entity</w:t>
            </w:r>
          </w:p>
        </w:tc>
        <w:tc>
          <w:tcPr>
            <w:tcW w:type="dxa" w:w="4320"/>
          </w:tcPr>
          <w:p>
            <w:r>
              <w:rPr>
                <w:sz w:val="20"/>
              </w:rPr>
              <w:t>Think! Design &amp; Planning, LLC (for-profit, technology partner)</w:t>
            </w:r>
          </w:p>
        </w:tc>
      </w:tr>
      <w:tr>
        <w:tc>
          <w:tcPr>
            <w:tcW w:type="dxa" w:w="4320"/>
          </w:tcPr>
          <w:p>
            <w:r>
              <w:rPr>
                <w:sz w:val="20"/>
              </w:rPr>
              <w:t>Year Founded</w:t>
            </w:r>
          </w:p>
        </w:tc>
        <w:tc>
          <w:tcPr>
            <w:tcW w:type="dxa" w:w="4320"/>
          </w:tcPr>
          <w:p>
            <w:r>
              <w:rPr>
                <w:sz w:val="20"/>
              </w:rPr>
              <w:t>2026</w:t>
            </w:r>
          </w:p>
        </w:tc>
      </w:tr>
      <w:tr>
        <w:tc>
          <w:tcPr>
            <w:tcW w:type="dxa" w:w="4320"/>
          </w:tcPr>
          <w:p>
            <w:r>
              <w:rPr>
                <w:sz w:val="20"/>
              </w:rPr>
              <w:t>NC Articles Filed</w:t>
            </w:r>
          </w:p>
        </w:tc>
        <w:tc>
          <w:tcPr>
            <w:tcW w:type="dxa" w:w="4320"/>
          </w:tcPr>
          <w:p>
            <w:r>
              <w:rPr>
                <w:sz w:val="20"/>
              </w:rPr>
              <w:t>June 1, 2026</w:t>
            </w:r>
          </w:p>
        </w:tc>
      </w:tr>
      <w:tr>
        <w:tc>
          <w:tcPr>
            <w:tcW w:type="dxa" w:w="4320"/>
          </w:tcPr>
          <w:p>
            <w:r>
              <w:rPr>
                <w:sz w:val="20"/>
              </w:rPr>
              <w:t>EIN Issued</w:t>
            </w:r>
          </w:p>
        </w:tc>
        <w:tc>
          <w:tcPr>
            <w:tcW w:type="dxa" w:w="4320"/>
          </w:tcPr>
          <w:p>
            <w:r>
              <w:rPr>
                <w:sz w:val="20"/>
              </w:rPr>
              <w:t>June 2, 2026</w:t>
            </w:r>
          </w:p>
        </w:tc>
      </w:tr>
    </w:tbl>
    <w:p/>
    <w:p>
      <w:pPr>
        <w:pBdr>
          <w:bottom w:val="single" w:sz="6" w:space="1" w:color="AAAAAA"/>
        </w:pBdr>
      </w:pPr>
    </w:p>
    <w:p>
      <w:pPr>
        <w:pStyle w:val="Heading2"/>
      </w:pPr>
      <w:r>
        <w:rPr>
          <w:color w:val="1F3A5F"/>
        </w:rPr>
        <w:t>Mission Statement</w:t>
      </w:r>
    </w:p>
    <w:p>
      <w:pPr>
        <w:pStyle w:val="Quote"/>
      </w:pPr>
      <w:r>
        <w:rPr>
          <w:i/>
          <w:sz w:val="22"/>
        </w:rPr>
        <w:t>Think Ventures empowers underserved entrepreneurs — particularly those from HBCU communities, minority populations, and economically disadvantaged regions — by providing comprehensive digital business infrastructure, brand development, and e-commerce capabilities at zero cost. We transform dreams into functioning businesses in days, not months, using AI-powered tools and cooperative partnership models.</w:t>
      </w:r>
    </w:p>
    <w:p>
      <w:pPr>
        <w:pStyle w:val="Heading3"/>
      </w:pPr>
      <w:r>
        <w:t>Vision Statement</w:t>
      </w:r>
    </w:p>
    <w:p>
      <w:pPr>
        <w:pStyle w:val="Quote"/>
      </w:pPr>
      <w:r>
        <w:rPr>
          <w:i/>
          <w:sz w:val="22"/>
        </w:rPr>
        <w:t>A world where lack of capital, technical knowledge, or professional connections never prevents a great idea from becoming a thriving business.</w:t>
      </w:r>
    </w:p>
    <w:p>
      <w:pPr>
        <w:pStyle w:val="Heading3"/>
      </w:pPr>
      <w:r>
        <w:t>Tagline</w:t>
      </w:r>
    </w:p>
    <w:p>
      <w:pPr>
        <w:pStyle w:val="Quote"/>
      </w:pPr>
      <w:r>
        <w:rPr>
          <w:i/>
          <w:sz w:val="22"/>
        </w:rPr>
        <w:t>"From Dream to Launch in Days."</w:t>
      </w:r>
    </w:p>
    <w:p>
      <w:pPr>
        <w:pBdr>
          <w:bottom w:val="single" w:sz="6" w:space="1" w:color="AAAAAA"/>
        </w:pBdr>
      </w:pPr>
    </w:p>
    <w:p>
      <w:pPr>
        <w:pStyle w:val="Heading2"/>
      </w:pPr>
      <w:r>
        <w:rPr>
          <w:color w:val="1F3A5F"/>
        </w:rPr>
        <w:t>The Problem We Solve</w:t>
      </w:r>
    </w:p>
    <w:p>
      <w:pPr>
        <w:pStyle w:val="Heading3"/>
      </w:pPr>
      <w:r>
        <w:t>The Entrepreneurship Gap</w:t>
      </w:r>
    </w:p>
    <w:tbl>
      <w:tblPr>
        <w:tblStyle w:val="TableGrid"/>
        <w:tblW w:type="auto" w:w="0"/>
        <w:tblLook w:firstColumn="1" w:firstRow="1" w:lastColumn="0" w:lastRow="0" w:noHBand="0" w:noVBand="1" w:val="04A0"/>
      </w:tblPr>
      <w:tblGrid>
        <w:gridCol w:w="2880"/>
        <w:gridCol w:w="2880"/>
        <w:gridCol w:w="2880"/>
      </w:tblGrid>
      <w:tr>
        <w:tc>
          <w:tcPr>
            <w:tcW w:type="dxa" w:w="2880"/>
            <w:shd w:fill="1F3A5F" w:color="auto" w:val="clear"/>
          </w:tcPr>
          <w:p>
            <w:r>
              <w:rPr>
                <w:b/>
                <w:color w:val="FFFFFF"/>
                <w:sz w:val="20"/>
              </w:rPr>
              <w:t>Barrier</w:t>
            </w:r>
          </w:p>
        </w:tc>
        <w:tc>
          <w:tcPr>
            <w:tcW w:type="dxa" w:w="2880"/>
            <w:shd w:fill="1F3A5F" w:color="auto" w:val="clear"/>
          </w:tcPr>
          <w:p>
            <w:r>
              <w:rPr>
                <w:b/>
                <w:color w:val="FFFFFF"/>
                <w:sz w:val="20"/>
              </w:rPr>
              <w:t>Impact</w:t>
            </w:r>
          </w:p>
        </w:tc>
        <w:tc>
          <w:tcPr>
            <w:tcW w:type="dxa" w:w="2880"/>
            <w:shd w:fill="1F3A5F" w:color="auto" w:val="clear"/>
          </w:tcPr>
          <w:p>
            <w:r>
              <w:rPr>
                <w:b/>
                <w:color w:val="FFFFFF"/>
                <w:sz w:val="20"/>
              </w:rPr>
              <w:t>Think! Ventures Solution</w:t>
            </w:r>
          </w:p>
        </w:tc>
      </w:tr>
      <w:tr>
        <w:tc>
          <w:tcPr>
            <w:tcW w:type="dxa" w:w="2880"/>
          </w:tcPr>
          <w:p>
            <w:r>
              <w:rPr>
                <w:sz w:val="20"/>
              </w:rPr>
              <w:t>Professional website costs $5,000–$25,000</w:t>
            </w:r>
          </w:p>
        </w:tc>
        <w:tc>
          <w:tcPr>
            <w:tcW w:type="dxa" w:w="2880"/>
          </w:tcPr>
          <w:p>
            <w:r>
              <w:rPr>
                <w:sz w:val="20"/>
              </w:rPr>
              <w:t>72% of small businesses delay launching</w:t>
            </w:r>
          </w:p>
        </w:tc>
        <w:tc>
          <w:tcPr>
            <w:tcW w:type="dxa" w:w="2880"/>
          </w:tcPr>
          <w:p>
            <w:r>
              <w:rPr>
                <w:sz w:val="20"/>
              </w:rPr>
              <w:t>AI-powered build in 1–2 days, $0 cost</w:t>
            </w:r>
          </w:p>
        </w:tc>
      </w:tr>
      <w:tr>
        <w:tc>
          <w:tcPr>
            <w:tcW w:type="dxa" w:w="2880"/>
          </w:tcPr>
          <w:p>
            <w:r>
              <w:rPr>
                <w:sz w:val="20"/>
              </w:rPr>
              <w:t>Brand identity costs $3,000–$15,000</w:t>
            </w:r>
          </w:p>
        </w:tc>
        <w:tc>
          <w:tcPr>
            <w:tcW w:type="dxa" w:w="2880"/>
          </w:tcPr>
          <w:p>
            <w:r>
              <w:rPr>
                <w:sz w:val="20"/>
              </w:rPr>
              <w:t>New businesses look unprofessional, lose credibility</w:t>
            </w:r>
          </w:p>
        </w:tc>
        <w:tc>
          <w:tcPr>
            <w:tcW w:type="dxa" w:w="2880"/>
          </w:tcPr>
          <w:p>
            <w:r>
              <w:rPr>
                <w:sz w:val="20"/>
              </w:rPr>
              <w:t>Full brand package (logo, mascot, palette) in 1 day</w:t>
            </w:r>
          </w:p>
        </w:tc>
      </w:tr>
      <w:tr>
        <w:tc>
          <w:tcPr>
            <w:tcW w:type="dxa" w:w="2880"/>
          </w:tcPr>
          <w:p>
            <w:r>
              <w:rPr>
                <w:sz w:val="20"/>
              </w:rPr>
              <w:t>Business plan costs $2,000–$10,000</w:t>
            </w:r>
          </w:p>
        </w:tc>
        <w:tc>
          <w:tcPr>
            <w:tcW w:type="dxa" w:w="2880"/>
          </w:tcPr>
          <w:p>
            <w:r>
              <w:rPr>
                <w:sz w:val="20"/>
              </w:rPr>
              <w:t>Entrepreneurs can't apply for loans or grants</w:t>
            </w:r>
          </w:p>
        </w:tc>
        <w:tc>
          <w:tcPr>
            <w:tcW w:type="dxa" w:w="2880"/>
          </w:tcPr>
          <w:p>
            <w:r>
              <w:rPr>
                <w:sz w:val="20"/>
              </w:rPr>
              <w:t>AI-researched plan in 1 day</w:t>
            </w:r>
          </w:p>
        </w:tc>
      </w:tr>
      <w:tr>
        <w:tc>
          <w:tcPr>
            <w:tcW w:type="dxa" w:w="2880"/>
          </w:tcPr>
          <w:p>
            <w:r>
              <w:rPr>
                <w:sz w:val="20"/>
              </w:rPr>
              <w:t>E-commerce setup costs $1,000–$3,000</w:t>
            </w:r>
          </w:p>
        </w:tc>
        <w:tc>
          <w:tcPr>
            <w:tcW w:type="dxa" w:w="2880"/>
          </w:tcPr>
          <w:p>
            <w:r>
              <w:rPr>
                <w:sz w:val="20"/>
              </w:rPr>
              <w:t>No online revenue channel</w:t>
            </w:r>
          </w:p>
        </w:tc>
        <w:tc>
          <w:tcPr>
            <w:tcW w:type="dxa" w:w="2880"/>
          </w:tcPr>
          <w:p>
            <w:r>
              <w:rPr>
                <w:sz w:val="20"/>
              </w:rPr>
              <w:t>Stripe + merch store same day</w:t>
            </w:r>
          </w:p>
        </w:tc>
      </w:tr>
      <w:tr>
        <w:tc>
          <w:tcPr>
            <w:tcW w:type="dxa" w:w="2880"/>
          </w:tcPr>
          <w:p>
            <w:r>
              <w:rPr>
                <w:sz w:val="20"/>
              </w:rPr>
              <w:t>LLC formation costs $500–$1,500 in legal fees</w:t>
            </w:r>
          </w:p>
        </w:tc>
        <w:tc>
          <w:tcPr>
            <w:tcW w:type="dxa" w:w="2880"/>
          </w:tcPr>
          <w:p>
            <w:r>
              <w:rPr>
                <w:sz w:val="20"/>
              </w:rPr>
              <w:t>Entrepreneurs operate without legal protection</w:t>
            </w:r>
          </w:p>
        </w:tc>
        <w:tc>
          <w:tcPr>
            <w:tcW w:type="dxa" w:w="2880"/>
          </w:tcPr>
          <w:p>
            <w:r>
              <w:rPr>
                <w:sz w:val="20"/>
              </w:rPr>
              <w:t>Guided filing, $60 NC state fee only</w:t>
            </w:r>
          </w:p>
        </w:tc>
      </w:tr>
      <w:tr>
        <w:tc>
          <w:tcPr>
            <w:tcW w:type="dxa" w:w="2880"/>
          </w:tcPr>
          <w:p>
            <w:r>
              <w:rPr>
                <w:sz w:val="20"/>
              </w:rPr>
              <w:t>Total traditional cost</w:t>
            </w:r>
          </w:p>
        </w:tc>
        <w:tc>
          <w:tcPr>
            <w:tcW w:type="dxa" w:w="2880"/>
          </w:tcPr>
          <w:p>
            <w:r>
              <w:rPr>
                <w:sz w:val="20"/>
              </w:rPr>
              <w:t>$11,500–$54,500</w:t>
            </w:r>
          </w:p>
        </w:tc>
        <w:tc>
          <w:tcPr>
            <w:tcW w:type="dxa" w:w="2880"/>
          </w:tcPr>
          <w:p>
            <w:r>
              <w:rPr>
                <w:sz w:val="20"/>
              </w:rPr>
              <w:t>$0 to the entrepreneur</w:t>
            </w:r>
          </w:p>
        </w:tc>
      </w:tr>
    </w:tbl>
    <w:p/>
    <w:p>
      <w:pPr>
        <w:pStyle w:val="Heading3"/>
      </w:pPr>
      <w:r>
        <w:t>Who We Serve</w:t>
      </w:r>
    </w:p>
    <w:p>
      <w:pPr>
        <w:pStyle w:val="ListBullet"/>
      </w:pPr>
      <w:r>
        <w:t>HBCU students and alumni with business ideas but no capital</w:t>
      </w:r>
    </w:p>
    <w:p>
      <w:pPr>
        <w:pStyle w:val="ListBullet"/>
      </w:pPr>
      <w:r>
        <w:t>Minority entrepreneurs in underserved communities</w:t>
      </w:r>
    </w:p>
    <w:p>
      <w:pPr>
        <w:pStyle w:val="ListBullet"/>
      </w:pPr>
      <w:r>
        <w:t>Rural NC small business owners lacking digital infrastructure</w:t>
      </w:r>
    </w:p>
    <w:p>
      <w:pPr>
        <w:pStyle w:val="ListBullet"/>
      </w:pPr>
      <w:r>
        <w:t>Veterans transitioning to civilian entrepreneurship</w:t>
      </w:r>
    </w:p>
    <w:p>
      <w:pPr>
        <w:pStyle w:val="ListBullet"/>
      </w:pPr>
      <w:r>
        <w:t>First-generation business owners with no access to professional networks</w:t>
      </w:r>
    </w:p>
    <w:p>
      <w:pPr>
        <w:pBdr>
          <w:bottom w:val="single" w:sz="6" w:space="1" w:color="AAAAAA"/>
        </w:pBdr>
      </w:pPr>
    </w:p>
    <w:p>
      <w:pPr>
        <w:pStyle w:val="Heading2"/>
      </w:pPr>
      <w:r>
        <w:rPr>
          <w:color w:val="1F3A5F"/>
        </w:rPr>
        <w:t>Theory of Change</w:t>
      </w:r>
    </w:p>
    <w:p>
      <w:pPr>
        <w:ind w:left="576"/>
      </w:pPr>
      <w:r>
        <w:rPr>
          <w:rFonts w:ascii="Courier New" w:hAnsi="Courier New"/>
          <w:color w:val="333333"/>
          <w:sz w:val="18"/>
        </w:rPr>
        <w:t>INPUTS                  ACTIVITIES               OUTPUTS                 OUTCOMES                IMPACT</w:t>
        <w:br/>
      </w:r>
      <w:r>
        <w:rPr>
          <w:rFonts w:ascii="Courier New" w:hAnsi="Courier New"/>
          <w:color w:val="333333"/>
          <w:sz w:val="18"/>
        </w:rPr>
        <w:t>─────────────          ──────────────           ─────────────           ─────────────           ─────────────</w:t>
        <w:br/>
      </w:r>
      <w:r>
        <w:rPr>
          <w:rFonts w:ascii="Courier New" w:hAnsi="Courier New"/>
          <w:color w:val="333333"/>
          <w:sz w:val="18"/>
        </w:rPr>
        <w:t>Grant funding    →     AI-powered brand    →    Businesses launched  →  Revenue generated   →   Wealth creation</w:t>
        <w:br/>
      </w:r>
      <w:r>
        <w:rPr>
          <w:rFonts w:ascii="Courier New" w:hAnsi="Courier New"/>
          <w:color w:val="333333"/>
          <w:sz w:val="18"/>
        </w:rPr>
        <w:t>Volunteer mentors →    Website development →    Jobs created         →  Financial literacy  →   Community</w:t>
        <w:br/>
      </w:r>
      <w:r>
        <w:rPr>
          <w:rFonts w:ascii="Courier New" w:hAnsi="Courier New"/>
          <w:color w:val="333333"/>
          <w:sz w:val="18"/>
        </w:rPr>
        <w:t>Tech infrastructure →  Business planning   →    Digital storefronts →  Tax base growth     →   development</w:t>
        <w:br/>
      </w:r>
      <w:r>
        <w:rPr>
          <w:rFonts w:ascii="Courier New" w:hAnsi="Courier New"/>
          <w:color w:val="333333"/>
          <w:sz w:val="18"/>
        </w:rPr>
        <w:t>HBCU partnerships →    E-commerce setup    →    Merch stores live   →  Entrepreneur        →   Closing the</w:t>
        <w:br/>
      </w:r>
      <w:r>
        <w:rPr>
          <w:rFonts w:ascii="Courier New" w:hAnsi="Courier New"/>
          <w:color w:val="333333"/>
          <w:sz w:val="18"/>
        </w:rPr>
        <w:t xml:space="preserve">                       Mentorship program  →    Operating agreements →  confidence          →   wealth gap</w:t>
        <w:br/>
      </w:r>
    </w:p>
    <w:p>
      <w:pPr>
        <w:pBdr>
          <w:bottom w:val="single" w:sz="6" w:space="1" w:color="AAAAAA"/>
        </w:pBdr>
      </w:pPr>
    </w:p>
    <w:p>
      <w:pPr>
        <w:pStyle w:val="Heading2"/>
      </w:pPr>
      <w:r>
        <w:rPr>
          <w:color w:val="1F3A5F"/>
        </w:rPr>
        <w:t>Programs &amp; Services</w:t>
      </w:r>
    </w:p>
    <w:p>
      <w:pPr>
        <w:pStyle w:val="Heading3"/>
      </w:pPr>
      <w:r>
        <w:t>Program 1: LaunchPad (Core Incubation)</w:t>
      </w:r>
    </w:p>
    <w:p>
      <w:r/>
      <w:r>
        <w:rPr>
          <w:b/>
        </w:rPr>
        <w:t>Purpose:</w:t>
      </w:r>
      <w:r>
        <w:t xml:space="preserve"> Transform an idea into a fully operational digital business in 2–5 days.</w:t>
      </w:r>
    </w:p>
    <w:p>
      <w:r/>
      <w:r>
        <w:rPr>
          <w:b/>
        </w:rPr>
        <w:t>Deliverables per participant (at zero cost):</w:t>
      </w:r>
      <w:r/>
    </w:p>
    <w:p>
      <w:pPr>
        <w:pStyle w:val="ListBullet"/>
      </w:pPr>
      <w:r>
        <w:t>Market research and competitive analysis</w:t>
      </w:r>
    </w:p>
    <w:p>
      <w:pPr>
        <w:pStyle w:val="ListBullet"/>
      </w:pPr>
      <w:r>
        <w:t>Complete business plan (bank/grant-ready)</w:t>
      </w:r>
    </w:p>
    <w:p>
      <w:pPr>
        <w:pStyle w:val="ListBullet"/>
      </w:pPr>
      <w:r>
        <w:t>Professional brand identity (logo, color palette, typography)</w:t>
      </w:r>
    </w:p>
    <w:p>
      <w:pPr>
        <w:pStyle w:val="ListBullet"/>
      </w:pPr>
      <w:r>
        <w:t>6+ page premium website with hosting</w:t>
      </w:r>
    </w:p>
    <w:p>
      <w:pPr>
        <w:pStyle w:val="ListBullet"/>
      </w:pPr>
      <w:r>
        <w:t>E-commerce/merch store with Stripe integration</w:t>
      </w:r>
    </w:p>
    <w:p>
      <w:pPr>
        <w:pStyle w:val="ListBullet"/>
      </w:pPr>
      <w:r>
        <w:t>AI-powered mascot/assistant for customer engagement</w:t>
      </w:r>
    </w:p>
    <w:p>
      <w:pPr>
        <w:pStyle w:val="ListBullet"/>
      </w:pPr>
      <w:r>
        <w:t>LLC formation guidance and document templates</w:t>
      </w:r>
    </w:p>
    <w:p>
      <w:pPr>
        <w:pStyle w:val="ListBullet"/>
      </w:pPr>
      <w:r>
        <w:t>Operating agreement template</w:t>
      </w:r>
    </w:p>
    <w:p>
      <w:r/>
      <w:r>
        <w:rPr>
          <w:b/>
        </w:rPr>
        <w:t>Value created per participant:</w:t>
      </w:r>
      <w:r>
        <w:t xml:space="preserve"> $13,000–$58,000</w:t>
      </w:r>
    </w:p>
    <w:p>
      <w:r/>
      <w:r>
        <w:rPr>
          <w:b/>
        </w:rPr>
        <w:t>Annual target:</w:t>
      </w:r>
      <w:r>
        <w:t xml:space="preserve"> 10–20 businesses (Year 1), scaling to 50+ by Year 3</w:t>
      </w:r>
    </w:p>
    <w:p>
      <w:pPr>
        <w:pBdr>
          <w:bottom w:val="single" w:sz="6" w:space="1" w:color="AAAAAA"/>
        </w:pBdr>
      </w:pPr>
    </w:p>
    <w:p>
      <w:pPr>
        <w:pStyle w:val="Heading3"/>
      </w:pPr>
      <w:r>
        <w:t>Program 2: MerchEngine (E-Commerce Accelerator)</w:t>
      </w:r>
    </w:p>
    <w:p>
      <w:r/>
      <w:r>
        <w:rPr>
          <w:b/>
        </w:rPr>
        <w:t>Purpose:</w:t>
      </w:r>
      <w:r>
        <w:t xml:space="preserve"> Give every partner business a revenue-generating merch line with zero inventory risk.</w:t>
      </w:r>
    </w:p>
    <w:p>
      <w:r/>
      <w:r>
        <w:rPr>
          <w:b/>
        </w:rPr>
        <w:t>How it works:</w:t>
      </w:r>
      <w:r/>
    </w:p>
    <w:p>
      <w:pPr>
        <w:pStyle w:val="ListNumber"/>
      </w:pPr>
      <w:r>
        <w:t>Foundation designs branded merchandise (tees, hoodies, hats, polos)</w:t>
      </w:r>
    </w:p>
    <w:p>
      <w:pPr>
        <w:pStyle w:val="ListNumber"/>
      </w:pPr>
      <w:r>
        <w:t>Print-on-demand fulfillment (no inventory costs)</w:t>
      </w:r>
    </w:p>
    <w:p>
      <w:pPr>
        <w:pStyle w:val="ListNumber"/>
      </w:pPr>
      <w:r>
        <w:t>Stripe payment processing with automated tracking</w:t>
      </w:r>
    </w:p>
    <w:p>
      <w:pPr>
        <w:pStyle w:val="ListNumber"/>
      </w:pPr>
      <w:r>
        <w:t>Revenue flows directly to the entrepreneur</w:t>
      </w:r>
    </w:p>
    <w:p>
      <w:r/>
      <w:r>
        <w:rPr>
          <w:b/>
        </w:rPr>
        <w:t>Key metric:</w:t>
      </w:r>
      <w:r>
        <w:t xml:space="preserve"> Revenue generated for partner businesses</w:t>
      </w:r>
    </w:p>
    <w:p>
      <w:pPr>
        <w:pBdr>
          <w:bottom w:val="single" w:sz="6" w:space="1" w:color="AAAAAA"/>
        </w:pBdr>
      </w:pPr>
    </w:p>
    <w:p>
      <w:pPr>
        <w:pStyle w:val="Heading3"/>
      </w:pPr>
      <w:r>
        <w:t>Program 3: Digital Equity Workshops</w:t>
      </w:r>
    </w:p>
    <w:p>
      <w:r/>
      <w:r>
        <w:rPr>
          <w:b/>
        </w:rPr>
        <w:t>Purpose:</w:t>
      </w:r>
      <w:r>
        <w:t xml:space="preserve"> Teach digital literacy and entrepreneurship skills at HBCUs and community centers.</w:t>
      </w:r>
    </w:p>
    <w:p>
      <w:r/>
      <w:r>
        <w:rPr>
          <w:b/>
        </w:rPr>
        <w:t>Curriculum:</w:t>
      </w:r>
      <w:r/>
    </w:p>
    <w:p>
      <w:pPr>
        <w:pStyle w:val="ListBullet"/>
      </w:pPr>
      <w:r>
        <w:t>Building an online presence (websites, social media)</w:t>
      </w:r>
    </w:p>
    <w:p>
      <w:pPr>
        <w:pStyle w:val="ListBullet"/>
      </w:pPr>
      <w:r>
        <w:t>E-commerce fundamentals (Stripe, payment processing)</w:t>
      </w:r>
    </w:p>
    <w:p>
      <w:pPr>
        <w:pStyle w:val="ListBullet"/>
      </w:pPr>
      <w:r>
        <w:t>AI tools for small business (research, writing, design)</w:t>
      </w:r>
    </w:p>
    <w:p>
      <w:pPr>
        <w:pStyle w:val="ListBullet"/>
      </w:pPr>
      <w:r>
        <w:t>Financial literacy for entrepreneurs</w:t>
      </w:r>
    </w:p>
    <w:p>
      <w:pPr>
        <w:pStyle w:val="ListBullet"/>
      </w:pPr>
      <w:r>
        <w:t>Branding and marketing on a budget</w:t>
      </w:r>
    </w:p>
    <w:p>
      <w:r/>
      <w:r>
        <w:rPr>
          <w:b/>
        </w:rPr>
        <w:t>Delivery:</w:t>
      </w:r>
      <w:r>
        <w:t xml:space="preserve"> In-person at NC A&amp;T, online via video, community centers in Greensboro</w:t>
      </w:r>
    </w:p>
    <w:p>
      <w:pPr>
        <w:pBdr>
          <w:bottom w:val="single" w:sz="6" w:space="1" w:color="AAAAAA"/>
        </w:pBdr>
      </w:pPr>
    </w:p>
    <w:p>
      <w:pPr>
        <w:pStyle w:val="Heading3"/>
      </w:pPr>
      <w:r>
        <w:t>Program 4: AI Business Research Lab</w:t>
      </w:r>
    </w:p>
    <w:p>
      <w:r/>
      <w:r>
        <w:rPr>
          <w:b/>
        </w:rPr>
        <w:t>Purpose:</w:t>
      </w:r>
      <w:r>
        <w:t xml:space="preserve"> Provide free AI-powered market research, grant identification, and business intelligence to underserved entrepreneurs.</w:t>
      </w:r>
    </w:p>
    <w:p>
      <w:r/>
      <w:r>
        <w:rPr>
          <w:b/>
        </w:rPr>
        <w:t>Tools used:</w:t>
      </w:r>
      <w:r/>
    </w:p>
    <w:p>
      <w:pPr>
        <w:pStyle w:val="ListBullet"/>
      </w:pPr>
      <w:r>
        <w:t>NotebookLM for deep research</w:t>
      </w:r>
    </w:p>
    <w:p>
      <w:pPr>
        <w:pStyle w:val="ListBullet"/>
      </w:pPr>
      <w:r>
        <w:t>Gemini AI for competitive analysis</w:t>
      </w:r>
    </w:p>
    <w:p>
      <w:pPr>
        <w:pStyle w:val="ListBullet"/>
      </w:pPr>
      <w:r>
        <w:t>Custom grant-matching databases</w:t>
      </w:r>
    </w:p>
    <w:p>
      <w:pPr>
        <w:pStyle w:val="ListBullet"/>
      </w:pPr>
      <w:r>
        <w:t>Industry-specific market reports</w:t>
      </w:r>
    </w:p>
    <w:p>
      <w:pPr>
        <w:pBdr>
          <w:bottom w:val="single" w:sz="6" w:space="1" w:color="AAAAAA"/>
        </w:pBdr>
      </w:pPr>
    </w:p>
    <w:p>
      <w:pPr>
        <w:pStyle w:val="Heading2"/>
      </w:pPr>
      <w:r>
        <w:rPr>
          <w:color w:val="1F3A5F"/>
        </w:rPr>
        <w:t>Organizational Structure</w:t>
      </w:r>
    </w:p>
    <w:p>
      <w:pPr>
        <w:pStyle w:val="Heading3"/>
      </w:pPr>
      <w:r>
        <w:t>Board of Directors (Minimum 3 required by IRS)</w:t>
      </w:r>
    </w:p>
    <w:tbl>
      <w:tblPr>
        <w:tblStyle w:val="TableGrid"/>
        <w:tblW w:type="auto" w:w="0"/>
        <w:tblLook w:firstColumn="1" w:firstRow="1" w:lastColumn="0" w:lastRow="0" w:noHBand="0" w:noVBand="1" w:val="04A0"/>
      </w:tblPr>
      <w:tblGrid>
        <w:gridCol w:w="2880"/>
        <w:gridCol w:w="2880"/>
        <w:gridCol w:w="2880"/>
      </w:tblGrid>
      <w:tr>
        <w:tc>
          <w:tcPr>
            <w:tcW w:type="dxa" w:w="2880"/>
            <w:shd w:fill="1F3A5F" w:color="auto" w:val="clear"/>
          </w:tcPr>
          <w:p>
            <w:r>
              <w:rPr>
                <w:b/>
                <w:color w:val="FFFFFF"/>
                <w:sz w:val="20"/>
              </w:rPr>
              <w:t>Role</w:t>
            </w:r>
          </w:p>
        </w:tc>
        <w:tc>
          <w:tcPr>
            <w:tcW w:type="dxa" w:w="2880"/>
            <w:shd w:fill="1F3A5F" w:color="auto" w:val="clear"/>
          </w:tcPr>
          <w:p>
            <w:r>
              <w:rPr>
                <w:b/>
                <w:color w:val="FFFFFF"/>
                <w:sz w:val="20"/>
              </w:rPr>
              <w:t>Name</w:t>
            </w:r>
          </w:p>
        </w:tc>
        <w:tc>
          <w:tcPr>
            <w:tcW w:type="dxa" w:w="2880"/>
            <w:shd w:fill="1F3A5F" w:color="auto" w:val="clear"/>
          </w:tcPr>
          <w:p>
            <w:r>
              <w:rPr>
                <w:b/>
                <w:color w:val="FFFFFF"/>
                <w:sz w:val="20"/>
              </w:rPr>
              <w:t>Profile</w:t>
            </w:r>
          </w:p>
        </w:tc>
      </w:tr>
      <w:tr>
        <w:tc>
          <w:tcPr>
            <w:tcW w:type="dxa" w:w="2880"/>
          </w:tcPr>
          <w:p>
            <w:r>
              <w:rPr>
                <w:sz w:val="20"/>
              </w:rPr>
              <w:t>Chair / Executive Director</w:t>
            </w:r>
          </w:p>
        </w:tc>
        <w:tc>
          <w:tcPr>
            <w:tcW w:type="dxa" w:w="2880"/>
          </w:tcPr>
          <w:p>
            <w:r>
              <w:rPr>
                <w:sz w:val="20"/>
              </w:rPr>
              <w:t>Chris Harrison</w:t>
            </w:r>
          </w:p>
        </w:tc>
        <w:tc>
          <w:tcPr>
            <w:tcW w:type="dxa" w:w="2880"/>
          </w:tcPr>
          <w:p>
            <w:r>
              <w:rPr>
                <w:sz w:val="20"/>
              </w:rPr>
              <w:t>Founder, NC A&amp;T faculty/researcher</w:t>
            </w:r>
          </w:p>
        </w:tc>
      </w:tr>
      <w:tr>
        <w:tc>
          <w:tcPr>
            <w:tcW w:type="dxa" w:w="2880"/>
          </w:tcPr>
          <w:p>
            <w:r>
              <w:rPr>
                <w:sz w:val="20"/>
              </w:rPr>
              <w:t>Vice Chair</w:t>
            </w:r>
          </w:p>
        </w:tc>
        <w:tc>
          <w:tcPr>
            <w:tcW w:type="dxa" w:w="2880"/>
          </w:tcPr>
          <w:p>
            <w:r>
              <w:rPr>
                <w:sz w:val="20"/>
              </w:rPr>
              <w:t>Gregory Fulton</w:t>
            </w:r>
          </w:p>
        </w:tc>
        <w:tc>
          <w:tcPr>
            <w:tcW w:type="dxa" w:w="2880"/>
          </w:tcPr>
          <w:p>
            <w:r>
              <w:rPr>
                <w:sz w:val="20"/>
              </w:rPr>
              <w:t>Board Member #2</w:t>
            </w:r>
          </w:p>
        </w:tc>
      </w:tr>
      <w:tr>
        <w:tc>
          <w:tcPr>
            <w:tcW w:type="dxa" w:w="2880"/>
          </w:tcPr>
          <w:p>
            <w:r>
              <w:rPr>
                <w:sz w:val="20"/>
              </w:rPr>
              <w:t>Secretary/Treasurer</w:t>
            </w:r>
          </w:p>
        </w:tc>
        <w:tc>
          <w:tcPr>
            <w:tcW w:type="dxa" w:w="2880"/>
          </w:tcPr>
          <w:p>
            <w:r>
              <w:rPr>
                <w:sz w:val="20"/>
              </w:rPr>
              <w:t>Damon Howell</w:t>
            </w:r>
          </w:p>
        </w:tc>
        <w:tc>
          <w:tcPr>
            <w:tcW w:type="dxa" w:w="2880"/>
          </w:tcPr>
          <w:p>
            <w:r>
              <w:rPr>
                <w:sz w:val="20"/>
              </w:rPr>
              <w:t>Board Member #3</w:t>
            </w:r>
          </w:p>
        </w:tc>
      </w:tr>
      <w:tr>
        <w:tc>
          <w:tcPr>
            <w:tcW w:type="dxa" w:w="2880"/>
          </w:tcPr>
          <w:p>
            <w:r>
              <w:rPr>
                <w:sz w:val="20"/>
              </w:rPr>
              <w:t>At-Large (future)</w:t>
            </w:r>
          </w:p>
        </w:tc>
        <w:tc>
          <w:tcPr>
            <w:tcW w:type="dxa" w:w="2880"/>
          </w:tcPr>
          <w:p>
            <w:r>
              <w:rPr>
                <w:sz w:val="20"/>
              </w:rPr>
              <w:t>TBD</w:t>
            </w:r>
          </w:p>
        </w:tc>
        <w:tc>
          <w:tcPr>
            <w:tcW w:type="dxa" w:w="2880"/>
          </w:tcPr>
          <w:p>
            <w:r>
              <w:rPr>
                <w:sz w:val="20"/>
              </w:rPr>
              <w:t>CPA, attorney, or financial professional recommended</w:t>
            </w:r>
          </w:p>
        </w:tc>
      </w:tr>
      <w:tr>
        <w:tc>
          <w:tcPr>
            <w:tcW w:type="dxa" w:w="2880"/>
          </w:tcPr>
          <w:p>
            <w:r>
              <w:rPr>
                <w:sz w:val="20"/>
              </w:rPr>
              <w:t>At-Large (future)</w:t>
            </w:r>
          </w:p>
        </w:tc>
        <w:tc>
          <w:tcPr>
            <w:tcW w:type="dxa" w:w="2880"/>
          </w:tcPr>
          <w:p>
            <w:r>
              <w:rPr>
                <w:sz w:val="20"/>
              </w:rPr>
              <w:t>TBD</w:t>
            </w:r>
          </w:p>
        </w:tc>
        <w:tc>
          <w:tcPr>
            <w:tcW w:type="dxa" w:w="2880"/>
          </w:tcPr>
          <w:p>
            <w:r>
              <w:rPr>
                <w:sz w:val="20"/>
              </w:rPr>
              <w:t>Representative from partner organization</w:t>
            </w:r>
          </w:p>
        </w:tc>
      </w:tr>
    </w:tbl>
    <w:p/>
    <w:p>
      <w:pPr>
        <w:pStyle w:val="Quote"/>
      </w:pPr>
      <w:r>
        <w:rPr>
          <w:i/>
          <w:sz w:val="22"/>
        </w:rPr>
        <w:t>IRS Requirement: At least 3 unrelated board members. No more than 49% can be "interested persons" (compensated by the organization).</w:t>
      </w:r>
    </w:p>
    <w:p>
      <w:pPr>
        <w:pStyle w:val="Heading3"/>
      </w:pPr>
      <w:r>
        <w:t>Staff (Year 1)</w:t>
      </w:r>
    </w:p>
    <w:tbl>
      <w:tblPr>
        <w:tblStyle w:val="TableGrid"/>
        <w:tblW w:type="auto" w:w="0"/>
        <w:tblLook w:firstColumn="1" w:firstRow="1" w:lastColumn="0" w:lastRow="0" w:noHBand="0" w:noVBand="1" w:val="04A0"/>
      </w:tblPr>
      <w:tblGrid>
        <w:gridCol w:w="2880"/>
        <w:gridCol w:w="2880"/>
        <w:gridCol w:w="2880"/>
      </w:tblGrid>
      <w:tr>
        <w:tc>
          <w:tcPr>
            <w:tcW w:type="dxa" w:w="2880"/>
            <w:shd w:fill="1F3A5F" w:color="auto" w:val="clear"/>
          </w:tcPr>
          <w:p>
            <w:r>
              <w:rPr>
                <w:b/>
                <w:color w:val="FFFFFF"/>
                <w:sz w:val="20"/>
              </w:rPr>
              <w:t>Role</w:t>
            </w:r>
          </w:p>
        </w:tc>
        <w:tc>
          <w:tcPr>
            <w:tcW w:type="dxa" w:w="2880"/>
            <w:shd w:fill="1F3A5F" w:color="auto" w:val="clear"/>
          </w:tcPr>
          <w:p>
            <w:r>
              <w:rPr>
                <w:b/>
                <w:color w:val="FFFFFF"/>
                <w:sz w:val="20"/>
              </w:rPr>
              <w:t>Type</w:t>
            </w:r>
          </w:p>
        </w:tc>
        <w:tc>
          <w:tcPr>
            <w:tcW w:type="dxa" w:w="2880"/>
            <w:shd w:fill="1F3A5F" w:color="auto" w:val="clear"/>
          </w:tcPr>
          <w:p>
            <w:r>
              <w:rPr>
                <w:b/>
                <w:color w:val="FFFFFF"/>
                <w:sz w:val="20"/>
              </w:rPr>
              <w:t>Responsibility</w:t>
            </w:r>
          </w:p>
        </w:tc>
      </w:tr>
      <w:tr>
        <w:tc>
          <w:tcPr>
            <w:tcW w:type="dxa" w:w="2880"/>
          </w:tcPr>
          <w:p>
            <w:r>
              <w:rPr>
                <w:sz w:val="20"/>
              </w:rPr>
              <w:t>Executive Director</w:t>
            </w:r>
          </w:p>
        </w:tc>
        <w:tc>
          <w:tcPr>
            <w:tcW w:type="dxa" w:w="2880"/>
          </w:tcPr>
          <w:p>
            <w:r>
              <w:rPr>
                <w:sz w:val="20"/>
              </w:rPr>
              <w:t>Part-time (Founder)</w:t>
            </w:r>
          </w:p>
        </w:tc>
        <w:tc>
          <w:tcPr>
            <w:tcW w:type="dxa" w:w="2880"/>
          </w:tcPr>
          <w:p>
            <w:r>
              <w:rPr>
                <w:sz w:val="20"/>
              </w:rPr>
              <w:t>Strategy, partnerships, program delivery</w:t>
            </w:r>
          </w:p>
        </w:tc>
      </w:tr>
      <w:tr>
        <w:tc>
          <w:tcPr>
            <w:tcW w:type="dxa" w:w="2880"/>
          </w:tcPr>
          <w:p>
            <w:r>
              <w:rPr>
                <w:sz w:val="20"/>
              </w:rPr>
              <w:t>Program Coordinator</w:t>
            </w:r>
          </w:p>
        </w:tc>
        <w:tc>
          <w:tcPr>
            <w:tcW w:type="dxa" w:w="2880"/>
          </w:tcPr>
          <w:p>
            <w:r>
              <w:rPr>
                <w:sz w:val="20"/>
              </w:rPr>
              <w:t>Volunteer/Intern</w:t>
            </w:r>
          </w:p>
        </w:tc>
        <w:tc>
          <w:tcPr>
            <w:tcW w:type="dxa" w:w="2880"/>
          </w:tcPr>
          <w:p>
            <w:r>
              <w:rPr>
                <w:sz w:val="20"/>
              </w:rPr>
              <w:t>Participant intake, tracking, follow-up</w:t>
            </w:r>
          </w:p>
        </w:tc>
      </w:tr>
      <w:tr>
        <w:tc>
          <w:tcPr>
            <w:tcW w:type="dxa" w:w="2880"/>
          </w:tcPr>
          <w:p>
            <w:r>
              <w:rPr>
                <w:sz w:val="20"/>
              </w:rPr>
              <w:t>Technology Lead</w:t>
            </w:r>
          </w:p>
        </w:tc>
        <w:tc>
          <w:tcPr>
            <w:tcW w:type="dxa" w:w="2880"/>
          </w:tcPr>
          <w:p>
            <w:r>
              <w:rPr>
                <w:sz w:val="20"/>
              </w:rPr>
              <w:t>Contracted (Think! Design)</w:t>
            </w:r>
          </w:p>
        </w:tc>
        <w:tc>
          <w:tcPr>
            <w:tcW w:type="dxa" w:w="2880"/>
          </w:tcPr>
          <w:p>
            <w:r>
              <w:rPr>
                <w:sz w:val="20"/>
              </w:rPr>
              <w:t>Website builds, AI tools, e-commerce setup</w:t>
            </w:r>
          </w:p>
        </w:tc>
      </w:tr>
    </w:tbl>
    <w:p/>
    <w:p>
      <w:pPr>
        <w:pBdr>
          <w:bottom w:val="single" w:sz="6" w:space="1" w:color="AAAAAA"/>
        </w:pBdr>
      </w:pPr>
    </w:p>
    <w:p>
      <w:pPr>
        <w:pStyle w:val="Heading2"/>
      </w:pPr>
      <w:r>
        <w:rPr>
          <w:color w:val="1F3A5F"/>
        </w:rPr>
        <w:t>Revenue Model (Nonprofit)</w:t>
      </w:r>
    </w:p>
    <w:p>
      <w:pPr>
        <w:pStyle w:val="Heading3"/>
      </w:pPr>
      <w:r>
        <w:t>How We Fund Operations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color="auto" w:val="clear"/>
          </w:tcPr>
          <w:p>
            <w:r>
              <w:rPr>
                <w:b/>
                <w:color w:val="FFFFFF"/>
                <w:sz w:val="20"/>
              </w:rPr>
              <w:t>Revenue Source</w:t>
            </w:r>
          </w:p>
        </w:tc>
        <w:tc>
          <w:tcPr>
            <w:tcW w:type="dxa" w:w="2160"/>
            <w:shd w:fill="1F3A5F" w:color="auto" w:val="clear"/>
          </w:tcPr>
          <w:p>
            <w:r>
              <w:rPr>
                <w:b/>
                <w:color w:val="FFFFFF"/>
                <w:sz w:val="20"/>
              </w:rPr>
              <w:t>Year 1</w:t>
            </w:r>
          </w:p>
        </w:tc>
        <w:tc>
          <w:tcPr>
            <w:tcW w:type="dxa" w:w="2160"/>
            <w:shd w:fill="1F3A5F" w:color="auto" w:val="clear"/>
          </w:tcPr>
          <w:p>
            <w:r>
              <w:rPr>
                <w:b/>
                <w:color w:val="FFFFFF"/>
                <w:sz w:val="20"/>
              </w:rPr>
              <w:t>Year 2</w:t>
            </w:r>
          </w:p>
        </w:tc>
        <w:tc>
          <w:tcPr>
            <w:tcW w:type="dxa" w:w="2160"/>
            <w:shd w:fill="1F3A5F" w:color="auto" w:val="clear"/>
          </w:tcPr>
          <w:p>
            <w:r>
              <w:rPr>
                <w:b/>
                <w:color w:val="FFFFFF"/>
                <w:sz w:val="20"/>
              </w:rPr>
              <w:t>Year 3</w:t>
            </w:r>
          </w:p>
        </w:tc>
      </w:tr>
      <w:tr>
        <w:tc>
          <w:tcPr>
            <w:tcW w:type="dxa" w:w="2160"/>
          </w:tcPr>
          <w:p>
            <w:r>
              <w:rPr>
                <w:sz w:val="20"/>
              </w:rPr>
              <w:t>Federal grants (EDA, MBDA, SBA PRIME)</w:t>
            </w:r>
          </w:p>
        </w:tc>
        <w:tc>
          <w:tcPr>
            <w:tcW w:type="dxa" w:w="2160"/>
          </w:tcPr>
          <w:p>
            <w:r>
              <w:rPr>
                <w:sz w:val="20"/>
              </w:rPr>
              <w:t>$25,000–$75,000</w:t>
            </w:r>
          </w:p>
        </w:tc>
        <w:tc>
          <w:tcPr>
            <w:tcW w:type="dxa" w:w="2160"/>
          </w:tcPr>
          <w:p>
            <w:r>
              <w:rPr>
                <w:sz w:val="20"/>
              </w:rPr>
              <w:t>$50,000–$150,000</w:t>
            </w:r>
          </w:p>
        </w:tc>
        <w:tc>
          <w:tcPr>
            <w:tcW w:type="dxa" w:w="2160"/>
          </w:tcPr>
          <w:p>
            <w:r>
              <w:rPr>
                <w:sz w:val="20"/>
              </w:rPr>
              <w:t>$100,000–$300,000</w:t>
            </w:r>
          </w:p>
        </w:tc>
      </w:tr>
      <w:tr>
        <w:tc>
          <w:tcPr>
            <w:tcW w:type="dxa" w:w="2160"/>
          </w:tcPr>
          <w:p>
            <w:r>
              <w:rPr>
                <w:sz w:val="20"/>
              </w:rPr>
              <w:t>State grants (NC IDEA, NC Commerce)</w:t>
            </w:r>
          </w:p>
        </w:tc>
        <w:tc>
          <w:tcPr>
            <w:tcW w:type="dxa" w:w="2160"/>
          </w:tcPr>
          <w:p>
            <w:r>
              <w:rPr>
                <w:sz w:val="20"/>
              </w:rPr>
              <w:t>$10,000–$25,000</w:t>
            </w:r>
          </w:p>
        </w:tc>
        <w:tc>
          <w:tcPr>
            <w:tcW w:type="dxa" w:w="2160"/>
          </w:tcPr>
          <w:p>
            <w:r>
              <w:rPr>
                <w:sz w:val="20"/>
              </w:rPr>
              <w:t>$25,000–$50,000</w:t>
            </w:r>
          </w:p>
        </w:tc>
        <w:tc>
          <w:tcPr>
            <w:tcW w:type="dxa" w:w="2160"/>
          </w:tcPr>
          <w:p>
            <w:r>
              <w:rPr>
                <w:sz w:val="20"/>
              </w:rPr>
              <w:t>$50,000–$100,000</w:t>
            </w:r>
          </w:p>
        </w:tc>
      </w:tr>
      <w:tr>
        <w:tc>
          <w:tcPr>
            <w:tcW w:type="dxa" w:w="2160"/>
          </w:tcPr>
          <w:p>
            <w:r>
              <w:rPr>
                <w:sz w:val="20"/>
              </w:rPr>
              <w:t>Foundation grants (Kauffman, Google.org)</w:t>
            </w:r>
          </w:p>
        </w:tc>
        <w:tc>
          <w:tcPr>
            <w:tcW w:type="dxa" w:w="2160"/>
          </w:tcPr>
          <w:p>
            <w:r>
              <w:rPr>
                <w:sz w:val="20"/>
              </w:rPr>
              <w:t>$5,000–$15,000</w:t>
            </w:r>
          </w:p>
        </w:tc>
        <w:tc>
          <w:tcPr>
            <w:tcW w:type="dxa" w:w="2160"/>
          </w:tcPr>
          <w:p>
            <w:r>
              <w:rPr>
                <w:sz w:val="20"/>
              </w:rPr>
              <w:t>$15,000–$50,000</w:t>
            </w:r>
          </w:p>
        </w:tc>
        <w:tc>
          <w:tcPr>
            <w:tcW w:type="dxa" w:w="2160"/>
          </w:tcPr>
          <w:p>
            <w:r>
              <w:rPr>
                <w:sz w:val="20"/>
              </w:rPr>
              <w:t>$25,000–$75,000</w:t>
            </w:r>
          </w:p>
        </w:tc>
      </w:tr>
      <w:tr>
        <w:tc>
          <w:tcPr>
            <w:tcW w:type="dxa" w:w="2160"/>
          </w:tcPr>
          <w:p>
            <w:r>
              <w:rPr>
                <w:sz w:val="20"/>
              </w:rPr>
              <w:t>HBCU partnership grants (HBCUFI, Black Ambition)</w:t>
            </w:r>
          </w:p>
        </w:tc>
        <w:tc>
          <w:tcPr>
            <w:tcW w:type="dxa" w:w="2160"/>
          </w:tcPr>
          <w:p>
            <w:r>
              <w:rPr>
                <w:sz w:val="20"/>
              </w:rPr>
              <w:t>$10,000–$25,000</w:t>
            </w:r>
          </w:p>
        </w:tc>
        <w:tc>
          <w:tcPr>
            <w:tcW w:type="dxa" w:w="2160"/>
          </w:tcPr>
          <w:p>
            <w:r>
              <w:rPr>
                <w:sz w:val="20"/>
              </w:rPr>
              <w:t>$20,000–$50,000</w:t>
            </w:r>
          </w:p>
        </w:tc>
        <w:tc>
          <w:tcPr>
            <w:tcW w:type="dxa" w:w="2160"/>
          </w:tcPr>
          <w:p>
            <w:r>
              <w:rPr>
                <w:sz w:val="20"/>
              </w:rPr>
              <w:t>$30,000–$75,000</w:t>
            </w:r>
          </w:p>
        </w:tc>
      </w:tr>
      <w:tr>
        <w:tc>
          <w:tcPr>
            <w:tcW w:type="dxa" w:w="2160"/>
          </w:tcPr>
          <w:p>
            <w:r>
              <w:rPr>
                <w:sz w:val="20"/>
              </w:rPr>
              <w:t>Corporate sponsorships</w:t>
            </w:r>
          </w:p>
        </w:tc>
        <w:tc>
          <w:tcPr>
            <w:tcW w:type="dxa" w:w="2160"/>
          </w:tcPr>
          <w:p>
            <w:r>
              <w:rPr>
                <w:sz w:val="20"/>
              </w:rPr>
              <w:t>$0</w:t>
            </w:r>
          </w:p>
        </w:tc>
        <w:tc>
          <w:tcPr>
            <w:tcW w:type="dxa" w:w="2160"/>
          </w:tcPr>
          <w:p>
            <w:r>
              <w:rPr>
                <w:sz w:val="20"/>
              </w:rPr>
              <w:t>$5,000–$15,000</w:t>
            </w:r>
          </w:p>
        </w:tc>
        <w:tc>
          <w:tcPr>
            <w:tcW w:type="dxa" w:w="2160"/>
          </w:tcPr>
          <w:p>
            <w:r>
              <w:rPr>
                <w:sz w:val="20"/>
              </w:rPr>
              <w:t>$10,000–$30,000</w:t>
            </w:r>
          </w:p>
        </w:tc>
      </w:tr>
      <w:tr>
        <w:tc>
          <w:tcPr>
            <w:tcW w:type="dxa" w:w="2160"/>
          </w:tcPr>
          <w:p>
            <w:r>
              <w:rPr>
                <w:sz w:val="20"/>
              </w:rPr>
              <w:t>Individual donations</w:t>
            </w:r>
          </w:p>
        </w:tc>
        <w:tc>
          <w:tcPr>
            <w:tcW w:type="dxa" w:w="2160"/>
          </w:tcPr>
          <w:p>
            <w:r>
              <w:rPr>
                <w:sz w:val="20"/>
              </w:rPr>
              <w:t>$1,000–$5,000</w:t>
            </w:r>
          </w:p>
        </w:tc>
        <w:tc>
          <w:tcPr>
            <w:tcW w:type="dxa" w:w="2160"/>
          </w:tcPr>
          <w:p>
            <w:r>
              <w:rPr>
                <w:sz w:val="20"/>
              </w:rPr>
              <w:t>$5,000–$15,000</w:t>
            </w:r>
          </w:p>
        </w:tc>
        <w:tc>
          <w:tcPr>
            <w:tcW w:type="dxa" w:w="2160"/>
          </w:tcPr>
          <w:p>
            <w:r>
              <w:rPr>
                <w:sz w:val="20"/>
              </w:rPr>
              <w:t>$10,000–$25,000</w:t>
            </w:r>
          </w:p>
        </w:tc>
      </w:tr>
      <w:tr>
        <w:tc>
          <w:tcPr>
            <w:tcW w:type="dxa" w:w="2160"/>
          </w:tcPr>
          <w:p>
            <w:r>
              <w:rPr>
                <w:sz w:val="20"/>
              </w:rPr>
              <w:t>Workshop fees (sliding scale)</w:t>
            </w:r>
          </w:p>
        </w:tc>
        <w:tc>
          <w:tcPr>
            <w:tcW w:type="dxa" w:w="2160"/>
          </w:tcPr>
          <w:p>
            <w:r>
              <w:rPr>
                <w:sz w:val="20"/>
              </w:rPr>
              <w:t>$2,000–$5,000</w:t>
            </w:r>
          </w:p>
        </w:tc>
        <w:tc>
          <w:tcPr>
            <w:tcW w:type="dxa" w:w="2160"/>
          </w:tcPr>
          <w:p>
            <w:r>
              <w:rPr>
                <w:sz w:val="20"/>
              </w:rPr>
              <w:t>$5,000–$15,000</w:t>
            </w:r>
          </w:p>
        </w:tc>
        <w:tc>
          <w:tcPr>
            <w:tcW w:type="dxa" w:w="2160"/>
          </w:tcPr>
          <w:p>
            <w:r>
              <w:rPr>
                <w:sz w:val="20"/>
              </w:rPr>
              <w:t>$10,000–$25,000</w:t>
            </w:r>
          </w:p>
        </w:tc>
      </w:tr>
      <w:tr>
        <w:tc>
          <w:tcPr>
            <w:tcW w:type="dxa" w:w="2160"/>
          </w:tcPr>
          <w:p>
            <w:r>
              <w:rPr>
                <w:sz w:val="20"/>
              </w:rPr>
              <w:t>Program service fees (10% cooperative)</w:t>
            </w:r>
          </w:p>
        </w:tc>
        <w:tc>
          <w:tcPr>
            <w:tcW w:type="dxa" w:w="2160"/>
          </w:tcPr>
          <w:p>
            <w:r>
              <w:rPr>
                <w:sz w:val="20"/>
              </w:rPr>
              <w:t>$5,000–$15,000</w:t>
            </w:r>
          </w:p>
        </w:tc>
        <w:tc>
          <w:tcPr>
            <w:tcW w:type="dxa" w:w="2160"/>
          </w:tcPr>
          <w:p>
            <w:r>
              <w:rPr>
                <w:sz w:val="20"/>
              </w:rPr>
              <w:t>$20,000–$50,000</w:t>
            </w:r>
          </w:p>
        </w:tc>
        <w:tc>
          <w:tcPr>
            <w:tcW w:type="dxa" w:w="2160"/>
          </w:tcPr>
          <w:p>
            <w:r>
              <w:rPr>
                <w:sz w:val="20"/>
              </w:rPr>
              <w:t>$50,000–$120,000</w:t>
            </w:r>
          </w:p>
        </w:tc>
      </w:tr>
      <w:tr>
        <w:tc>
          <w:tcPr>
            <w:tcW w:type="dxa" w:w="2160"/>
          </w:tcPr>
          <w:p>
            <w:r>
              <w:rPr>
                <w:sz w:val="20"/>
              </w:rPr>
              <w:t>TOTAL</w:t>
            </w:r>
          </w:p>
        </w:tc>
        <w:tc>
          <w:tcPr>
            <w:tcW w:type="dxa" w:w="2160"/>
          </w:tcPr>
          <w:p>
            <w:r>
              <w:rPr>
                <w:sz w:val="20"/>
              </w:rPr>
              <w:t>$58,000–$165,000</w:t>
            </w:r>
          </w:p>
        </w:tc>
        <w:tc>
          <w:tcPr>
            <w:tcW w:type="dxa" w:w="2160"/>
          </w:tcPr>
          <w:p>
            <w:r>
              <w:rPr>
                <w:sz w:val="20"/>
              </w:rPr>
              <w:t>$145,000–$395,000</w:t>
            </w:r>
          </w:p>
        </w:tc>
        <w:tc>
          <w:tcPr>
            <w:tcW w:type="dxa" w:w="2160"/>
          </w:tcPr>
          <w:p>
            <w:r>
              <w:rPr>
                <w:sz w:val="20"/>
              </w:rPr>
              <w:t>$285,000–$750,000</w:t>
            </w:r>
          </w:p>
        </w:tc>
      </w:tr>
    </w:tbl>
    <w:p/>
    <w:p>
      <w:pPr>
        <w:pStyle w:val="Quote"/>
      </w:pPr>
      <w:r>
        <w:rPr>
          <w:i/>
          <w:sz w:val="22"/>
        </w:rPr>
        <w:t>Note: The 10% cooperative profit share from partner businesses is classified as "program service revenue" (related business income) — not unrelated business income — because it directly furthers the charitable mission.</w:t>
      </w:r>
    </w:p>
    <w:p>
      <w:pPr>
        <w:pBdr>
          <w:bottom w:val="single" w:sz="6" w:space="1" w:color="AAAAAA"/>
        </w:pBdr>
      </w:pPr>
    </w:p>
    <w:p>
      <w:pPr>
        <w:pStyle w:val="Heading2"/>
      </w:pPr>
      <w:r>
        <w:rPr>
          <w:color w:val="1F3A5F"/>
        </w:rPr>
        <w:t>Grant Targets — Priority Applications</w:t>
      </w:r>
    </w:p>
    <w:p>
      <w:pPr>
        <w:pStyle w:val="Heading3"/>
      </w:pPr>
      <w:r>
        <w:t>Tier 1: High Fit (Apply Immediately)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color="auto" w:val="clear"/>
          </w:tcPr>
          <w:p>
            <w:r>
              <w:rPr>
                <w:b/>
                <w:color w:val="FFFFFF"/>
                <w:sz w:val="20"/>
              </w:rPr>
              <w:t>Grant</w:t>
            </w:r>
          </w:p>
        </w:tc>
        <w:tc>
          <w:tcPr>
            <w:tcW w:type="dxa" w:w="2160"/>
            <w:shd w:fill="1F3A5F" w:color="auto" w:val="clear"/>
          </w:tcPr>
          <w:p>
            <w:r>
              <w:rPr>
                <w:b/>
                <w:color w:val="FFFFFF"/>
                <w:sz w:val="20"/>
              </w:rPr>
              <w:t>Agency</w:t>
            </w:r>
          </w:p>
        </w:tc>
        <w:tc>
          <w:tcPr>
            <w:tcW w:type="dxa" w:w="2160"/>
            <w:shd w:fill="1F3A5F" w:color="auto" w:val="clear"/>
          </w:tcPr>
          <w:p>
            <w:r>
              <w:rPr>
                <w:b/>
                <w:color w:val="FFFFFF"/>
                <w:sz w:val="20"/>
              </w:rPr>
              <w:t>Amount</w:t>
            </w:r>
          </w:p>
        </w:tc>
        <w:tc>
          <w:tcPr>
            <w:tcW w:type="dxa" w:w="2160"/>
            <w:shd w:fill="1F3A5F" w:color="auto" w:val="clear"/>
          </w:tcPr>
          <w:p>
            <w:r>
              <w:rPr>
                <w:b/>
                <w:color w:val="FFFFFF"/>
                <w:sz w:val="20"/>
              </w:rPr>
              <w:t>Fit</w:t>
            </w:r>
          </w:p>
        </w:tc>
      </w:tr>
      <w:tr>
        <w:tc>
          <w:tcPr>
            <w:tcW w:type="dxa" w:w="2160"/>
          </w:tcPr>
          <w:p>
            <w:r>
              <w:rPr>
                <w:sz w:val="20"/>
              </w:rPr>
              <w:t>Build to Scale (B2S)</w:t>
            </w:r>
          </w:p>
        </w:tc>
        <w:tc>
          <w:tcPr>
            <w:tcW w:type="dxa" w:w="2160"/>
          </w:tcPr>
          <w:p>
            <w:r>
              <w:rPr>
                <w:sz w:val="20"/>
              </w:rPr>
              <w:t>EDA</w:t>
            </w:r>
          </w:p>
        </w:tc>
        <w:tc>
          <w:tcPr>
            <w:tcW w:type="dxa" w:w="2160"/>
          </w:tcPr>
          <w:p>
            <w:r>
              <w:rPr>
                <w:sz w:val="20"/>
              </w:rPr>
              <w:t>$100K–$1.5M</w:t>
            </w:r>
          </w:p>
        </w:tc>
        <w:tc>
          <w:tcPr>
            <w:tcW w:type="dxa" w:w="2160"/>
          </w:tcPr>
          <w:p>
            <w:r>
              <w:rPr>
                <w:sz w:val="20"/>
              </w:rPr>
              <w:t>Startup ecosystem building, business incubation</w:t>
            </w:r>
          </w:p>
        </w:tc>
      </w:tr>
      <w:tr>
        <w:tc>
          <w:tcPr>
            <w:tcW w:type="dxa" w:w="2160"/>
          </w:tcPr>
          <w:p>
            <w:r>
              <w:rPr>
                <w:sz w:val="20"/>
              </w:rPr>
              <w:t>PRIME (Program for Investment in Micro-Entrepreneurs)</w:t>
            </w:r>
          </w:p>
        </w:tc>
        <w:tc>
          <w:tcPr>
            <w:tcW w:type="dxa" w:w="2160"/>
          </w:tcPr>
          <w:p>
            <w:r>
              <w:rPr>
                <w:sz w:val="20"/>
              </w:rPr>
              <w:t>SBA</w:t>
            </w:r>
          </w:p>
        </w:tc>
        <w:tc>
          <w:tcPr>
            <w:tcW w:type="dxa" w:w="2160"/>
          </w:tcPr>
          <w:p>
            <w:r>
              <w:rPr>
                <w:sz w:val="20"/>
              </w:rPr>
              <w:t>$50K–$250K</w:t>
            </w:r>
          </w:p>
        </w:tc>
        <w:tc>
          <w:tcPr>
            <w:tcW w:type="dxa" w:w="2160"/>
          </w:tcPr>
          <w:p>
            <w:r>
              <w:rPr>
                <w:sz w:val="20"/>
              </w:rPr>
              <w:t>Training and TA for disadvantaged micro-entrepreneurs</w:t>
            </w:r>
          </w:p>
        </w:tc>
      </w:tr>
      <w:tr>
        <w:tc>
          <w:tcPr>
            <w:tcW w:type="dxa" w:w="2160"/>
          </w:tcPr>
          <w:p>
            <w:r>
              <w:rPr>
                <w:sz w:val="20"/>
              </w:rPr>
              <w:t>Minority Business Development Grants</w:t>
            </w:r>
          </w:p>
        </w:tc>
        <w:tc>
          <w:tcPr>
            <w:tcW w:type="dxa" w:w="2160"/>
          </w:tcPr>
          <w:p>
            <w:r>
              <w:rPr>
                <w:sz w:val="20"/>
              </w:rPr>
              <w:t>MBDA</w:t>
            </w:r>
          </w:p>
        </w:tc>
        <w:tc>
          <w:tcPr>
            <w:tcW w:type="dxa" w:w="2160"/>
          </w:tcPr>
          <w:p>
            <w:r>
              <w:rPr>
                <w:sz w:val="20"/>
              </w:rPr>
              <w:t>$50K–$300K</w:t>
            </w:r>
          </w:p>
        </w:tc>
        <w:tc>
          <w:tcPr>
            <w:tcW w:type="dxa" w:w="2160"/>
          </w:tcPr>
          <w:p>
            <w:r>
              <w:rPr>
                <w:sz w:val="20"/>
              </w:rPr>
              <w:t>Minority business technical assistance</w:t>
            </w:r>
          </w:p>
        </w:tc>
      </w:tr>
      <w:tr>
        <w:tc>
          <w:tcPr>
            <w:tcW w:type="dxa" w:w="2160"/>
          </w:tcPr>
          <w:p>
            <w:r>
              <w:rPr>
                <w:sz w:val="20"/>
              </w:rPr>
              <w:t>NC IDEA SEED</w:t>
            </w:r>
          </w:p>
        </w:tc>
        <w:tc>
          <w:tcPr>
            <w:tcW w:type="dxa" w:w="2160"/>
          </w:tcPr>
          <w:p>
            <w:r>
              <w:rPr>
                <w:sz w:val="20"/>
              </w:rPr>
              <w:t>NC IDEA Foundation</w:t>
            </w:r>
          </w:p>
        </w:tc>
        <w:tc>
          <w:tcPr>
            <w:tcW w:type="dxa" w:w="2160"/>
          </w:tcPr>
          <w:p>
            <w:r>
              <w:rPr>
                <w:sz w:val="20"/>
              </w:rPr>
              <w:t>$50K</w:t>
            </w:r>
          </w:p>
        </w:tc>
        <w:tc>
          <w:tcPr>
            <w:tcW w:type="dxa" w:w="2160"/>
          </w:tcPr>
          <w:p>
            <w:r>
              <w:rPr>
                <w:sz w:val="20"/>
              </w:rPr>
              <w:t>NC-based startups and entrepreneurship programs</w:t>
            </w:r>
          </w:p>
        </w:tc>
      </w:tr>
      <w:tr>
        <w:tc>
          <w:tcPr>
            <w:tcW w:type="dxa" w:w="2160"/>
          </w:tcPr>
          <w:p>
            <w:r>
              <w:rPr>
                <w:sz w:val="20"/>
              </w:rPr>
              <w:t>HBCU Founders Initiative</w:t>
            </w:r>
          </w:p>
        </w:tc>
        <w:tc>
          <w:tcPr>
            <w:tcW w:type="dxa" w:w="2160"/>
          </w:tcPr>
          <w:p>
            <w:r>
              <w:rPr>
                <w:sz w:val="20"/>
              </w:rPr>
              <w:t>HBCUFI</w:t>
            </w:r>
          </w:p>
        </w:tc>
        <w:tc>
          <w:tcPr>
            <w:tcW w:type="dxa" w:w="2160"/>
          </w:tcPr>
          <w:p>
            <w:r>
              <w:rPr>
                <w:sz w:val="20"/>
              </w:rPr>
              <w:t>Varies</w:t>
            </w:r>
          </w:p>
        </w:tc>
        <w:tc>
          <w:tcPr>
            <w:tcW w:type="dxa" w:w="2160"/>
          </w:tcPr>
          <w:p>
            <w:r>
              <w:rPr>
                <w:sz w:val="20"/>
              </w:rPr>
              <w:t>HBCU-affiliated tech entrepreneurship</w:t>
            </w:r>
          </w:p>
        </w:tc>
      </w:tr>
      <w:tr>
        <w:tc>
          <w:tcPr>
            <w:tcW w:type="dxa" w:w="2160"/>
          </w:tcPr>
          <w:p>
            <w:r>
              <w:rPr>
                <w:sz w:val="20"/>
              </w:rPr>
              <w:t>Black Ambition Prize</w:t>
            </w:r>
          </w:p>
        </w:tc>
        <w:tc>
          <w:tcPr>
            <w:tcW w:type="dxa" w:w="2160"/>
          </w:tcPr>
          <w:p>
            <w:r>
              <w:rPr>
                <w:sz w:val="20"/>
              </w:rPr>
              <w:t>Black Ambition</w:t>
            </w:r>
          </w:p>
        </w:tc>
        <w:tc>
          <w:tcPr>
            <w:tcW w:type="dxa" w:w="2160"/>
          </w:tcPr>
          <w:p>
            <w:r>
              <w:rPr>
                <w:sz w:val="20"/>
              </w:rPr>
              <w:t>Up to $1M</w:t>
            </w:r>
          </w:p>
        </w:tc>
        <w:tc>
          <w:tcPr>
            <w:tcW w:type="dxa" w:w="2160"/>
          </w:tcPr>
          <w:p>
            <w:r>
              <w:rPr>
                <w:sz w:val="20"/>
              </w:rPr>
              <w:t>Underrepresented entrepreneurs</w:t>
            </w:r>
          </w:p>
        </w:tc>
      </w:tr>
    </w:tbl>
    <w:p/>
    <w:p>
      <w:pPr>
        <w:pStyle w:val="Heading3"/>
      </w:pPr>
      <w:r>
        <w:t>Tier 2: Strong Fit (Apply Year 1)</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color="auto" w:val="clear"/>
          </w:tcPr>
          <w:p>
            <w:r>
              <w:rPr>
                <w:b/>
                <w:color w:val="FFFFFF"/>
                <w:sz w:val="20"/>
              </w:rPr>
              <w:t>Grant</w:t>
            </w:r>
          </w:p>
        </w:tc>
        <w:tc>
          <w:tcPr>
            <w:tcW w:type="dxa" w:w="2160"/>
            <w:shd w:fill="1F3A5F" w:color="auto" w:val="clear"/>
          </w:tcPr>
          <w:p>
            <w:r>
              <w:rPr>
                <w:b/>
                <w:color w:val="FFFFFF"/>
                <w:sz w:val="20"/>
              </w:rPr>
              <w:t>Agency</w:t>
            </w:r>
          </w:p>
        </w:tc>
        <w:tc>
          <w:tcPr>
            <w:tcW w:type="dxa" w:w="2160"/>
            <w:shd w:fill="1F3A5F" w:color="auto" w:val="clear"/>
          </w:tcPr>
          <w:p>
            <w:r>
              <w:rPr>
                <w:b/>
                <w:color w:val="FFFFFF"/>
                <w:sz w:val="20"/>
              </w:rPr>
              <w:t>Amount</w:t>
            </w:r>
          </w:p>
        </w:tc>
        <w:tc>
          <w:tcPr>
            <w:tcW w:type="dxa" w:w="2160"/>
            <w:shd w:fill="1F3A5F" w:color="auto" w:val="clear"/>
          </w:tcPr>
          <w:p>
            <w:r>
              <w:rPr>
                <w:b/>
                <w:color w:val="FFFFFF"/>
                <w:sz w:val="20"/>
              </w:rPr>
              <w:t>Fit</w:t>
            </w:r>
          </w:p>
        </w:tc>
      </w:tr>
      <w:tr>
        <w:tc>
          <w:tcPr>
            <w:tcW w:type="dxa" w:w="2160"/>
          </w:tcPr>
          <w:p>
            <w:r>
              <w:rPr>
                <w:sz w:val="20"/>
              </w:rPr>
              <w:t>Public Works &amp; EAA</w:t>
            </w:r>
          </w:p>
        </w:tc>
        <w:tc>
          <w:tcPr>
            <w:tcW w:type="dxa" w:w="2160"/>
          </w:tcPr>
          <w:p>
            <w:r>
              <w:rPr>
                <w:sz w:val="20"/>
              </w:rPr>
              <w:t>EDA</w:t>
            </w:r>
          </w:p>
        </w:tc>
        <w:tc>
          <w:tcPr>
            <w:tcW w:type="dxa" w:w="2160"/>
          </w:tcPr>
          <w:p>
            <w:r>
              <w:rPr>
                <w:sz w:val="20"/>
              </w:rPr>
              <w:t>$100K–$3M</w:t>
            </w:r>
          </w:p>
        </w:tc>
        <w:tc>
          <w:tcPr>
            <w:tcW w:type="dxa" w:w="2160"/>
          </w:tcPr>
          <w:p>
            <w:r>
              <w:rPr>
                <w:sz w:val="20"/>
              </w:rPr>
              <w:t>Business incubator infrastructure</w:t>
            </w:r>
          </w:p>
        </w:tc>
      </w:tr>
      <w:tr>
        <w:tc>
          <w:tcPr>
            <w:tcW w:type="dxa" w:w="2160"/>
          </w:tcPr>
          <w:p>
            <w:r>
              <w:rPr>
                <w:sz w:val="20"/>
              </w:rPr>
              <w:t>Nex Cubed HBCU Accelerator</w:t>
            </w:r>
          </w:p>
        </w:tc>
        <w:tc>
          <w:tcPr>
            <w:tcW w:type="dxa" w:w="2160"/>
          </w:tcPr>
          <w:p>
            <w:r>
              <w:rPr>
                <w:sz w:val="20"/>
              </w:rPr>
              <w:t>Nex Cubed</w:t>
            </w:r>
          </w:p>
        </w:tc>
        <w:tc>
          <w:tcPr>
            <w:tcW w:type="dxa" w:w="2160"/>
          </w:tcPr>
          <w:p>
            <w:r>
              <w:rPr>
                <w:sz w:val="20"/>
              </w:rPr>
              <w:t>$120K+</w:t>
            </w:r>
          </w:p>
        </w:tc>
        <w:tc>
          <w:tcPr>
            <w:tcW w:type="dxa" w:w="2160"/>
          </w:tcPr>
          <w:p>
            <w:r>
              <w:rPr>
                <w:sz w:val="20"/>
              </w:rPr>
              <w:t>HBCU-led startups</w:t>
            </w:r>
          </w:p>
        </w:tc>
      </w:tr>
      <w:tr>
        <w:tc>
          <w:tcPr>
            <w:tcW w:type="dxa" w:w="2160"/>
          </w:tcPr>
          <w:p>
            <w:r>
              <w:rPr>
                <w:sz w:val="20"/>
              </w:rPr>
              <w:t>NAACP Powershift Grant</w:t>
            </w:r>
          </w:p>
        </w:tc>
        <w:tc>
          <w:tcPr>
            <w:tcW w:type="dxa" w:w="2160"/>
          </w:tcPr>
          <w:p>
            <w:r>
              <w:rPr>
                <w:sz w:val="20"/>
              </w:rPr>
              <w:t>NAACP</w:t>
            </w:r>
          </w:p>
        </w:tc>
        <w:tc>
          <w:tcPr>
            <w:tcW w:type="dxa" w:w="2160"/>
          </w:tcPr>
          <w:p>
            <w:r>
              <w:rPr>
                <w:sz w:val="20"/>
              </w:rPr>
              <w:t>$25K</w:t>
            </w:r>
          </w:p>
        </w:tc>
        <w:tc>
          <w:tcPr>
            <w:tcW w:type="dxa" w:w="2160"/>
          </w:tcPr>
          <w:p>
            <w:r>
              <w:rPr>
                <w:sz w:val="20"/>
              </w:rPr>
              <w:t>Black-owned business support</w:t>
            </w:r>
          </w:p>
        </w:tc>
      </w:tr>
      <w:tr>
        <w:tc>
          <w:tcPr>
            <w:tcW w:type="dxa" w:w="2160"/>
          </w:tcPr>
          <w:p>
            <w:r>
              <w:rPr>
                <w:sz w:val="20"/>
              </w:rPr>
              <w:t>Galaxy Grants</w:t>
            </w:r>
          </w:p>
        </w:tc>
        <w:tc>
          <w:tcPr>
            <w:tcW w:type="dxa" w:w="2160"/>
          </w:tcPr>
          <w:p>
            <w:r>
              <w:rPr>
                <w:sz w:val="20"/>
              </w:rPr>
              <w:t>Hidden Star</w:t>
            </w:r>
          </w:p>
        </w:tc>
        <w:tc>
          <w:tcPr>
            <w:tcW w:type="dxa" w:w="2160"/>
          </w:tcPr>
          <w:p>
            <w:r>
              <w:rPr>
                <w:sz w:val="20"/>
              </w:rPr>
              <w:t>$2,950/quarter</w:t>
            </w:r>
          </w:p>
        </w:tc>
        <w:tc>
          <w:tcPr>
            <w:tcW w:type="dxa" w:w="2160"/>
          </w:tcPr>
          <w:p>
            <w:r>
              <w:rPr>
                <w:sz w:val="20"/>
              </w:rPr>
              <w:t>Minority/women-owned businesses</w:t>
            </w:r>
          </w:p>
        </w:tc>
      </w:tr>
      <w:tr>
        <w:tc>
          <w:tcPr>
            <w:tcW w:type="dxa" w:w="2160"/>
          </w:tcPr>
          <w:p>
            <w:r>
              <w:rPr>
                <w:sz w:val="20"/>
              </w:rPr>
              <w:t>Google for Startups</w:t>
            </w:r>
          </w:p>
        </w:tc>
        <w:tc>
          <w:tcPr>
            <w:tcW w:type="dxa" w:w="2160"/>
          </w:tcPr>
          <w:p>
            <w:r>
              <w:rPr>
                <w:sz w:val="20"/>
              </w:rPr>
              <w:t>Google</w:t>
            </w:r>
          </w:p>
        </w:tc>
        <w:tc>
          <w:tcPr>
            <w:tcW w:type="dxa" w:w="2160"/>
          </w:tcPr>
          <w:p>
            <w:r>
              <w:rPr>
                <w:sz w:val="20"/>
              </w:rPr>
              <w:t>Varies</w:t>
            </w:r>
          </w:p>
        </w:tc>
        <w:tc>
          <w:tcPr>
            <w:tcW w:type="dxa" w:w="2160"/>
          </w:tcPr>
          <w:p>
            <w:r>
              <w:rPr>
                <w:sz w:val="20"/>
              </w:rPr>
              <w:t>Tech-enabled entrepreneurship</w:t>
            </w:r>
          </w:p>
        </w:tc>
      </w:tr>
      <w:tr>
        <w:tc>
          <w:tcPr>
            <w:tcW w:type="dxa" w:w="2160"/>
          </w:tcPr>
          <w:p>
            <w:r>
              <w:rPr>
                <w:sz w:val="20"/>
              </w:rPr>
              <w:t>Kauffman Foundation</w:t>
            </w:r>
          </w:p>
        </w:tc>
        <w:tc>
          <w:tcPr>
            <w:tcW w:type="dxa" w:w="2160"/>
          </w:tcPr>
          <w:p>
            <w:r>
              <w:rPr>
                <w:sz w:val="20"/>
              </w:rPr>
              <w:t>Kauffman</w:t>
            </w:r>
          </w:p>
        </w:tc>
        <w:tc>
          <w:tcPr>
            <w:tcW w:type="dxa" w:w="2160"/>
          </w:tcPr>
          <w:p>
            <w:r>
              <w:rPr>
                <w:sz w:val="20"/>
              </w:rPr>
              <w:t>Varies</w:t>
            </w:r>
          </w:p>
        </w:tc>
        <w:tc>
          <w:tcPr>
            <w:tcW w:type="dxa" w:w="2160"/>
          </w:tcPr>
          <w:p>
            <w:r>
              <w:rPr>
                <w:sz w:val="20"/>
              </w:rPr>
              <w:t>Entrepreneurship research and programs</w:t>
            </w:r>
          </w:p>
        </w:tc>
      </w:tr>
    </w:tbl>
    <w:p/>
    <w:p>
      <w:pPr>
        <w:pStyle w:val="Heading3"/>
      </w:pPr>
      <w:r>
        <w:t>Tier 3: Strategic (Apply Year 2+)</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color="auto" w:val="clear"/>
          </w:tcPr>
          <w:p>
            <w:r>
              <w:rPr>
                <w:b/>
                <w:color w:val="FFFFFF"/>
                <w:sz w:val="20"/>
              </w:rPr>
              <w:t>Grant</w:t>
            </w:r>
          </w:p>
        </w:tc>
        <w:tc>
          <w:tcPr>
            <w:tcW w:type="dxa" w:w="2160"/>
            <w:shd w:fill="1F3A5F" w:color="auto" w:val="clear"/>
          </w:tcPr>
          <w:p>
            <w:r>
              <w:rPr>
                <w:b/>
                <w:color w:val="FFFFFF"/>
                <w:sz w:val="20"/>
              </w:rPr>
              <w:t>Agency</w:t>
            </w:r>
          </w:p>
        </w:tc>
        <w:tc>
          <w:tcPr>
            <w:tcW w:type="dxa" w:w="2160"/>
            <w:shd w:fill="1F3A5F" w:color="auto" w:val="clear"/>
          </w:tcPr>
          <w:p>
            <w:r>
              <w:rPr>
                <w:b/>
                <w:color w:val="FFFFFF"/>
                <w:sz w:val="20"/>
              </w:rPr>
              <w:t>Amount</w:t>
            </w:r>
          </w:p>
        </w:tc>
        <w:tc>
          <w:tcPr>
            <w:tcW w:type="dxa" w:w="2160"/>
            <w:shd w:fill="1F3A5F" w:color="auto" w:val="clear"/>
          </w:tcPr>
          <w:p>
            <w:r>
              <w:rPr>
                <w:b/>
                <w:color w:val="FFFFFF"/>
                <w:sz w:val="20"/>
              </w:rPr>
              <w:t>Fit</w:t>
            </w:r>
          </w:p>
        </w:tc>
      </w:tr>
      <w:tr>
        <w:tc>
          <w:tcPr>
            <w:tcW w:type="dxa" w:w="2160"/>
          </w:tcPr>
          <w:p>
            <w:r>
              <w:rPr>
                <w:sz w:val="20"/>
              </w:rPr>
              <w:t>Tech Hubs</w:t>
            </w:r>
          </w:p>
        </w:tc>
        <w:tc>
          <w:tcPr>
            <w:tcW w:type="dxa" w:w="2160"/>
          </w:tcPr>
          <w:p>
            <w:r>
              <w:rPr>
                <w:sz w:val="20"/>
              </w:rPr>
              <w:t>EDA</w:t>
            </w:r>
          </w:p>
        </w:tc>
        <w:tc>
          <w:tcPr>
            <w:tcW w:type="dxa" w:w="2160"/>
          </w:tcPr>
          <w:p>
            <w:r>
              <w:rPr>
                <w:sz w:val="20"/>
              </w:rPr>
              <w:t>$500K–$75M</w:t>
            </w:r>
          </w:p>
        </w:tc>
        <w:tc>
          <w:tcPr>
            <w:tcW w:type="dxa" w:w="2160"/>
          </w:tcPr>
          <w:p>
            <w:r>
              <w:rPr>
                <w:sz w:val="20"/>
              </w:rPr>
              <w:t>Regional technology and innovation</w:t>
            </w:r>
          </w:p>
        </w:tc>
      </w:tr>
      <w:tr>
        <w:tc>
          <w:tcPr>
            <w:tcW w:type="dxa" w:w="2160"/>
          </w:tcPr>
          <w:p>
            <w:r>
              <w:rPr>
                <w:sz w:val="20"/>
              </w:rPr>
              <w:t>Digital Equity Grants</w:t>
            </w:r>
          </w:p>
        </w:tc>
        <w:tc>
          <w:tcPr>
            <w:tcW w:type="dxa" w:w="2160"/>
          </w:tcPr>
          <w:p>
            <w:r>
              <w:rPr>
                <w:sz w:val="20"/>
              </w:rPr>
              <w:t>NTIA</w:t>
            </w:r>
          </w:p>
        </w:tc>
        <w:tc>
          <w:tcPr>
            <w:tcW w:type="dxa" w:w="2160"/>
          </w:tcPr>
          <w:p>
            <w:r>
              <w:rPr>
                <w:sz w:val="20"/>
              </w:rPr>
              <w:t>Varies</w:t>
            </w:r>
          </w:p>
        </w:tc>
        <w:tc>
          <w:tcPr>
            <w:tcW w:type="dxa" w:w="2160"/>
          </w:tcPr>
          <w:p>
            <w:r>
              <w:rPr>
                <w:sz w:val="20"/>
              </w:rPr>
              <w:t>Digital inclusion and infrastructure</w:t>
            </w:r>
          </w:p>
        </w:tc>
      </w:tr>
      <w:tr>
        <w:tc>
          <w:tcPr>
            <w:tcW w:type="dxa" w:w="2160"/>
          </w:tcPr>
          <w:p>
            <w:r>
              <w:rPr>
                <w:sz w:val="20"/>
              </w:rPr>
              <w:t>Rural Business Development</w:t>
            </w:r>
          </w:p>
        </w:tc>
        <w:tc>
          <w:tcPr>
            <w:tcW w:type="dxa" w:w="2160"/>
          </w:tcPr>
          <w:p>
            <w:r>
              <w:rPr>
                <w:sz w:val="20"/>
              </w:rPr>
              <w:t>USDA</w:t>
            </w:r>
          </w:p>
        </w:tc>
        <w:tc>
          <w:tcPr>
            <w:tcW w:type="dxa" w:w="2160"/>
          </w:tcPr>
          <w:p>
            <w:r>
              <w:rPr>
                <w:sz w:val="20"/>
              </w:rPr>
              <w:t>$10K–$500K</w:t>
            </w:r>
          </w:p>
        </w:tc>
        <w:tc>
          <w:tcPr>
            <w:tcW w:type="dxa" w:w="2160"/>
          </w:tcPr>
          <w:p>
            <w:r>
              <w:rPr>
                <w:sz w:val="20"/>
              </w:rPr>
              <w:t>Rural business technical assistance</w:t>
            </w:r>
          </w:p>
        </w:tc>
      </w:tr>
      <w:tr>
        <w:tc>
          <w:tcPr>
            <w:tcW w:type="dxa" w:w="2160"/>
          </w:tcPr>
          <w:p>
            <w:r>
              <w:rPr>
                <w:sz w:val="20"/>
              </w:rPr>
              <w:t>Venture for THEM</w:t>
            </w:r>
          </w:p>
        </w:tc>
        <w:tc>
          <w:tcPr>
            <w:tcW w:type="dxa" w:w="2160"/>
          </w:tcPr>
          <w:p>
            <w:r>
              <w:rPr>
                <w:sz w:val="20"/>
              </w:rPr>
              <w:t>Venture for THEM</w:t>
            </w:r>
          </w:p>
        </w:tc>
        <w:tc>
          <w:tcPr>
            <w:tcW w:type="dxa" w:w="2160"/>
          </w:tcPr>
          <w:p>
            <w:r>
              <w:rPr>
                <w:sz w:val="20"/>
              </w:rPr>
              <w:t>Varies</w:t>
            </w:r>
          </w:p>
        </w:tc>
        <w:tc>
          <w:tcPr>
            <w:tcW w:type="dxa" w:w="2160"/>
          </w:tcPr>
          <w:p>
            <w:r>
              <w:rPr>
                <w:sz w:val="20"/>
              </w:rPr>
              <w:t>HBCU entrepreneur accelerator</w:t>
            </w:r>
          </w:p>
        </w:tc>
      </w:tr>
    </w:tbl>
    <w:p/>
    <w:p>
      <w:pPr>
        <w:pBdr>
          <w:bottom w:val="single" w:sz="6" w:space="1" w:color="AAAAAA"/>
        </w:pBdr>
      </w:pPr>
    </w:p>
    <w:p>
      <w:pPr>
        <w:pStyle w:val="Heading2"/>
      </w:pPr>
      <w:r>
        <w:rPr>
          <w:color w:val="1F3A5F"/>
        </w:rPr>
        <w:t>The Hybrid Structure: How Nonprofit + For-Profit Work Together</w:t>
      </w:r>
    </w:p>
    <w:p>
      <w:pPr>
        <w:ind w:left="576"/>
      </w:pPr>
      <w:r>
        <w:rPr>
          <w:rFonts w:ascii="Courier New" w:hAnsi="Courier New"/>
          <w:color w:val="333333"/>
          <w:sz w:val="18"/>
        </w:rPr>
        <w:t>┌─────────────────────────────────────────────────────────────────┐</w:t>
        <w:br/>
      </w:r>
      <w:r>
        <w:rPr>
          <w:rFonts w:ascii="Courier New" w:hAnsi="Courier New"/>
          <w:color w:val="333333"/>
          <w:sz w:val="18"/>
        </w:rPr>
        <w:t>│                       THINK VENTURES                            │</w:t>
        <w:br/>
      </w:r>
      <w:r>
        <w:rPr>
          <w:rFonts w:ascii="Courier New" w:hAnsi="Courier New"/>
          <w:color w:val="333333"/>
          <w:sz w:val="18"/>
        </w:rPr>
        <w:t>│                        501(c)(3) Nonprofit                       │</w:t>
        <w:br/>
      </w:r>
      <w:r>
        <w:rPr>
          <w:rFonts w:ascii="Courier New" w:hAnsi="Courier New"/>
          <w:color w:val="333333"/>
          <w:sz w:val="18"/>
        </w:rPr>
        <w:t>│                                                                  │</w:t>
        <w:br/>
      </w:r>
      <w:r>
        <w:rPr>
          <w:rFonts w:ascii="Courier New" w:hAnsi="Courier New"/>
          <w:color w:val="333333"/>
          <w:sz w:val="18"/>
        </w:rPr>
        <w:t>│  • Applies for grants                                            │</w:t>
        <w:br/>
      </w:r>
      <w:r>
        <w:rPr>
          <w:rFonts w:ascii="Courier New" w:hAnsi="Courier New"/>
          <w:color w:val="333333"/>
          <w:sz w:val="18"/>
        </w:rPr>
        <w:t>│  • Recruits entrepreneurs                                        │</w:t>
        <w:br/>
      </w:r>
      <w:r>
        <w:rPr>
          <w:rFonts w:ascii="Courier New" w:hAnsi="Courier New"/>
          <w:color w:val="333333"/>
          <w:sz w:val="18"/>
        </w:rPr>
        <w:t>│  • Runs workshops and programs                                   │</w:t>
        <w:br/>
      </w:r>
      <w:r>
        <w:rPr>
          <w:rFonts w:ascii="Courier New" w:hAnsi="Courier New"/>
          <w:color w:val="333333"/>
          <w:sz w:val="18"/>
        </w:rPr>
        <w:t>│  • Measures social impact                                        │</w:t>
        <w:br/>
      </w:r>
      <w:r>
        <w:rPr>
          <w:rFonts w:ascii="Courier New" w:hAnsi="Courier New"/>
          <w:color w:val="333333"/>
          <w:sz w:val="18"/>
        </w:rPr>
        <w:t>│  • Issues tax-deductible donation receipts                       │</w:t>
        <w:br/>
      </w:r>
      <w:r>
        <w:rPr>
          <w:rFonts w:ascii="Courier New" w:hAnsi="Courier New"/>
          <w:color w:val="333333"/>
          <w:sz w:val="18"/>
        </w:rPr>
        <w:t>│  • Owns the cooperative partnership agreements                   │</w:t>
        <w:br/>
      </w:r>
      <w:r>
        <w:rPr>
          <w:rFonts w:ascii="Courier New" w:hAnsi="Courier New"/>
          <w:color w:val="333333"/>
          <w:sz w:val="18"/>
        </w:rPr>
        <w:t>│                                                                  │</w:t>
        <w:br/>
      </w:r>
      <w:r>
        <w:rPr>
          <w:rFonts w:ascii="Courier New" w:hAnsi="Courier New"/>
          <w:color w:val="333333"/>
          <w:sz w:val="18"/>
        </w:rPr>
        <w:t>│              ┌──────────────────────────────┐                    │</w:t>
        <w:br/>
      </w:r>
      <w:r>
        <w:rPr>
          <w:rFonts w:ascii="Courier New" w:hAnsi="Courier New"/>
          <w:color w:val="333333"/>
          <w:sz w:val="18"/>
        </w:rPr>
        <w:t>│              │   CONTRACTED SERVICES         │                    │</w:t>
        <w:br/>
      </w:r>
      <w:r>
        <w:rPr>
          <w:rFonts w:ascii="Courier New" w:hAnsi="Courier New"/>
          <w:color w:val="333333"/>
          <w:sz w:val="18"/>
        </w:rPr>
        <w:t>│              │   (Fair Market Value)          │                    │</w:t>
        <w:br/>
      </w:r>
      <w:r>
        <w:rPr>
          <w:rFonts w:ascii="Courier New" w:hAnsi="Courier New"/>
          <w:color w:val="333333"/>
          <w:sz w:val="18"/>
        </w:rPr>
        <w:t>│              └──────────┬───────────────────┘                    │</w:t>
        <w:br/>
      </w:r>
      <w:r>
        <w:rPr>
          <w:rFonts w:ascii="Courier New" w:hAnsi="Courier New"/>
          <w:color w:val="333333"/>
          <w:sz w:val="18"/>
        </w:rPr>
        <w:t>│                         │                                        │</w:t>
        <w:br/>
      </w:r>
      <w:r>
        <w:rPr>
          <w:rFonts w:ascii="Courier New" w:hAnsi="Courier New"/>
          <w:color w:val="333333"/>
          <w:sz w:val="18"/>
        </w:rPr>
        <w:t>└─────────────────────────┼────────────────────────────────────────┘</w:t>
        <w:br/>
      </w:r>
      <w:r>
        <w:rPr>
          <w:rFonts w:ascii="Courier New" w:hAnsi="Courier New"/>
          <w:color w:val="333333"/>
          <w:sz w:val="18"/>
        </w:rPr>
        <w:t xml:space="preserve">                          │</w:t>
        <w:br/>
      </w:r>
      <w:r>
        <w:rPr>
          <w:rFonts w:ascii="Courier New" w:hAnsi="Courier New"/>
          <w:color w:val="333333"/>
          <w:sz w:val="18"/>
        </w:rPr>
        <w:t xml:space="preserve">                          ▼</w:t>
        <w:br/>
      </w:r>
      <w:r>
        <w:rPr>
          <w:rFonts w:ascii="Courier New" w:hAnsi="Courier New"/>
          <w:color w:val="333333"/>
          <w:sz w:val="18"/>
        </w:rPr>
        <w:t>┌─────────────────────────────────────────────────────────────────┐</w:t>
        <w:br/>
      </w:r>
      <w:r>
        <w:rPr>
          <w:rFonts w:ascii="Courier New" w:hAnsi="Courier New"/>
          <w:color w:val="333333"/>
          <w:sz w:val="18"/>
        </w:rPr>
        <w:t>│               THINK! DESIGN &amp; PLANNING, LLC                      │</w:t>
        <w:br/>
      </w:r>
      <w:r>
        <w:rPr>
          <w:rFonts w:ascii="Courier New" w:hAnsi="Courier New"/>
          <w:color w:val="333333"/>
          <w:sz w:val="18"/>
        </w:rPr>
        <w:t>│                      For-Profit Company                          │</w:t>
        <w:br/>
      </w:r>
      <w:r>
        <w:rPr>
          <w:rFonts w:ascii="Courier New" w:hAnsi="Courier New"/>
          <w:color w:val="333333"/>
          <w:sz w:val="18"/>
        </w:rPr>
        <w:t>│                                                                  │</w:t>
        <w:br/>
      </w:r>
      <w:r>
        <w:rPr>
          <w:rFonts w:ascii="Courier New" w:hAnsi="Courier New"/>
          <w:color w:val="333333"/>
          <w:sz w:val="18"/>
        </w:rPr>
        <w:t>│  • Provides technology services (website builds, AI tools)       │</w:t>
        <w:br/>
      </w:r>
      <w:r>
        <w:rPr>
          <w:rFonts w:ascii="Courier New" w:hAnsi="Courier New"/>
          <w:color w:val="333333"/>
          <w:sz w:val="18"/>
        </w:rPr>
        <w:t>│  • Paid at fair market value by the Foundation                   │</w:t>
        <w:br/>
      </w:r>
      <w:r>
        <w:rPr>
          <w:rFonts w:ascii="Courier New" w:hAnsi="Courier New"/>
          <w:color w:val="333333"/>
          <w:sz w:val="18"/>
        </w:rPr>
        <w:t>│  • Also takes direct service clients independently               │</w:t>
        <w:br/>
      </w:r>
      <w:r>
        <w:rPr>
          <w:rFonts w:ascii="Courier New" w:hAnsi="Courier New"/>
          <w:color w:val="333333"/>
          <w:sz w:val="18"/>
        </w:rPr>
        <w:t>│  • Owns proprietary tech (AVA, Gemini integrations)              │</w:t>
        <w:br/>
      </w:r>
      <w:r>
        <w:rPr>
          <w:rFonts w:ascii="Courier New" w:hAnsi="Courier New"/>
          <w:color w:val="333333"/>
          <w:sz w:val="18"/>
        </w:rPr>
        <w:t>│  • Maintains MCP infrastructure and AI tools                     │</w:t>
        <w:br/>
      </w:r>
      <w:r>
        <w:rPr>
          <w:rFonts w:ascii="Courier New" w:hAnsi="Courier New"/>
          <w:color w:val="333333"/>
          <w:sz w:val="18"/>
        </w:rPr>
        <w:t>│                                                                  │</w:t>
        <w:br/>
      </w:r>
      <w:r>
        <w:rPr>
          <w:rFonts w:ascii="Courier New" w:hAnsi="Courier New"/>
          <w:color w:val="333333"/>
          <w:sz w:val="18"/>
        </w:rPr>
        <w:t>└─────────────────────────────────────────────────────────────────┘</w:t>
        <w:br/>
      </w:r>
    </w:p>
    <w:p>
      <w:pPr>
        <w:pStyle w:val="Quote"/>
      </w:pPr>
      <w:r>
        <w:rPr>
          <w:i/>
          <w:sz w:val="22"/>
        </w:rPr>
        <w:t>IRS Compliance Note: The Foundation can contract with Think! Design &amp; Planning for technology services at fair market rates. This is standard practice for nonprofit/for-profit hybrids. The key is that: (1) rates are at or below market, (2) the relationship is disclosed in Form 990, and (3) the board approves the arrangement with documented conflict-of-interest policies.</w:t>
      </w:r>
    </w:p>
    <w:p>
      <w:pPr>
        <w:pBdr>
          <w:bottom w:val="single" w:sz="6" w:space="1" w:color="AAAAAA"/>
        </w:pBdr>
      </w:pPr>
    </w:p>
    <w:p>
      <w:pPr>
        <w:pStyle w:val="Heading2"/>
      </w:pPr>
      <w:r>
        <w:rPr>
          <w:color w:val="1F3A5F"/>
        </w:rPr>
        <w:t>501(c)(3) Filing Roadmap — North Carolina</w:t>
      </w:r>
    </w:p>
    <w:p>
      <w:pPr>
        <w:pStyle w:val="Heading3"/>
      </w:pPr>
      <w:r>
        <w:t>Step 1: Incorporate in NC (Week 1)</w:t>
      </w:r>
    </w:p>
    <w:p>
      <w:pPr>
        <w:pStyle w:val="ListBullet"/>
      </w:pPr>
      <w:r>
        <w:t>[ ] Recruit 3+ unrelated board members</w:t>
      </w:r>
    </w:p>
    <w:p>
      <w:pPr>
        <w:pStyle w:val="ListBullet"/>
      </w:pPr>
      <w:r>
        <w:t>[ ] Draft Articles of Incorporation (Form N-01)</w:t>
      </w:r>
    </w:p>
    <w:p>
      <w:r>
        <w:t xml:space="preserve">  - Include IRS-required charitable purpose language</w:t>
      </w:r>
    </w:p>
    <w:p>
      <w:r>
        <w:t xml:space="preserve">  - Include dissolution clause</w:t>
      </w:r>
    </w:p>
    <w:p>
      <w:r>
        <w:t xml:space="preserve">  - Include political activity restriction</w:t>
      </w:r>
    </w:p>
    <w:p>
      <w:pPr>
        <w:pStyle w:val="ListBullet"/>
      </w:pPr>
      <w:r>
        <w:t>[ ] File with NC Secretary of State — $60 fee</w:t>
      </w:r>
    </w:p>
    <w:p>
      <w:pPr>
        <w:pStyle w:val="ListBullet"/>
      </w:pPr>
      <w:r>
        <w:t>[ ] Appoint registered agent (NC physical address required)</w:t>
      </w:r>
    </w:p>
    <w:p>
      <w:pPr>
        <w:pStyle w:val="Heading3"/>
      </w:pPr>
      <w:r>
        <w:t>Step 2: Organizational Documents (Week 1–2)</w:t>
      </w:r>
    </w:p>
    <w:p>
      <w:pPr>
        <w:pStyle w:val="ListBullet"/>
      </w:pPr>
      <w:r>
        <w:t>[ ] Draft bylaws (not filed, but required by IRS)</w:t>
      </w:r>
    </w:p>
    <w:p>
      <w:pPr>
        <w:pStyle w:val="ListBullet"/>
      </w:pPr>
      <w:r>
        <w:t>[ ] Hold organizational meeting</w:t>
      </w:r>
    </w:p>
    <w:p>
      <w:pPr>
        <w:pStyle w:val="ListBullet"/>
      </w:pPr>
      <w:r>
        <w:t>[ ] Adopt bylaws and elect officers</w:t>
      </w:r>
    </w:p>
    <w:p>
      <w:pPr>
        <w:pStyle w:val="ListBullet"/>
      </w:pPr>
      <w:r>
        <w:t>[ ] Pass resolution to pursue 501(c)(3) status</w:t>
      </w:r>
    </w:p>
    <w:p>
      <w:pPr>
        <w:pStyle w:val="ListBullet"/>
      </w:pPr>
      <w:r>
        <w:t>[ ] Draft conflict of interest policy</w:t>
      </w:r>
    </w:p>
    <w:p>
      <w:pPr>
        <w:pStyle w:val="Heading3"/>
      </w:pPr>
      <w:r>
        <w:t>Step 3: Federal EIN (Week 2)</w:t>
      </w:r>
    </w:p>
    <w:p>
      <w:pPr>
        <w:pStyle w:val="ListBullet"/>
      </w:pPr>
      <w:r>
        <w:t>[ ] Apply online at IRS.gov — Free, immediate</w:t>
      </w:r>
    </w:p>
    <w:p>
      <w:pPr>
        <w:pStyle w:val="ListBullet"/>
      </w:pPr>
      <w:r>
        <w:t>[ ] Open nonprofit bank account with EIN</w:t>
      </w:r>
    </w:p>
    <w:p>
      <w:pPr>
        <w:pStyle w:val="Heading3"/>
      </w:pPr>
      <w:r>
        <w:t>Step 4: IRS 501(c)(3) Application (Week 2–4)</w:t>
      </w:r>
    </w:p>
    <w:p>
      <w:pPr>
        <w:pStyle w:val="ListBullet"/>
      </w:pPr>
      <w:r>
        <w:t>[ ] Determine eligibility for Form 1023-EZ vs. Form 1023</w:t>
      </w:r>
    </w:p>
    <w:p>
      <w:r>
        <w:t xml:space="preserve">  - 1023-EZ: projected gross receipts ≤ $50,000/year — </w:t>
      </w:r>
      <w:r>
        <w:rPr>
          <w:b/>
        </w:rPr>
        <w:t>$275 fee</w:t>
      </w:r>
      <w:r/>
    </w:p>
    <w:p>
      <w:r>
        <w:t xml:space="preserve">  - 1023: projected gross receipts &gt; $50,000/year — </w:t>
      </w:r>
      <w:r>
        <w:rPr>
          <w:b/>
        </w:rPr>
        <w:t>$600 fee</w:t>
      </w:r>
      <w:r/>
    </w:p>
    <w:p>
      <w:pPr>
        <w:pStyle w:val="ListBullet"/>
      </w:pPr>
      <w:r>
        <w:t>[ ] Prepare 3-year financial projections</w:t>
      </w:r>
    </w:p>
    <w:p>
      <w:pPr>
        <w:pStyle w:val="ListBullet"/>
      </w:pPr>
      <w:r>
        <w:t>[ ] Submit application via Pay.gov</w:t>
      </w:r>
    </w:p>
    <w:p>
      <w:pPr>
        <w:pStyle w:val="ListBullet"/>
      </w:pPr>
      <w:r>
        <w:t>[ ] Expected processing: 3–6 months</w:t>
      </w:r>
    </w:p>
    <w:p>
      <w:pPr>
        <w:pStyle w:val="Heading3"/>
      </w:pPr>
      <w:r>
        <w:t>Step 5: NC State Compliance (Month 2–3)</w:t>
      </w:r>
    </w:p>
    <w:p>
      <w:pPr>
        <w:pStyle w:val="ListBullet"/>
      </w:pPr>
      <w:r>
        <w:t>[ ] Apply for NC state tax exemption (NC Dept. of Revenue)</w:t>
      </w:r>
    </w:p>
    <w:p>
      <w:pPr>
        <w:pStyle w:val="ListBullet"/>
      </w:pPr>
      <w:r>
        <w:t>[ ] Register for Charitable Solicitation License (if donations &gt; $25,000)</w:t>
      </w:r>
    </w:p>
    <w:p>
      <w:pPr>
        <w:pStyle w:val="ListBullet"/>
      </w:pPr>
      <w:r>
        <w:t>[ ] Set up annual Form 990 filing calendar</w:t>
      </w:r>
    </w:p>
    <w:p>
      <w:pPr>
        <w:pStyle w:val="Heading3"/>
      </w:pPr>
      <w:r>
        <w:t>Total Startup Costs</w:t>
      </w:r>
    </w:p>
    <w:tbl>
      <w:tblPr>
        <w:tblStyle w:val="TableGrid"/>
        <w:tblW w:type="auto" w:w="0"/>
        <w:tblLook w:firstColumn="1" w:firstRow="1" w:lastColumn="0" w:lastRow="0" w:noHBand="0" w:noVBand="1" w:val="04A0"/>
      </w:tblPr>
      <w:tblGrid>
        <w:gridCol w:w="4320"/>
        <w:gridCol w:w="4320"/>
      </w:tblGrid>
      <w:tr>
        <w:tc>
          <w:tcPr>
            <w:tcW w:type="dxa" w:w="4320"/>
            <w:shd w:fill="1F3A5F" w:color="auto" w:val="clear"/>
          </w:tcPr>
          <w:p>
            <w:r>
              <w:rPr>
                <w:b/>
                <w:color w:val="FFFFFF"/>
                <w:sz w:val="20"/>
              </w:rPr>
              <w:t>Item</w:t>
            </w:r>
          </w:p>
        </w:tc>
        <w:tc>
          <w:tcPr>
            <w:tcW w:type="dxa" w:w="4320"/>
            <w:shd w:fill="1F3A5F" w:color="auto" w:val="clear"/>
          </w:tcPr>
          <w:p>
            <w:r>
              <w:rPr>
                <w:b/>
                <w:color w:val="FFFFFF"/>
                <w:sz w:val="20"/>
              </w:rPr>
              <w:t>Cost</w:t>
            </w:r>
          </w:p>
        </w:tc>
      </w:tr>
      <w:tr>
        <w:tc>
          <w:tcPr>
            <w:tcW w:type="dxa" w:w="4320"/>
          </w:tcPr>
          <w:p>
            <w:r>
              <w:rPr>
                <w:sz w:val="20"/>
              </w:rPr>
              <w:t>NC Articles of Incorporation</w:t>
            </w:r>
          </w:p>
        </w:tc>
        <w:tc>
          <w:tcPr>
            <w:tcW w:type="dxa" w:w="4320"/>
          </w:tcPr>
          <w:p>
            <w:r>
              <w:rPr>
                <w:sz w:val="20"/>
              </w:rPr>
              <w:t>$60</w:t>
            </w:r>
          </w:p>
        </w:tc>
      </w:tr>
      <w:tr>
        <w:tc>
          <w:tcPr>
            <w:tcW w:type="dxa" w:w="4320"/>
          </w:tcPr>
          <w:p>
            <w:r>
              <w:rPr>
                <w:sz w:val="20"/>
              </w:rPr>
              <w:t>IRS Form 1023-EZ</w:t>
            </w:r>
          </w:p>
        </w:tc>
        <w:tc>
          <w:tcPr>
            <w:tcW w:type="dxa" w:w="4320"/>
          </w:tcPr>
          <w:p>
            <w:r>
              <w:rPr>
                <w:sz w:val="20"/>
              </w:rPr>
              <w:t>$275</w:t>
            </w:r>
          </w:p>
        </w:tc>
      </w:tr>
      <w:tr>
        <w:tc>
          <w:tcPr>
            <w:tcW w:type="dxa" w:w="4320"/>
          </w:tcPr>
          <w:p>
            <w:r>
              <w:rPr>
                <w:sz w:val="20"/>
              </w:rPr>
              <w:t>*OR* IRS Form 1023</w:t>
            </w:r>
          </w:p>
        </w:tc>
        <w:tc>
          <w:tcPr>
            <w:tcW w:type="dxa" w:w="4320"/>
          </w:tcPr>
          <w:p>
            <w:r>
              <w:rPr>
                <w:sz w:val="20"/>
              </w:rPr>
              <w:t>$600</w:t>
            </w:r>
          </w:p>
        </w:tc>
      </w:tr>
      <w:tr>
        <w:tc>
          <w:tcPr>
            <w:tcW w:type="dxa" w:w="4320"/>
          </w:tcPr>
          <w:p>
            <w:r>
              <w:rPr>
                <w:sz w:val="20"/>
              </w:rPr>
              <w:t>Legal review (optional, recommended)</w:t>
            </w:r>
          </w:p>
        </w:tc>
        <w:tc>
          <w:tcPr>
            <w:tcW w:type="dxa" w:w="4320"/>
          </w:tcPr>
          <w:p>
            <w:r>
              <w:rPr>
                <w:sz w:val="20"/>
              </w:rPr>
              <w:t>$500–$1,500</w:t>
            </w:r>
          </w:p>
        </w:tc>
      </w:tr>
      <w:tr>
        <w:tc>
          <w:tcPr>
            <w:tcW w:type="dxa" w:w="4320"/>
          </w:tcPr>
          <w:p>
            <w:r>
              <w:rPr>
                <w:sz w:val="20"/>
              </w:rPr>
              <w:t>Total (minimum)</w:t>
            </w:r>
          </w:p>
        </w:tc>
        <w:tc>
          <w:tcPr>
            <w:tcW w:type="dxa" w:w="4320"/>
          </w:tcPr>
          <w:p>
            <w:r>
              <w:rPr>
                <w:sz w:val="20"/>
              </w:rPr>
              <w:t>$335</w:t>
            </w:r>
          </w:p>
        </w:tc>
      </w:tr>
      <w:tr>
        <w:tc>
          <w:tcPr>
            <w:tcW w:type="dxa" w:w="4320"/>
          </w:tcPr>
          <w:p>
            <w:r>
              <w:rPr>
                <w:sz w:val="20"/>
              </w:rPr>
              <w:t>Total (recommended)</w:t>
            </w:r>
          </w:p>
        </w:tc>
        <w:tc>
          <w:tcPr>
            <w:tcW w:type="dxa" w:w="4320"/>
          </w:tcPr>
          <w:p>
            <w:r>
              <w:rPr>
                <w:sz w:val="20"/>
              </w:rPr>
              <w:t>$835–$2,100</w:t>
            </w:r>
          </w:p>
        </w:tc>
      </w:tr>
    </w:tbl>
    <w:p/>
    <w:p>
      <w:pPr>
        <w:pBdr>
          <w:bottom w:val="single" w:sz="6" w:space="1" w:color="AAAAAA"/>
        </w:pBdr>
      </w:pPr>
    </w:p>
    <w:p>
      <w:pPr>
        <w:pStyle w:val="Heading2"/>
      </w:pPr>
      <w:r>
        <w:rPr>
          <w:color w:val="1F3A5F"/>
        </w:rPr>
        <w:t>Impact Metrics (How We Measure Success)</w:t>
      </w:r>
    </w:p>
    <w:tbl>
      <w:tblPr>
        <w:tblStyle w:val="TableGrid"/>
        <w:tblW w:type="auto" w:w="0"/>
        <w:tblLook w:firstColumn="1" w:firstRow="1" w:lastColumn="0" w:lastRow="0" w:noHBand="0" w:noVBand="1" w:val="04A0"/>
      </w:tblPr>
      <w:tblGrid>
        <w:gridCol w:w="2880"/>
        <w:gridCol w:w="2880"/>
        <w:gridCol w:w="2880"/>
      </w:tblGrid>
      <w:tr>
        <w:tc>
          <w:tcPr>
            <w:tcW w:type="dxa" w:w="2880"/>
            <w:shd w:fill="1F3A5F" w:color="auto" w:val="clear"/>
          </w:tcPr>
          <w:p>
            <w:r>
              <w:rPr>
                <w:b/>
                <w:color w:val="FFFFFF"/>
                <w:sz w:val="20"/>
              </w:rPr>
              <w:t>Metric</w:t>
            </w:r>
          </w:p>
        </w:tc>
        <w:tc>
          <w:tcPr>
            <w:tcW w:type="dxa" w:w="2880"/>
            <w:shd w:fill="1F3A5F" w:color="auto" w:val="clear"/>
          </w:tcPr>
          <w:p>
            <w:r>
              <w:rPr>
                <w:b/>
                <w:color w:val="FFFFFF"/>
                <w:sz w:val="20"/>
              </w:rPr>
              <w:t>Year 1 Target</w:t>
            </w:r>
          </w:p>
        </w:tc>
        <w:tc>
          <w:tcPr>
            <w:tcW w:type="dxa" w:w="2880"/>
            <w:shd w:fill="1F3A5F" w:color="auto" w:val="clear"/>
          </w:tcPr>
          <w:p>
            <w:r>
              <w:rPr>
                <w:b/>
                <w:color w:val="FFFFFF"/>
                <w:sz w:val="20"/>
              </w:rPr>
              <w:t>Year 3 Target</w:t>
            </w:r>
          </w:p>
        </w:tc>
      </w:tr>
      <w:tr>
        <w:tc>
          <w:tcPr>
            <w:tcW w:type="dxa" w:w="2880"/>
          </w:tcPr>
          <w:p>
            <w:r>
              <w:rPr>
                <w:sz w:val="20"/>
              </w:rPr>
              <w:t>Businesses launched</w:t>
            </w:r>
          </w:p>
        </w:tc>
        <w:tc>
          <w:tcPr>
            <w:tcW w:type="dxa" w:w="2880"/>
          </w:tcPr>
          <w:p>
            <w:r>
              <w:rPr>
                <w:sz w:val="20"/>
              </w:rPr>
              <w:t>10–20</w:t>
            </w:r>
          </w:p>
        </w:tc>
        <w:tc>
          <w:tcPr>
            <w:tcW w:type="dxa" w:w="2880"/>
          </w:tcPr>
          <w:p>
            <w:r>
              <w:rPr>
                <w:sz w:val="20"/>
              </w:rPr>
              <w:t>50+</w:t>
            </w:r>
          </w:p>
        </w:tc>
      </w:tr>
      <w:tr>
        <w:tc>
          <w:tcPr>
            <w:tcW w:type="dxa" w:w="2880"/>
          </w:tcPr>
          <w:p>
            <w:r>
              <w:rPr>
                <w:sz w:val="20"/>
              </w:rPr>
              <w:t>Jobs created (direct + indirect)</w:t>
            </w:r>
          </w:p>
        </w:tc>
        <w:tc>
          <w:tcPr>
            <w:tcW w:type="dxa" w:w="2880"/>
          </w:tcPr>
          <w:p>
            <w:r>
              <w:rPr>
                <w:sz w:val="20"/>
              </w:rPr>
              <w:t>15–30</w:t>
            </w:r>
          </w:p>
        </w:tc>
        <w:tc>
          <w:tcPr>
            <w:tcW w:type="dxa" w:w="2880"/>
          </w:tcPr>
          <w:p>
            <w:r>
              <w:rPr>
                <w:sz w:val="20"/>
              </w:rPr>
              <w:t>75–150</w:t>
            </w:r>
          </w:p>
        </w:tc>
      </w:tr>
      <w:tr>
        <w:tc>
          <w:tcPr>
            <w:tcW w:type="dxa" w:w="2880"/>
          </w:tcPr>
          <w:p>
            <w:r>
              <w:rPr>
                <w:sz w:val="20"/>
              </w:rPr>
              <w:t>Revenue generated for partners</w:t>
            </w:r>
          </w:p>
        </w:tc>
        <w:tc>
          <w:tcPr>
            <w:tcW w:type="dxa" w:w="2880"/>
          </w:tcPr>
          <w:p>
            <w:r>
              <w:rPr>
                <w:sz w:val="20"/>
              </w:rPr>
              <w:t>$50,000–$150,000</w:t>
            </w:r>
          </w:p>
        </w:tc>
        <w:tc>
          <w:tcPr>
            <w:tcW w:type="dxa" w:w="2880"/>
          </w:tcPr>
          <w:p>
            <w:r>
              <w:rPr>
                <w:sz w:val="20"/>
              </w:rPr>
              <w:t>$500,000–$1.5M</w:t>
            </w:r>
          </w:p>
        </w:tc>
      </w:tr>
      <w:tr>
        <w:tc>
          <w:tcPr>
            <w:tcW w:type="dxa" w:w="2880"/>
          </w:tcPr>
          <w:p>
            <w:r>
              <w:rPr>
                <w:sz w:val="20"/>
              </w:rPr>
              <w:t>Workshop participants</w:t>
            </w:r>
          </w:p>
        </w:tc>
        <w:tc>
          <w:tcPr>
            <w:tcW w:type="dxa" w:w="2880"/>
          </w:tcPr>
          <w:p>
            <w:r>
              <w:rPr>
                <w:sz w:val="20"/>
              </w:rPr>
              <w:t>50–100</w:t>
            </w:r>
          </w:p>
        </w:tc>
        <w:tc>
          <w:tcPr>
            <w:tcW w:type="dxa" w:w="2880"/>
          </w:tcPr>
          <w:p>
            <w:r>
              <w:rPr>
                <w:sz w:val="20"/>
              </w:rPr>
              <w:t>300–500</w:t>
            </w:r>
          </w:p>
        </w:tc>
      </w:tr>
      <w:tr>
        <w:tc>
          <w:tcPr>
            <w:tcW w:type="dxa" w:w="2880"/>
          </w:tcPr>
          <w:p>
            <w:r>
              <w:rPr>
                <w:sz w:val="20"/>
              </w:rPr>
              <w:t>HBCU students served</w:t>
            </w:r>
          </w:p>
        </w:tc>
        <w:tc>
          <w:tcPr>
            <w:tcW w:type="dxa" w:w="2880"/>
          </w:tcPr>
          <w:p>
            <w:r>
              <w:rPr>
                <w:sz w:val="20"/>
              </w:rPr>
              <w:t>20–40</w:t>
            </w:r>
          </w:p>
        </w:tc>
        <w:tc>
          <w:tcPr>
            <w:tcW w:type="dxa" w:w="2880"/>
          </w:tcPr>
          <w:p>
            <w:r>
              <w:rPr>
                <w:sz w:val="20"/>
              </w:rPr>
              <w:t>100–200</w:t>
            </w:r>
          </w:p>
        </w:tc>
      </w:tr>
      <w:tr>
        <w:tc>
          <w:tcPr>
            <w:tcW w:type="dxa" w:w="2880"/>
          </w:tcPr>
          <w:p>
            <w:r>
              <w:rPr>
                <w:sz w:val="20"/>
              </w:rPr>
              <w:t>Digital storefronts created</w:t>
            </w:r>
          </w:p>
        </w:tc>
        <w:tc>
          <w:tcPr>
            <w:tcW w:type="dxa" w:w="2880"/>
          </w:tcPr>
          <w:p>
            <w:r>
              <w:rPr>
                <w:sz w:val="20"/>
              </w:rPr>
              <w:t>10–20</w:t>
            </w:r>
          </w:p>
        </w:tc>
        <w:tc>
          <w:tcPr>
            <w:tcW w:type="dxa" w:w="2880"/>
          </w:tcPr>
          <w:p>
            <w:r>
              <w:rPr>
                <w:sz w:val="20"/>
              </w:rPr>
              <w:t>50+</w:t>
            </w:r>
          </w:p>
        </w:tc>
      </w:tr>
      <w:tr>
        <w:tc>
          <w:tcPr>
            <w:tcW w:type="dxa" w:w="2880"/>
          </w:tcPr>
          <w:p>
            <w:r>
              <w:rPr>
                <w:sz w:val="20"/>
              </w:rPr>
              <w:t>Grants secured</w:t>
            </w:r>
          </w:p>
        </w:tc>
        <w:tc>
          <w:tcPr>
            <w:tcW w:type="dxa" w:w="2880"/>
          </w:tcPr>
          <w:p>
            <w:r>
              <w:rPr>
                <w:sz w:val="20"/>
              </w:rPr>
              <w:t>2–3</w:t>
            </w:r>
          </w:p>
        </w:tc>
        <w:tc>
          <w:tcPr>
            <w:tcW w:type="dxa" w:w="2880"/>
          </w:tcPr>
          <w:p>
            <w:r>
              <w:rPr>
                <w:sz w:val="20"/>
              </w:rPr>
              <w:t>5–10</w:t>
            </w:r>
          </w:p>
        </w:tc>
      </w:tr>
      <w:tr>
        <w:tc>
          <w:tcPr>
            <w:tcW w:type="dxa" w:w="2880"/>
          </w:tcPr>
          <w:p>
            <w:r>
              <w:rPr>
                <w:sz w:val="20"/>
              </w:rPr>
              <w:t>Counties served in NC</w:t>
            </w:r>
          </w:p>
        </w:tc>
        <w:tc>
          <w:tcPr>
            <w:tcW w:type="dxa" w:w="2880"/>
          </w:tcPr>
          <w:p>
            <w:r>
              <w:rPr>
                <w:sz w:val="20"/>
              </w:rPr>
              <w:t>3–5</w:t>
            </w:r>
          </w:p>
        </w:tc>
        <w:tc>
          <w:tcPr>
            <w:tcW w:type="dxa" w:w="2880"/>
          </w:tcPr>
          <w:p>
            <w:r>
              <w:rPr>
                <w:sz w:val="20"/>
              </w:rPr>
              <w:t>10–15</w:t>
            </w:r>
          </w:p>
        </w:tc>
      </w:tr>
    </w:tbl>
    <w:p/>
    <w:p>
      <w:pPr>
        <w:pBdr>
          <w:bottom w:val="single" w:sz="6" w:space="1" w:color="AAAAAA"/>
        </w:pBdr>
      </w:pPr>
    </w:p>
    <w:p>
      <w:pPr>
        <w:pStyle w:val="Heading2"/>
      </w:pPr>
      <w:r>
        <w:rPr>
          <w:color w:val="1F3A5F"/>
        </w:rPr>
        <w:t>Proof of Concept: Arlan LLC</w:t>
      </w:r>
    </w:p>
    <w:p>
      <w:pPr>
        <w:pStyle w:val="Quote"/>
      </w:pPr>
      <w:r>
        <w:rPr>
          <w:i/>
          <w:sz w:val="22"/>
        </w:rPr>
        <w:t>Case Study — Built in 1 Day, May 25, 2026</w:t>
      </w:r>
    </w:p>
    <w:tbl>
      <w:tblPr>
        <w:tblStyle w:val="TableGrid"/>
        <w:tblW w:type="auto" w:w="0"/>
        <w:tblLook w:firstColumn="1" w:firstRow="1" w:lastColumn="0" w:lastRow="0" w:noHBand="0" w:noVBand="1" w:val="04A0"/>
      </w:tblPr>
      <w:tblGrid>
        <w:gridCol w:w="2880"/>
        <w:gridCol w:w="2880"/>
        <w:gridCol w:w="2880"/>
      </w:tblGrid>
      <w:tr>
        <w:tc>
          <w:tcPr>
            <w:tcW w:type="dxa" w:w="2880"/>
            <w:shd w:fill="1F3A5F" w:color="auto" w:val="clear"/>
          </w:tcPr>
          <w:p>
            <w:r>
              <w:rPr>
                <w:b/>
                <w:color w:val="FFFFFF"/>
                <w:sz w:val="20"/>
              </w:rPr>
              <w:t>Deliverable</w:t>
            </w:r>
          </w:p>
        </w:tc>
        <w:tc>
          <w:tcPr>
            <w:tcW w:type="dxa" w:w="2880"/>
            <w:shd w:fill="1F3A5F" w:color="auto" w:val="clear"/>
          </w:tcPr>
          <w:p>
            <w:r>
              <w:rPr>
                <w:b/>
                <w:color w:val="FFFFFF"/>
                <w:sz w:val="20"/>
              </w:rPr>
              <w:t>Status</w:t>
            </w:r>
          </w:p>
        </w:tc>
        <w:tc>
          <w:tcPr>
            <w:tcW w:type="dxa" w:w="2880"/>
            <w:shd w:fill="1F3A5F" w:color="auto" w:val="clear"/>
          </w:tcPr>
          <w:p>
            <w:r>
              <w:rPr>
                <w:b/>
                <w:color w:val="FFFFFF"/>
                <w:sz w:val="20"/>
              </w:rPr>
              <w:t>Value</w:t>
            </w:r>
          </w:p>
        </w:tc>
      </w:tr>
      <w:tr>
        <w:tc>
          <w:tcPr>
            <w:tcW w:type="dxa" w:w="2880"/>
          </w:tcPr>
          <w:p>
            <w:r>
              <w:rPr>
                <w:sz w:val="20"/>
              </w:rPr>
              <w:t>Full market research &amp; business plan</w:t>
            </w:r>
          </w:p>
        </w:tc>
        <w:tc>
          <w:tcPr>
            <w:tcW w:type="dxa" w:w="2880"/>
          </w:tcPr>
          <w:p>
            <w:r>
              <w:rPr>
                <w:sz w:val="20"/>
              </w:rPr>
              <w:t>✅ Complete</w:t>
            </w:r>
          </w:p>
        </w:tc>
        <w:tc>
          <w:tcPr>
            <w:tcW w:type="dxa" w:w="2880"/>
          </w:tcPr>
          <w:p>
            <w:r>
              <w:rPr>
                <w:sz w:val="20"/>
              </w:rPr>
              <w:t>$5,000</w:t>
            </w:r>
          </w:p>
        </w:tc>
      </w:tr>
      <w:tr>
        <w:tc>
          <w:tcPr>
            <w:tcW w:type="dxa" w:w="2880"/>
          </w:tcPr>
          <w:p>
            <w:r>
              <w:rPr>
                <w:sz w:val="20"/>
              </w:rPr>
              <w:t>Professional brand identity (logo, mascot, palette)</w:t>
            </w:r>
          </w:p>
        </w:tc>
        <w:tc>
          <w:tcPr>
            <w:tcW w:type="dxa" w:w="2880"/>
          </w:tcPr>
          <w:p>
            <w:r>
              <w:rPr>
                <w:sz w:val="20"/>
              </w:rPr>
              <w:t>✅ Complete</w:t>
            </w:r>
          </w:p>
        </w:tc>
        <w:tc>
          <w:tcPr>
            <w:tcW w:type="dxa" w:w="2880"/>
          </w:tcPr>
          <w:p>
            <w:r>
              <w:rPr>
                <w:sz w:val="20"/>
              </w:rPr>
              <w:t>$8,000</w:t>
            </w:r>
          </w:p>
        </w:tc>
      </w:tr>
      <w:tr>
        <w:tc>
          <w:tcPr>
            <w:tcW w:type="dxa" w:w="2880"/>
          </w:tcPr>
          <w:p>
            <w:r>
              <w:rPr>
                <w:sz w:val="20"/>
              </w:rPr>
              <w:t>8-page premium website with animations</w:t>
            </w:r>
          </w:p>
        </w:tc>
        <w:tc>
          <w:tcPr>
            <w:tcW w:type="dxa" w:w="2880"/>
          </w:tcPr>
          <w:p>
            <w:r>
              <w:rPr>
                <w:sz w:val="20"/>
              </w:rPr>
              <w:t>✅ Complete</w:t>
            </w:r>
          </w:p>
        </w:tc>
        <w:tc>
          <w:tcPr>
            <w:tcW w:type="dxa" w:w="2880"/>
          </w:tcPr>
          <w:p>
            <w:r>
              <w:rPr>
                <w:sz w:val="20"/>
              </w:rPr>
              <w:t>$15,000</w:t>
            </w:r>
          </w:p>
        </w:tc>
      </w:tr>
      <w:tr>
        <w:tc>
          <w:tcPr>
            <w:tcW w:type="dxa" w:w="2880"/>
          </w:tcPr>
          <w:p>
            <w:r>
              <w:rPr>
                <w:sz w:val="20"/>
              </w:rPr>
              <w:t>E-commerce merch store (8 products)</w:t>
            </w:r>
          </w:p>
        </w:tc>
        <w:tc>
          <w:tcPr>
            <w:tcW w:type="dxa" w:w="2880"/>
          </w:tcPr>
          <w:p>
            <w:r>
              <w:rPr>
                <w:sz w:val="20"/>
              </w:rPr>
              <w:t>✅ Complete</w:t>
            </w:r>
          </w:p>
        </w:tc>
        <w:tc>
          <w:tcPr>
            <w:tcW w:type="dxa" w:w="2880"/>
          </w:tcPr>
          <w:p>
            <w:r>
              <w:rPr>
                <w:sz w:val="20"/>
              </w:rPr>
              <w:t>$3,000</w:t>
            </w:r>
          </w:p>
        </w:tc>
      </w:tr>
      <w:tr>
        <w:tc>
          <w:tcPr>
            <w:tcW w:type="dxa" w:w="2880"/>
          </w:tcPr>
          <w:p>
            <w:r>
              <w:rPr>
                <w:sz w:val="20"/>
              </w:rPr>
              <w:t>Stripe payment integration (live)</w:t>
            </w:r>
          </w:p>
        </w:tc>
        <w:tc>
          <w:tcPr>
            <w:tcW w:type="dxa" w:w="2880"/>
          </w:tcPr>
          <w:p>
            <w:r>
              <w:rPr>
                <w:sz w:val="20"/>
              </w:rPr>
              <w:t>✅ Complete</w:t>
            </w:r>
          </w:p>
        </w:tc>
        <w:tc>
          <w:tcPr>
            <w:tcW w:type="dxa" w:w="2880"/>
          </w:tcPr>
          <w:p>
            <w:r>
              <w:rPr>
                <w:sz w:val="20"/>
              </w:rPr>
              <w:t>$2,000</w:t>
            </w:r>
          </w:p>
        </w:tc>
      </w:tr>
      <w:tr>
        <w:tc>
          <w:tcPr>
            <w:tcW w:type="dxa" w:w="2880"/>
          </w:tcPr>
          <w:p>
            <w:r>
              <w:rPr>
                <w:sz w:val="20"/>
              </w:rPr>
              <w:t>AI-powered mascot assistant with TTS</w:t>
            </w:r>
          </w:p>
        </w:tc>
        <w:tc>
          <w:tcPr>
            <w:tcW w:type="dxa" w:w="2880"/>
          </w:tcPr>
          <w:p>
            <w:r>
              <w:rPr>
                <w:sz w:val="20"/>
              </w:rPr>
              <w:t>✅ Complete</w:t>
            </w:r>
          </w:p>
        </w:tc>
        <w:tc>
          <w:tcPr>
            <w:tcW w:type="dxa" w:w="2880"/>
          </w:tcPr>
          <w:p>
            <w:r>
              <w:rPr>
                <w:sz w:val="20"/>
              </w:rPr>
              <w:t>$5,000</w:t>
            </w:r>
          </w:p>
        </w:tc>
      </w:tr>
      <w:tr>
        <w:tc>
          <w:tcPr>
            <w:tcW w:type="dxa" w:w="2880"/>
          </w:tcPr>
          <w:p>
            <w:r>
              <w:rPr>
                <w:sz w:val="20"/>
              </w:rPr>
              <w:t>3D drone experience page</w:t>
            </w:r>
          </w:p>
        </w:tc>
        <w:tc>
          <w:tcPr>
            <w:tcW w:type="dxa" w:w="2880"/>
          </w:tcPr>
          <w:p>
            <w:r>
              <w:rPr>
                <w:sz w:val="20"/>
              </w:rPr>
              <w:t>✅ Complete</w:t>
            </w:r>
          </w:p>
        </w:tc>
        <w:tc>
          <w:tcPr>
            <w:tcW w:type="dxa" w:w="2880"/>
          </w:tcPr>
          <w:p>
            <w:r>
              <w:rPr>
                <w:sz w:val="20"/>
              </w:rPr>
              <w:t>$3,000</w:t>
            </w:r>
          </w:p>
        </w:tc>
      </w:tr>
      <w:tr>
        <w:tc>
          <w:tcPr>
            <w:tcW w:type="dxa" w:w="2880"/>
          </w:tcPr>
          <w:p>
            <w:r>
              <w:rPr>
                <w:sz w:val="20"/>
              </w:rPr>
              <w:t>Netlify deployment (live)</w:t>
            </w:r>
          </w:p>
        </w:tc>
        <w:tc>
          <w:tcPr>
            <w:tcW w:type="dxa" w:w="2880"/>
          </w:tcPr>
          <w:p>
            <w:r>
              <w:rPr>
                <w:sz w:val="20"/>
              </w:rPr>
              <w:t>✅ Complete</w:t>
            </w:r>
          </w:p>
        </w:tc>
        <w:tc>
          <w:tcPr>
            <w:tcW w:type="dxa" w:w="2880"/>
          </w:tcPr>
          <w:p>
            <w:r>
              <w:rPr>
                <w:sz w:val="20"/>
              </w:rPr>
              <w:t>$500</w:t>
            </w:r>
          </w:p>
        </w:tc>
      </w:tr>
      <w:tr>
        <w:tc>
          <w:tcPr>
            <w:tcW w:type="dxa" w:w="2880"/>
          </w:tcPr>
          <w:p>
            <w:r>
              <w:rPr>
                <w:sz w:val="20"/>
              </w:rPr>
              <w:t>Total value created</w:t>
            </w:r>
          </w:p>
        </w:tc>
        <w:tc>
          <w:tcPr>
            <w:tcW w:type="dxa" w:w="2880"/>
          </w:tcPr>
          <w:p>
            <w:r>
              <w:rPr>
                <w:sz w:val="20"/>
              </w:rPr>
              <w:t>1 day</w:t>
            </w:r>
          </w:p>
        </w:tc>
        <w:tc>
          <w:tcPr>
            <w:tcW w:type="dxa" w:w="2880"/>
          </w:tcPr>
          <w:p>
            <w:r>
              <w:rPr>
                <w:sz w:val="20"/>
              </w:rPr>
              <w:t>$41,500</w:t>
            </w:r>
          </w:p>
        </w:tc>
      </w:tr>
    </w:tbl>
    <w:p/>
    <w:p>
      <w:r/>
      <w:r>
        <w:rPr>
          <w:b/>
        </w:rPr>
        <w:t>Live site:</w:t>
      </w:r>
      <w:r>
        <w:t xml:space="preserve"> arlen-llc.netlify.app</w:t>
      </w:r>
    </w:p>
    <w:p>
      <w:r>
        <w:t xml:space="preserve">This case study demonstrates that Think Ventures can deliver </w:t>
      </w:r>
      <w:r>
        <w:rPr>
          <w:b/>
        </w:rPr>
        <w:t>$40,000+ in professional business infrastructure in a single day</w:t>
      </w:r>
      <w:r>
        <w:t xml:space="preserve"> using AI-powered tools — making the grant dollars extraordinarily efficient.</w:t>
      </w:r>
    </w:p>
    <w:p>
      <w:pPr>
        <w:pBdr>
          <w:bottom w:val="single" w:sz="6" w:space="1" w:color="AAAAAA"/>
        </w:pBdr>
      </w:pPr>
    </w:p>
    <w:p>
      <w:pPr>
        <w:pStyle w:val="Heading2"/>
      </w:pPr>
      <w:r>
        <w:rPr>
          <w:color w:val="1F3A5F"/>
        </w:rPr>
        <w:t>Competitive Advantage</w:t>
      </w:r>
    </w:p>
    <w:tbl>
      <w:tblPr>
        <w:tblStyle w:val="TableGrid"/>
        <w:tblW w:type="auto" w:w="0"/>
        <w:tblLook w:firstColumn="1" w:firstRow="1" w:lastColumn="0" w:lastRow="0" w:noHBand="0" w:noVBand="1" w:val="04A0"/>
      </w:tblPr>
      <w:tblGrid>
        <w:gridCol w:w="2880"/>
        <w:gridCol w:w="2880"/>
        <w:gridCol w:w="2880"/>
      </w:tblGrid>
      <w:tr>
        <w:tc>
          <w:tcPr>
            <w:tcW w:type="dxa" w:w="2880"/>
            <w:shd w:fill="1F3A5F" w:color="auto" w:val="clear"/>
          </w:tcPr>
          <w:p>
            <w:r>
              <w:rPr>
                <w:b/>
                <w:color w:val="FFFFFF"/>
                <w:sz w:val="20"/>
              </w:rPr>
              <w:t>Factor</w:t>
            </w:r>
          </w:p>
        </w:tc>
        <w:tc>
          <w:tcPr>
            <w:tcW w:type="dxa" w:w="2880"/>
            <w:shd w:fill="1F3A5F" w:color="auto" w:val="clear"/>
          </w:tcPr>
          <w:p>
            <w:r>
              <w:rPr>
                <w:b/>
                <w:color w:val="FFFFFF"/>
                <w:sz w:val="20"/>
              </w:rPr>
              <w:t>Traditional Incubator</w:t>
            </w:r>
          </w:p>
        </w:tc>
        <w:tc>
          <w:tcPr>
            <w:tcW w:type="dxa" w:w="2880"/>
            <w:shd w:fill="1F3A5F" w:color="auto" w:val="clear"/>
          </w:tcPr>
          <w:p>
            <w:r>
              <w:rPr>
                <w:b/>
                <w:color w:val="FFFFFF"/>
                <w:sz w:val="20"/>
              </w:rPr>
              <w:t>Think! Ventures</w:t>
            </w:r>
          </w:p>
        </w:tc>
      </w:tr>
      <w:tr>
        <w:tc>
          <w:tcPr>
            <w:tcW w:type="dxa" w:w="2880"/>
          </w:tcPr>
          <w:p>
            <w:r>
              <w:rPr>
                <w:sz w:val="20"/>
              </w:rPr>
              <w:t>Time to launch</w:t>
            </w:r>
          </w:p>
        </w:tc>
        <w:tc>
          <w:tcPr>
            <w:tcW w:type="dxa" w:w="2880"/>
          </w:tcPr>
          <w:p>
            <w:r>
              <w:rPr>
                <w:sz w:val="20"/>
              </w:rPr>
              <w:t>3–12 months</w:t>
            </w:r>
          </w:p>
        </w:tc>
        <w:tc>
          <w:tcPr>
            <w:tcW w:type="dxa" w:w="2880"/>
          </w:tcPr>
          <w:p>
            <w:r>
              <w:rPr>
                <w:sz w:val="20"/>
              </w:rPr>
              <w:t>2–5 days</w:t>
            </w:r>
          </w:p>
        </w:tc>
      </w:tr>
      <w:tr>
        <w:tc>
          <w:tcPr>
            <w:tcW w:type="dxa" w:w="2880"/>
          </w:tcPr>
          <w:p>
            <w:r>
              <w:rPr>
                <w:sz w:val="20"/>
              </w:rPr>
              <w:t>Cost to entrepreneur</w:t>
            </w:r>
          </w:p>
        </w:tc>
        <w:tc>
          <w:tcPr>
            <w:tcW w:type="dxa" w:w="2880"/>
          </w:tcPr>
          <w:p>
            <w:r>
              <w:rPr>
                <w:sz w:val="20"/>
              </w:rPr>
              <w:t>$5,000–$50,000</w:t>
            </w:r>
          </w:p>
        </w:tc>
        <w:tc>
          <w:tcPr>
            <w:tcW w:type="dxa" w:w="2880"/>
          </w:tcPr>
          <w:p>
            <w:r>
              <w:rPr>
                <w:sz w:val="20"/>
              </w:rPr>
              <w:t>$0</w:t>
            </w:r>
          </w:p>
        </w:tc>
      </w:tr>
      <w:tr>
        <w:tc>
          <w:tcPr>
            <w:tcW w:type="dxa" w:w="2880"/>
          </w:tcPr>
          <w:p>
            <w:r>
              <w:rPr>
                <w:sz w:val="20"/>
              </w:rPr>
              <w:t>Technology stack</w:t>
            </w:r>
          </w:p>
        </w:tc>
        <w:tc>
          <w:tcPr>
            <w:tcW w:type="dxa" w:w="2880"/>
          </w:tcPr>
          <w:p>
            <w:r>
              <w:rPr>
                <w:sz w:val="20"/>
              </w:rPr>
              <w:t>Basic website builder</w:t>
            </w:r>
          </w:p>
        </w:tc>
        <w:tc>
          <w:tcPr>
            <w:tcW w:type="dxa" w:w="2880"/>
          </w:tcPr>
          <w:p>
            <w:r>
              <w:rPr>
                <w:sz w:val="20"/>
              </w:rPr>
              <w:t>AI-powered premium builds</w:t>
            </w:r>
          </w:p>
        </w:tc>
      </w:tr>
      <w:tr>
        <w:tc>
          <w:tcPr>
            <w:tcW w:type="dxa" w:w="2880"/>
          </w:tcPr>
          <w:p>
            <w:r>
              <w:rPr>
                <w:sz w:val="20"/>
              </w:rPr>
              <w:t>Revenue model</w:t>
            </w:r>
          </w:p>
        </w:tc>
        <w:tc>
          <w:tcPr>
            <w:tcW w:type="dxa" w:w="2880"/>
          </w:tcPr>
          <w:p>
            <w:r>
              <w:rPr>
                <w:sz w:val="20"/>
              </w:rPr>
              <w:t>Equity stake (10–30%)</w:t>
            </w:r>
          </w:p>
        </w:tc>
        <w:tc>
          <w:tcPr>
            <w:tcW w:type="dxa" w:w="2880"/>
          </w:tcPr>
          <w:p>
            <w:r>
              <w:rPr>
                <w:sz w:val="20"/>
              </w:rPr>
              <w:t>10% profit share (cooperative)</w:t>
            </w:r>
          </w:p>
        </w:tc>
      </w:tr>
      <w:tr>
        <w:tc>
          <w:tcPr>
            <w:tcW w:type="dxa" w:w="2880"/>
          </w:tcPr>
          <w:p>
            <w:r>
              <w:rPr>
                <w:sz w:val="20"/>
              </w:rPr>
              <w:t>Scalability</w:t>
            </w:r>
          </w:p>
        </w:tc>
        <w:tc>
          <w:tcPr>
            <w:tcW w:type="dxa" w:w="2880"/>
          </w:tcPr>
          <w:p>
            <w:r>
              <w:rPr>
                <w:sz w:val="20"/>
              </w:rPr>
              <w:t>Limited by staff</w:t>
            </w:r>
          </w:p>
        </w:tc>
        <w:tc>
          <w:tcPr>
            <w:tcW w:type="dxa" w:w="2880"/>
          </w:tcPr>
          <w:p>
            <w:r>
              <w:rPr>
                <w:sz w:val="20"/>
              </w:rPr>
              <w:t>AI-amplified, nearly unlimited</w:t>
            </w:r>
          </w:p>
        </w:tc>
      </w:tr>
      <w:tr>
        <w:tc>
          <w:tcPr>
            <w:tcW w:type="dxa" w:w="2880"/>
          </w:tcPr>
          <w:p>
            <w:r>
              <w:rPr>
                <w:sz w:val="20"/>
              </w:rPr>
              <w:t>HBCU focus</w:t>
            </w:r>
          </w:p>
        </w:tc>
        <w:tc>
          <w:tcPr>
            <w:tcW w:type="dxa" w:w="2880"/>
          </w:tcPr>
          <w:p>
            <w:r>
              <w:rPr>
                <w:sz w:val="20"/>
              </w:rPr>
              <w:t>Rare</w:t>
            </w:r>
          </w:p>
        </w:tc>
        <w:tc>
          <w:tcPr>
            <w:tcW w:type="dxa" w:w="2880"/>
          </w:tcPr>
          <w:p>
            <w:r>
              <w:rPr>
                <w:sz w:val="20"/>
              </w:rPr>
              <w:t>Core mission</w:t>
            </w:r>
          </w:p>
        </w:tc>
      </w:tr>
      <w:tr>
        <w:tc>
          <w:tcPr>
            <w:tcW w:type="dxa" w:w="2880"/>
          </w:tcPr>
          <w:p>
            <w:r>
              <w:rPr>
                <w:sz w:val="20"/>
              </w:rPr>
              <w:t>Digital infrastructure</w:t>
            </w:r>
          </w:p>
        </w:tc>
        <w:tc>
          <w:tcPr>
            <w:tcW w:type="dxa" w:w="2880"/>
          </w:tcPr>
          <w:p>
            <w:r>
              <w:rPr>
                <w:sz w:val="20"/>
              </w:rPr>
              <w:t>Referral to agencies</w:t>
            </w:r>
          </w:p>
        </w:tc>
        <w:tc>
          <w:tcPr>
            <w:tcW w:type="dxa" w:w="2880"/>
          </w:tcPr>
          <w:p>
            <w:r>
              <w:rPr>
                <w:sz w:val="20"/>
              </w:rPr>
              <w:t>Built in-house, same day</w:t>
            </w:r>
          </w:p>
        </w:tc>
      </w:tr>
    </w:tbl>
    <w:p/>
    <w:p>
      <w:pPr>
        <w:pBdr>
          <w:bottom w:val="single" w:sz="6" w:space="1" w:color="AAAAAA"/>
        </w:pBdr>
      </w:pPr>
    </w:p>
    <w:p>
      <w:pPr>
        <w:pStyle w:val="Heading2"/>
      </w:pPr>
      <w:r>
        <w:rPr>
          <w:color w:val="1F3A5F"/>
        </w:rPr>
        <w:t>Key Partnerships</w:t>
      </w:r>
    </w:p>
    <w:tbl>
      <w:tblPr>
        <w:tblStyle w:val="TableGrid"/>
        <w:tblW w:type="auto" w:w="0"/>
        <w:tblLook w:firstColumn="1" w:firstRow="1" w:lastColumn="0" w:lastRow="0" w:noHBand="0" w:noVBand="1" w:val="04A0"/>
      </w:tblPr>
      <w:tblGrid>
        <w:gridCol w:w="2880"/>
        <w:gridCol w:w="2880"/>
        <w:gridCol w:w="2880"/>
      </w:tblGrid>
      <w:tr>
        <w:tc>
          <w:tcPr>
            <w:tcW w:type="dxa" w:w="2880"/>
            <w:shd w:fill="1F3A5F" w:color="auto" w:val="clear"/>
          </w:tcPr>
          <w:p>
            <w:r>
              <w:rPr>
                <w:b/>
                <w:color w:val="FFFFFF"/>
                <w:sz w:val="20"/>
              </w:rPr>
              <w:t>Partner</w:t>
            </w:r>
          </w:p>
        </w:tc>
        <w:tc>
          <w:tcPr>
            <w:tcW w:type="dxa" w:w="2880"/>
            <w:shd w:fill="1F3A5F" w:color="auto" w:val="clear"/>
          </w:tcPr>
          <w:p>
            <w:r>
              <w:rPr>
                <w:b/>
                <w:color w:val="FFFFFF"/>
                <w:sz w:val="20"/>
              </w:rPr>
              <w:t>Type</w:t>
            </w:r>
          </w:p>
        </w:tc>
        <w:tc>
          <w:tcPr>
            <w:tcW w:type="dxa" w:w="2880"/>
            <w:shd w:fill="1F3A5F" w:color="auto" w:val="clear"/>
          </w:tcPr>
          <w:p>
            <w:r>
              <w:rPr>
                <w:b/>
                <w:color w:val="FFFFFF"/>
                <w:sz w:val="20"/>
              </w:rPr>
              <w:t>Role</w:t>
            </w:r>
          </w:p>
        </w:tc>
      </w:tr>
      <w:tr>
        <w:tc>
          <w:tcPr>
            <w:tcW w:type="dxa" w:w="2880"/>
          </w:tcPr>
          <w:p>
            <w:r>
              <w:rPr>
                <w:sz w:val="20"/>
              </w:rPr>
              <w:t>NC A&amp;T State University</w:t>
            </w:r>
          </w:p>
        </w:tc>
        <w:tc>
          <w:tcPr>
            <w:tcW w:type="dxa" w:w="2880"/>
          </w:tcPr>
          <w:p>
            <w:r>
              <w:rPr>
                <w:sz w:val="20"/>
              </w:rPr>
              <w:t>HBCU</w:t>
            </w:r>
          </w:p>
        </w:tc>
        <w:tc>
          <w:tcPr>
            <w:tcW w:type="dxa" w:w="2880"/>
          </w:tcPr>
          <w:p>
            <w:r>
              <w:rPr>
                <w:sz w:val="20"/>
              </w:rPr>
              <w:t>Entrepreneur pipeline, research, credibility</w:t>
            </w:r>
          </w:p>
        </w:tc>
      </w:tr>
      <w:tr>
        <w:tc>
          <w:tcPr>
            <w:tcW w:type="dxa" w:w="2880"/>
          </w:tcPr>
          <w:p>
            <w:r>
              <w:rPr>
                <w:sz w:val="20"/>
              </w:rPr>
              <w:t>Open Future Coalition</w:t>
            </w:r>
          </w:p>
        </w:tc>
        <w:tc>
          <w:tcPr>
            <w:tcW w:type="dxa" w:w="2880"/>
          </w:tcPr>
          <w:p>
            <w:r>
              <w:rPr>
                <w:sz w:val="20"/>
              </w:rPr>
              <w:t>Cooperative network</w:t>
            </w:r>
          </w:p>
        </w:tc>
        <w:tc>
          <w:tcPr>
            <w:tcW w:type="dxa" w:w="2880"/>
          </w:tcPr>
          <w:p>
            <w:r>
              <w:rPr>
                <w:sz w:val="20"/>
              </w:rPr>
              <w:t>Governance templates, data infrastructure</w:t>
            </w:r>
          </w:p>
        </w:tc>
      </w:tr>
      <w:tr>
        <w:tc>
          <w:tcPr>
            <w:tcW w:type="dxa" w:w="2880"/>
          </w:tcPr>
          <w:p>
            <w:r>
              <w:rPr>
                <w:sz w:val="20"/>
              </w:rPr>
              <w:t>Stripe</w:t>
            </w:r>
          </w:p>
        </w:tc>
        <w:tc>
          <w:tcPr>
            <w:tcW w:type="dxa" w:w="2880"/>
          </w:tcPr>
          <w:p>
            <w:r>
              <w:rPr>
                <w:sz w:val="20"/>
              </w:rPr>
              <w:t>Payment platform</w:t>
            </w:r>
          </w:p>
        </w:tc>
        <w:tc>
          <w:tcPr>
            <w:tcW w:type="dxa" w:w="2880"/>
          </w:tcPr>
          <w:p>
            <w:r>
              <w:rPr>
                <w:sz w:val="20"/>
              </w:rPr>
              <w:t>E-commerce infrastructure for partners</w:t>
            </w:r>
          </w:p>
        </w:tc>
      </w:tr>
      <w:tr>
        <w:tc>
          <w:tcPr>
            <w:tcW w:type="dxa" w:w="2880"/>
          </w:tcPr>
          <w:p>
            <w:r>
              <w:rPr>
                <w:sz w:val="20"/>
              </w:rPr>
              <w:t>Netlify</w:t>
            </w:r>
          </w:p>
        </w:tc>
        <w:tc>
          <w:tcPr>
            <w:tcW w:type="dxa" w:w="2880"/>
          </w:tcPr>
          <w:p>
            <w:r>
              <w:rPr>
                <w:sz w:val="20"/>
              </w:rPr>
              <w:t>Hosting</w:t>
            </w:r>
          </w:p>
        </w:tc>
        <w:tc>
          <w:tcPr>
            <w:tcW w:type="dxa" w:w="2880"/>
          </w:tcPr>
          <w:p>
            <w:r>
              <w:rPr>
                <w:sz w:val="20"/>
              </w:rPr>
              <w:t>Free-tier deployment for partner sites</w:t>
            </w:r>
          </w:p>
        </w:tc>
      </w:tr>
      <w:tr>
        <w:tc>
          <w:tcPr>
            <w:tcW w:type="dxa" w:w="2880"/>
          </w:tcPr>
          <w:p>
            <w:r>
              <w:rPr>
                <w:sz w:val="20"/>
              </w:rPr>
              <w:t>Google / Gemini</w:t>
            </w:r>
          </w:p>
        </w:tc>
        <w:tc>
          <w:tcPr>
            <w:tcW w:type="dxa" w:w="2880"/>
          </w:tcPr>
          <w:p>
            <w:r>
              <w:rPr>
                <w:sz w:val="20"/>
              </w:rPr>
              <w:t>AI platform</w:t>
            </w:r>
          </w:p>
        </w:tc>
        <w:tc>
          <w:tcPr>
            <w:tcW w:type="dxa" w:w="2880"/>
          </w:tcPr>
          <w:p>
            <w:r>
              <w:rPr>
                <w:sz w:val="20"/>
              </w:rPr>
              <w:t>AI-powered research, design, development</w:t>
            </w:r>
          </w:p>
        </w:tc>
      </w:tr>
      <w:tr>
        <w:tc>
          <w:tcPr>
            <w:tcW w:type="dxa" w:w="2880"/>
          </w:tcPr>
          <w:p>
            <w:r>
              <w:rPr>
                <w:sz w:val="20"/>
              </w:rPr>
              <w:t>Printful</w:t>
            </w:r>
          </w:p>
        </w:tc>
        <w:tc>
          <w:tcPr>
            <w:tcW w:type="dxa" w:w="2880"/>
          </w:tcPr>
          <w:p>
            <w:r>
              <w:rPr>
                <w:sz w:val="20"/>
              </w:rPr>
              <w:t>Print-on-demand</w:t>
            </w:r>
          </w:p>
        </w:tc>
        <w:tc>
          <w:tcPr>
            <w:tcW w:type="dxa" w:w="2880"/>
          </w:tcPr>
          <w:p>
            <w:r>
              <w:rPr>
                <w:sz w:val="20"/>
              </w:rPr>
              <w:t>Zero-inventory merch fulfillment</w:t>
            </w:r>
          </w:p>
        </w:tc>
      </w:tr>
      <w:tr>
        <w:tc>
          <w:tcPr>
            <w:tcW w:type="dxa" w:w="2880"/>
          </w:tcPr>
          <w:p>
            <w:r>
              <w:rPr>
                <w:sz w:val="20"/>
              </w:rPr>
              <w:t>NC Small Business Center</w:t>
            </w:r>
          </w:p>
        </w:tc>
        <w:tc>
          <w:tcPr>
            <w:tcW w:type="dxa" w:w="2880"/>
          </w:tcPr>
          <w:p>
            <w:r>
              <w:rPr>
                <w:sz w:val="20"/>
              </w:rPr>
              <w:t>State resource</w:t>
            </w:r>
          </w:p>
        </w:tc>
        <w:tc>
          <w:tcPr>
            <w:tcW w:type="dxa" w:w="2880"/>
          </w:tcPr>
          <w:p>
            <w:r>
              <w:rPr>
                <w:sz w:val="20"/>
              </w:rPr>
              <w:t>Counseling, workshops, grant connections</w:t>
            </w:r>
          </w:p>
        </w:tc>
      </w:tr>
      <w:tr>
        <w:tc>
          <w:tcPr>
            <w:tcW w:type="dxa" w:w="2880"/>
          </w:tcPr>
          <w:p>
            <w:r>
              <w:rPr>
                <w:sz w:val="20"/>
              </w:rPr>
              <w:t>Greensboro Chamber of Commerce</w:t>
            </w:r>
          </w:p>
        </w:tc>
        <w:tc>
          <w:tcPr>
            <w:tcW w:type="dxa" w:w="2880"/>
          </w:tcPr>
          <w:p>
            <w:r>
              <w:rPr>
                <w:sz w:val="20"/>
              </w:rPr>
              <w:t>Local business</w:t>
            </w:r>
          </w:p>
        </w:tc>
        <w:tc>
          <w:tcPr>
            <w:tcW w:type="dxa" w:w="2880"/>
          </w:tcPr>
          <w:p>
            <w:r>
              <w:rPr>
                <w:sz w:val="20"/>
              </w:rPr>
              <w:t>Networking, referrals, credibility</w:t>
            </w:r>
          </w:p>
        </w:tc>
      </w:tr>
    </w:tbl>
    <w:p/>
    <w:p>
      <w:pPr>
        <w:pBdr>
          <w:bottom w:val="single" w:sz="6" w:space="1" w:color="AAAAAA"/>
        </w:pBdr>
      </w:pPr>
    </w:p>
    <w:p>
      <w:pPr>
        <w:pStyle w:val="Heading2"/>
      </w:pPr>
      <w:r>
        <w:rPr>
          <w:color w:val="1F3A5F"/>
        </w:rPr>
        <w:t>Appendix: IRS-Required Charitable Purpose Language</w:t>
      </w:r>
    </w:p>
    <w:p>
      <w:r>
        <w:t>The following language must appear in the Articles of Incorporation:</w:t>
      </w:r>
    </w:p>
    <w:p>
      <w:pPr>
        <w:pStyle w:val="Quote"/>
      </w:pPr>
      <w:r>
        <w:rPr>
          <w:i/>
          <w:sz w:val="22"/>
        </w:rPr>
        <w:t>*"This corporation is organized exclusively for charitable and educational purposes within the meaning of Section 501(c)(3) of the Internal Revenue Code, including but not limited to: providing digital business infrastructure, entrepreneurship education, and economic development services to underserved communities, minority entrepreneurs, and students of Historically Black Colleges and Universities."*</w:t>
      </w:r>
    </w:p>
    <w:p>
      <w:pPr>
        <w:pStyle w:val="Heading3"/>
      </w:pPr>
      <w:r>
        <w:t>Dissolution Clause:</w:t>
      </w:r>
    </w:p>
    <w:p>
      <w:pPr>
        <w:pStyle w:val="Quote"/>
      </w:pPr>
      <w:r>
        <w:rPr>
          <w:i/>
          <w:sz w:val="22"/>
        </w:rPr>
        <w:t>*"Upon dissolution of this corporation, assets shall be distributed for one or more exempt purposes within the meaning of Section 501(c)(3) of the Internal Revenue Code, or to a state or local government for a public purpose."*</w:t>
      </w:r>
    </w:p>
    <w:p>
      <w:pPr>
        <w:pStyle w:val="Heading3"/>
      </w:pPr>
      <w:r>
        <w:t>Political Activity Restriction:</w:t>
      </w:r>
    </w:p>
    <w:p>
      <w:pPr>
        <w:pStyle w:val="Quote"/>
      </w:pPr>
      <w:r>
        <w:rPr>
          <w:i/>
          <w:sz w:val="22"/>
        </w:rPr>
        <w:t>*"No substantial part of the activities of this corporation shall consist of carrying on propaganda or otherwise attempting to influence legislation, and the corporation shall not participate or intervene in any political campaign on behalf of or in opposition to any candidate for public office."*</w:t>
      </w:r>
    </w:p>
    <w:p>
      <w:pPr>
        <w:pBdr>
          <w:bottom w:val="single" w:sz="6" w:space="1" w:color="AAAAAA"/>
        </w:pBdr>
      </w:pPr>
    </w:p>
    <w:p>
      <w:pPr>
        <w:pStyle w:val="Quote"/>
      </w:pPr>
      <w:r>
        <w:rPr>
          <w:i/>
          <w:sz w:val="22"/>
        </w:rPr>
        <w:t>Filing Status — Updated June 2, 2026</w:t>
      </w:r>
    </w:p>
    <w:p>
      <w:pPr>
        <w:pStyle w:val="Quote"/>
      </w:pPr>
      <w:r>
        <w:rPr>
          <w:i/>
          <w:sz w:val="22"/>
        </w:rPr>
        <w:t>1. ✅ Board members recruited — Gregory Fulton + Damon Howell confirmed</w:t>
      </w:r>
    </w:p>
    <w:p>
      <w:pPr>
        <w:pStyle w:val="Quote"/>
      </w:pPr>
      <w:r>
        <w:rPr>
          <w:i/>
          <w:sz w:val="22"/>
        </w:rPr>
        <w:t>2. ✅ NC Articles of Incorporation — Filed June 1, 2026 — $63 paid</w:t>
      </w:r>
    </w:p>
    <w:p>
      <w:pPr>
        <w:pStyle w:val="Quote"/>
      </w:pPr>
      <w:r>
        <w:rPr>
          <w:i/>
          <w:sz w:val="22"/>
        </w:rPr>
        <w:t>3. ✅ EIN obtained — June 2, 2026 — Think Ventures is federally recognized</w:t>
      </w:r>
    </w:p>
    <w:p>
      <w:pPr>
        <w:pStyle w:val="Quote"/>
      </w:pPr>
      <w:r>
        <w:rPr>
          <w:i/>
          <w:sz w:val="22"/>
        </w:rPr>
        <w:t>4. ⬜ Open nonprofit bank account — NEXT: Relay Financial or Bluevine</w:t>
      </w:r>
    </w:p>
    <w:p>
      <w:pPr>
        <w:pStyle w:val="Quote"/>
      </w:pPr>
      <w:r>
        <w:rPr>
          <w:i/>
          <w:sz w:val="22"/>
        </w:rPr>
        <w:t>5. ⬜ Draft bylaws + hold organizational meeting with Gregory + Damon</w:t>
      </w:r>
    </w:p>
    <w:p>
      <w:pPr>
        <w:pStyle w:val="Quote"/>
      </w:pPr>
      <w:r>
        <w:rPr>
          <w:i/>
          <w:sz w:val="22"/>
        </w:rPr>
        <w:t>6. ⬜ Submit IRS Form 1023-EZ ($275) at pay.gov — starts 3–6 month clock</w:t>
      </w:r>
    </w:p>
    <w:p>
      <w:pPr>
        <w:pStyle w:val="Quote"/>
      </w:pPr>
      <w:r>
        <w:rPr>
          <w:i/>
          <w:sz w:val="22"/>
        </w:rPr>
        <w:t>7. ⬜ Begin Tier 1 grant applications (EDA, SBA PRIME, NC IDEA SEED)</w:t>
      </w:r>
    </w:p>
    <w:p>
      <w:pPr>
        <w:pStyle w:val="Quote"/>
      </w:pPr>
      <w:r>
        <w:rPr>
          <w:i/>
          <w:sz w:val="22"/>
        </w:rPr>
        <w:t>8. ✅ Arlan LLC case study documented</w:t>
      </w:r>
    </w:p>
    <w:p>
      <w:pPr>
        <w:pStyle w:val="Quote"/>
      </w:pPr>
      <w:r>
        <w:rPr>
          <w:i/>
          <w:sz w:val="22"/>
        </w:rPr>
        <w:t>9. ✅ Hood Hymns Publishing case study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