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A5F"/>
        </w:rPr>
        <w:t>TECHNOLOGY SERVICES AGREEMENT</w:t>
      </w:r>
    </w:p>
    <w:p>
      <w:r/>
      <w:r>
        <w:rPr>
          <w:b/>
        </w:rPr>
        <w:t>Between:</w:t>
      </w:r>
      <w:r/>
    </w:p>
    <w:p>
      <w:r/>
      <w:r>
        <w:rPr>
          <w:b/>
        </w:rPr>
        <w:t>Think Ventures</w:t>
      </w:r>
      <w:r>
        <w:t xml:space="preserve"> ("Client" or "Foundation")</w:t>
      </w:r>
    </w:p>
    <w:p>
      <w:r>
        <w:t>A North Carolina Nonprofit Corporation</w:t>
      </w:r>
    </w:p>
    <w:p>
      <w:r>
        <w:t>EIN: 42-2912572</w:t>
      </w:r>
    </w:p>
    <w:p>
      <w:r>
        <w:t>4306 Goldenrod Drive, Greensboro, NC 27455</w:t>
      </w:r>
    </w:p>
    <w:p>
      <w:r/>
      <w:r>
        <w:rPr>
          <w:b/>
        </w:rPr>
        <w:t>And:</w:t>
      </w:r>
      <w:r/>
    </w:p>
    <w:p>
      <w:r/>
      <w:r>
        <w:rPr>
          <w:b/>
        </w:rPr>
        <w:t>Think! Design &amp; Planning, LLC</w:t>
      </w:r>
      <w:r>
        <w:t xml:space="preserve"> ("Service Provider")</w:t>
      </w:r>
    </w:p>
    <w:p>
      <w:r>
        <w:t>A North Carolina Limited Liability Company</w:t>
      </w:r>
    </w:p>
    <w:p>
      <w:r>
        <w:t>4306 Goldenrod Drive, Greensboro, NC 27455</w:t>
      </w:r>
    </w:p>
    <w:p>
      <w:pPr>
        <w:pBdr>
          <w:bottom w:val="single" w:sz="6" w:space="1" w:color="AAAAAA"/>
        </w:pBdr>
      </w:pPr>
    </w:p>
    <w:p>
      <w:r/>
      <w:r>
        <w:rPr>
          <w:b/>
        </w:rPr>
        <w:t>Effective Date:</w:t>
      </w:r>
      <w:r>
        <w:t xml:space="preserve"> June 2, 2026</w:t>
      </w:r>
    </w:p>
    <w:p>
      <w:r/>
      <w:r>
        <w:rPr>
          <w:b/>
        </w:rPr>
        <w:t>Agreement Number:</w:t>
      </w:r>
      <w:r>
        <w:t xml:space="preserve"> TVF-001</w:t>
      </w:r>
    </w:p>
    <w:p>
      <w:pPr>
        <w:pBdr>
          <w:bottom w:val="single" w:sz="6" w:space="1" w:color="AAAAAA"/>
        </w:pBdr>
      </w:pPr>
    </w:p>
    <w:p>
      <w:pPr>
        <w:pStyle w:val="Heading2"/>
      </w:pPr>
      <w:r>
        <w:rPr>
          <w:color w:val="1F3A5F"/>
        </w:rPr>
        <w:t>RECITALS</w:t>
      </w:r>
    </w:p>
    <w:p>
      <w:r>
        <w:t>WHEREAS, Think Ventures is a nonprofit corporation organized for charitable and educational purposes, including providing digital business infrastructure to underserved entrepreneurs;</w:t>
      </w:r>
    </w:p>
    <w:p>
      <w:r>
        <w:t>WHEREAS, Think! Design &amp; Planning, LLC possesses expertise in website development, AI-powered business tools, e-commerce integration, and digital infrastructure;</w:t>
      </w:r>
    </w:p>
    <w:p>
      <w:r>
        <w:t>WHEREAS, the Board of Directors of Think Ventures has determined that engaging Think! Design &amp; Planning, LLC for technology services at fair market rates is in the best interests of the Foundation and furthers its charitable mission;</w:t>
      </w:r>
    </w:p>
    <w:p>
      <w:r>
        <w:t>WHEREAS, Chris Harrison serves as both the Executive Director of Think Ventures and the owner of Think! Design &amp; Planning, LLC, and this relationship has been fully disclosed to and approved by the Board of Directors with Chris Harrison recusing from the vote;</w:t>
      </w:r>
    </w:p>
    <w:p>
      <w:r>
        <w:t>NOW, THEREFORE, the parties agree as follows:</w:t>
      </w:r>
    </w:p>
    <w:p>
      <w:pPr>
        <w:pBdr>
          <w:bottom w:val="single" w:sz="6" w:space="1" w:color="AAAAAA"/>
        </w:pBdr>
      </w:pPr>
    </w:p>
    <w:p>
      <w:pPr>
        <w:pStyle w:val="Heading2"/>
      </w:pPr>
      <w:r>
        <w:rPr>
          <w:color w:val="1F3A5F"/>
        </w:rPr>
        <w:t>ARTICLE 1 — SCOPE OF SERVICES</w:t>
      </w:r>
    </w:p>
    <w:p>
      <w:r>
        <w:t>Think! Design &amp; Planning, LLC ("Service Provider") shall provide the following technology services to Think Ventures ("Foundation"):</w:t>
      </w:r>
    </w:p>
    <w:p>
      <w:pPr>
        <w:pStyle w:val="Heading3"/>
      </w:pPr>
      <w:r>
        <w:t>1.1 LaunchPad Platform Builds</w:t>
      </w:r>
    </w:p>
    <w:p>
      <w:r>
        <w:t>Complete digital business infrastructure for each Foundation partner participant, including:</w:t>
      </w:r>
    </w:p>
    <w:p>
      <w:pPr>
        <w:pStyle w:val="ListBullet"/>
      </w:pPr>
      <w:r>
        <w:t>Custom website design and development (6–10 pages, mobile responsive)</w:t>
      </w:r>
    </w:p>
    <w:p>
      <w:pPr>
        <w:pStyle w:val="ListBullet"/>
      </w:pPr>
      <w:r>
        <w:t>Brand identity package (logo, color palette, typography)</w:t>
      </w:r>
    </w:p>
    <w:p>
      <w:pPr>
        <w:pStyle w:val="ListBullet"/>
      </w:pPr>
      <w:r>
        <w:t>E-commerce integration (Stripe payment processing, product catalog)</w:t>
      </w:r>
    </w:p>
    <w:p>
      <w:pPr>
        <w:pStyle w:val="ListBullet"/>
      </w:pPr>
      <w:r>
        <w:t>Print-on-demand merch store setup (Printful integration)</w:t>
      </w:r>
    </w:p>
    <w:p>
      <w:pPr>
        <w:pStyle w:val="ListBullet"/>
      </w:pPr>
      <w:r>
        <w:t>Domain registration and Netlify deployment</w:t>
      </w:r>
    </w:p>
    <w:p>
      <w:pPr>
        <w:pStyle w:val="ListBullet"/>
      </w:pPr>
      <w:r>
        <w:t>AI-powered assistant or chatbot integration</w:t>
      </w:r>
    </w:p>
    <w:p>
      <w:pPr>
        <w:pStyle w:val="ListBullet"/>
      </w:pPr>
      <w:r>
        <w:t>SEO optimization and metadata</w:t>
      </w:r>
    </w:p>
    <w:p>
      <w:pPr>
        <w:pStyle w:val="ListBullet"/>
      </w:pPr>
      <w:r>
        <w:t>Rate: $3,500 per participant business launched</w:t>
      </w:r>
    </w:p>
    <w:p>
      <w:pPr>
        <w:pStyle w:val="Heading3"/>
      </w:pPr>
      <w:r>
        <w:t>1.2 Monthly Platform Maintenance</w:t>
      </w:r>
    </w:p>
    <w:p>
      <w:r>
        <w:t>Ongoing hosting, deployment management, updates, and technical support for all active partner businesses:</w:t>
      </w:r>
    </w:p>
    <w:p>
      <w:pPr>
        <w:pStyle w:val="ListBullet"/>
      </w:pPr>
      <w:r>
        <w:t>Netlify hosting management</w:t>
      </w:r>
    </w:p>
    <w:p>
      <w:pPr>
        <w:pStyle w:val="ListBullet"/>
      </w:pPr>
      <w:r>
        <w:t>Security updates and dependency maintenance</w:t>
      </w:r>
    </w:p>
    <w:p>
      <w:pPr>
        <w:pStyle w:val="ListBullet"/>
      </w:pPr>
      <w:r>
        <w:t>Monthly performance monitoring</w:t>
      </w:r>
    </w:p>
    <w:p>
      <w:pPr>
        <w:pStyle w:val="ListBullet"/>
      </w:pPr>
      <w:r>
        <w:t>Technical support response within 48 hours</w:t>
      </w:r>
    </w:p>
    <w:p>
      <w:pPr>
        <w:pStyle w:val="ListBullet"/>
      </w:pPr>
      <w:r>
        <w:t>Rate: $150 per active partner site per month</w:t>
      </w:r>
    </w:p>
    <w:p>
      <w:pPr>
        <w:pStyle w:val="Heading3"/>
      </w:pPr>
      <w:r>
        <w:t>1.3 AI Tool Development and Infrastructure</w:t>
      </w:r>
    </w:p>
    <w:p>
      <w:r>
        <w:t>Development and maintenance of AI-powered tools used across Foundation programs:</w:t>
      </w:r>
    </w:p>
    <w:p>
      <w:pPr>
        <w:pStyle w:val="ListBullet"/>
      </w:pPr>
      <w:r>
        <w:t>Gemini AI integration and prompt engineering</w:t>
      </w:r>
    </w:p>
    <w:p>
      <w:pPr>
        <w:pStyle w:val="ListBullet"/>
      </w:pPr>
      <w:r>
        <w:t>Automated business research tools</w:t>
      </w:r>
    </w:p>
    <w:p>
      <w:pPr>
        <w:pStyle w:val="ListBullet"/>
      </w:pPr>
      <w:r>
        <w:t>Grant identification and matching systems</w:t>
      </w:r>
    </w:p>
    <w:p>
      <w:pPr>
        <w:pStyle w:val="ListBullet"/>
      </w:pPr>
      <w:r>
        <w:t>Custom MCP tool configuration</w:t>
      </w:r>
    </w:p>
    <w:p>
      <w:pPr>
        <w:pStyle w:val="ListBullet"/>
      </w:pPr>
      <w:r>
        <w:t>Rate: $5,000 per major AI tool developed; $500/month maintenance</w:t>
      </w:r>
    </w:p>
    <w:p>
      <w:pPr>
        <w:pStyle w:val="Heading3"/>
      </w:pPr>
      <w:r>
        <w:t>1.4 Digital Equity Workshop Technology</w:t>
      </w:r>
    </w:p>
    <w:p>
      <w:r>
        <w:t>Technology support for Foundation workshops and educational programs:</w:t>
      </w:r>
    </w:p>
    <w:p>
      <w:pPr>
        <w:pStyle w:val="ListBullet"/>
      </w:pPr>
      <w:r>
        <w:t>Presentation design and digital materials</w:t>
      </w:r>
    </w:p>
    <w:p>
      <w:pPr>
        <w:pStyle w:val="ListBullet"/>
      </w:pPr>
      <w:r>
        <w:t>Workshop platform setup (Zoom, streaming, recording)</w:t>
      </w:r>
    </w:p>
    <w:p>
      <w:pPr>
        <w:pStyle w:val="ListBullet"/>
      </w:pPr>
      <w:r>
        <w:t>Participant intake and tracking systems</w:t>
      </w:r>
    </w:p>
    <w:p>
      <w:pPr>
        <w:pStyle w:val="ListBullet"/>
      </w:pPr>
      <w:r>
        <w:t>Rate: $500 per workshop supported</w:t>
      </w:r>
    </w:p>
    <w:p>
      <w:pPr>
        <w:pStyle w:val="Heading3"/>
      </w:pPr>
      <w:r>
        <w:t>1.5 Strategic Technology Consulting</w:t>
      </w:r>
    </w:p>
    <w:p>
      <w:r>
        <w:t>Ongoing technology strategy, grant application technology sections, and program development:</w:t>
      </w:r>
    </w:p>
    <w:p>
      <w:pPr>
        <w:pStyle w:val="ListBullet"/>
      </w:pPr>
      <w:r>
        <w:t>Rate: $150 per hour; not to exceed 20 hours per month without Board approval</w:t>
      </w:r>
    </w:p>
    <w:p>
      <w:pPr>
        <w:pBdr>
          <w:bottom w:val="single" w:sz="6" w:space="1" w:color="AAAAAA"/>
        </w:pBdr>
      </w:pPr>
    </w:p>
    <w:p>
      <w:pPr>
        <w:pStyle w:val="Heading2"/>
      </w:pPr>
      <w:r>
        <w:rPr>
          <w:color w:val="1F3A5F"/>
        </w:rPr>
        <w:t>ARTICLE 2 — COMPENSATION AND PAYMENT</w:t>
      </w:r>
    </w:p>
    <w:p>
      <w:pPr>
        <w:pStyle w:val="Heading3"/>
      </w:pPr>
      <w:r>
        <w:t>2.1 Fair Market Rate Certification</w:t>
      </w:r>
    </w:p>
    <w:p>
      <w:r>
        <w:t>The parties certify that all rates in this Agreement are at or below fair market value for comparable services in the Greensboro, NC metropolitan area, as determined by reference to industry benchmarks including:</w:t>
      </w:r>
    </w:p>
    <w:p>
      <w:pPr>
        <w:pStyle w:val="ListBullet"/>
      </w:pPr>
      <w:r>
        <w:t>Freelance website development: $3,000–$8,000 per project</w:t>
      </w:r>
    </w:p>
    <w:p>
      <w:pPr>
        <w:pStyle w:val="ListBullet"/>
      </w:pPr>
      <w:r>
        <w:t>Monthly website maintenance: $100–$500/month</w:t>
      </w:r>
    </w:p>
    <w:p>
      <w:pPr>
        <w:pStyle w:val="ListBullet"/>
      </w:pPr>
      <w:r>
        <w:t>AI development consulting: $150–$300/hour</w:t>
      </w:r>
    </w:p>
    <w:p>
      <w:pPr>
        <w:pStyle w:val="ListBullet"/>
      </w:pPr>
      <w:r>
        <w:t>Workshop support: $300–$1,000/event</w:t>
      </w:r>
    </w:p>
    <w:p>
      <w:pPr>
        <w:pStyle w:val="Heading3"/>
      </w:pPr>
      <w:r>
        <w:t>2.2 Invoice and Payment Schedule</w:t>
      </w:r>
    </w:p>
    <w:p>
      <w:pPr>
        <w:pStyle w:val="ListBullet"/>
      </w:pPr>
      <w:r>
        <w:t>Service Provider shall submit invoices monthly by the 5th of each month</w:t>
      </w:r>
    </w:p>
    <w:p>
      <w:pPr>
        <w:pStyle w:val="ListBullet"/>
      </w:pPr>
      <w:r>
        <w:t>Foundation shall remit payment within 30 days of invoice receipt</w:t>
      </w:r>
    </w:p>
    <w:p>
      <w:pPr>
        <w:pStyle w:val="ListBullet"/>
      </w:pPr>
      <w:r>
        <w:t>Payment shall be made by ACH transfer or check to Think! Design &amp; Planning, LLC</w:t>
      </w:r>
    </w:p>
    <w:p>
      <w:pPr>
        <w:pStyle w:val="Heading3"/>
      </w:pPr>
      <w:r>
        <w:t>2.3 Annual Cap</w:t>
      </w:r>
    </w:p>
    <w:p>
      <w:r>
        <w:t xml:space="preserve">Total annual payments under this Agreement shall not exceed </w:t>
      </w:r>
      <w:r>
        <w:rPr>
          <w:b/>
        </w:rPr>
        <w:t>$80,000 per fiscal year</w:t>
      </w:r>
      <w:r>
        <w:t xml:space="preserve"> without additional Board approval. Any amount above $80,000 requires a resolution of the Board of Directors.</w:t>
      </w:r>
    </w:p>
    <w:p>
      <w:pPr>
        <w:pStyle w:val="Heading3"/>
      </w:pPr>
      <w:r>
        <w:t>2.4 Budget Alignment</w:t>
      </w:r>
    </w:p>
    <w:p>
      <w:r>
        <w:t>All payments under this Agreement are contingent on Foundation having sufficient funds. Service Provider acknowledges that grant funding cycles may affect payment timing and agrees to reasonable payment flexibility.</w:t>
      </w:r>
    </w:p>
    <w:p>
      <w:pPr>
        <w:pBdr>
          <w:bottom w:val="single" w:sz="6" w:space="1" w:color="AAAAAA"/>
        </w:pBdr>
      </w:pPr>
    </w:p>
    <w:p>
      <w:pPr>
        <w:pStyle w:val="Heading2"/>
      </w:pPr>
      <w:r>
        <w:rPr>
          <w:color w:val="1F3A5F"/>
        </w:rPr>
        <w:t>ARTICLE 3 — INTELLECTUAL PROPERTY</w:t>
      </w:r>
    </w:p>
    <w:p>
      <w:pPr>
        <w:pStyle w:val="Heading3"/>
      </w:pPr>
      <w:r>
        <w:t>3.1 Partner Business Assets</w:t>
      </w:r>
    </w:p>
    <w:p>
      <w:r>
        <w:t xml:space="preserve">All websites, brand materials, and digital assets created for individual partner businesses are the </w:t>
      </w:r>
      <w:r>
        <w:rPr>
          <w:b/>
        </w:rPr>
        <w:t>sole property of the respective partner business</w:t>
      </w:r>
      <w:r>
        <w:t>. Foundation has no ownership claim over partner business assets.</w:t>
      </w:r>
    </w:p>
    <w:p>
      <w:pPr>
        <w:pStyle w:val="Heading3"/>
      </w:pPr>
      <w:r>
        <w:t>3.2 Platform Templates and Infrastructure</w:t>
      </w:r>
    </w:p>
    <w:p>
      <w:r>
        <w:t xml:space="preserve">All underlying platform templates, AI tool configurations, MCP skill files, and reusable code frameworks are the </w:t>
      </w:r>
      <w:r>
        <w:rPr>
          <w:b/>
        </w:rPr>
        <w:t>sole property of Think! Design &amp; Planning, LLC</w:t>
      </w:r>
      <w:r>
        <w:t>. Foundation has a perpetual, royalty-free license to use these tools for its charitable programs during the term of this Agreement.</w:t>
      </w:r>
    </w:p>
    <w:p>
      <w:pPr>
        <w:pStyle w:val="Heading3"/>
      </w:pPr>
      <w:r>
        <w:t>3.3 Foundation Materials</w:t>
      </w:r>
    </w:p>
    <w:p>
      <w:r>
        <w:t xml:space="preserve">All materials created specifically for Think Ventures (website, branding, program materials) are the </w:t>
      </w:r>
      <w:r>
        <w:rPr>
          <w:b/>
        </w:rPr>
        <w:t>sole property of Think Ventures</w:t>
      </w:r>
      <w:r>
        <w:t>.</w:t>
      </w:r>
    </w:p>
    <w:p>
      <w:pPr>
        <w:pBdr>
          <w:bottom w:val="single" w:sz="6" w:space="1" w:color="AAAAAA"/>
        </w:pBdr>
      </w:pPr>
    </w:p>
    <w:p>
      <w:pPr>
        <w:pStyle w:val="Heading2"/>
      </w:pPr>
      <w:r>
        <w:rPr>
          <w:color w:val="1F3A5F"/>
        </w:rPr>
        <w:t>ARTICLE 4 — CONFLICT OF INTEREST COMPLIANCE</w:t>
      </w:r>
    </w:p>
    <w:p>
      <w:pPr>
        <w:pStyle w:val="Heading3"/>
      </w:pPr>
      <w:r>
        <w:t>4.1 Disclosure</w:t>
      </w:r>
    </w:p>
    <w:p>
      <w:r>
        <w:t>The parties acknowledge that Chris Harrison serves as Executive Director of Think Ventures and sole owner of Think! Design &amp; Planning, LLC. This dual role constitutes a conflict of interest that has been:</w:t>
      </w:r>
    </w:p>
    <w:p>
      <w:pPr>
        <w:pStyle w:val="ListNumber"/>
      </w:pPr>
      <w:r>
        <w:t>Fully disclosed to the Board of Directors</w:t>
      </w:r>
    </w:p>
    <w:p>
      <w:pPr>
        <w:pStyle w:val="ListNumber"/>
      </w:pPr>
      <w:r>
        <w:t>Reviewed and approved by the disinterested Board members (Gregory Fulton and Damon Howell)</w:t>
      </w:r>
    </w:p>
    <w:p>
      <w:pPr>
        <w:pStyle w:val="ListNumber"/>
      </w:pPr>
      <w:r>
        <w:t>Documented in Board meeting minutes dated June 2, 2026</w:t>
      </w:r>
    </w:p>
    <w:p>
      <w:pPr>
        <w:pStyle w:val="ListNumber"/>
      </w:pPr>
      <w:r>
        <w:t>Priced at fair market rates as required by IRS regulations</w:t>
      </w:r>
    </w:p>
    <w:p>
      <w:pPr>
        <w:pStyle w:val="Heading3"/>
      </w:pPr>
      <w:r>
        <w:t>4.2 Annual Review</w:t>
      </w:r>
    </w:p>
    <w:p>
      <w:r>
        <w:t>This Agreement shall be reviewed annually by the Board of Directors. Chris Harrison shall recuse himself from any vote related to this Agreement. The disinterested Board members shall certify annually that the rates remain at or below fair market value.</w:t>
      </w:r>
    </w:p>
    <w:p>
      <w:pPr>
        <w:pStyle w:val="Heading3"/>
      </w:pPr>
      <w:r>
        <w:t>4.3 Form 990 Disclosure</w:t>
      </w:r>
    </w:p>
    <w:p>
      <w:r>
        <w:t>This Agreement and all payments made hereunder shall be disclosed in the Foundation's annual Form 990 filing as required by IRS regulations for transactions with interested persons.</w:t>
      </w:r>
    </w:p>
    <w:p>
      <w:pPr>
        <w:pBdr>
          <w:bottom w:val="single" w:sz="6" w:space="1" w:color="AAAAAA"/>
        </w:pBdr>
      </w:pPr>
    </w:p>
    <w:p>
      <w:pPr>
        <w:pStyle w:val="Heading2"/>
      </w:pPr>
      <w:r>
        <w:rPr>
          <w:color w:val="1F3A5F"/>
        </w:rPr>
        <w:t>ARTICLE 5 — TERM AND TERMINATION</w:t>
      </w:r>
    </w:p>
    <w:p>
      <w:pPr>
        <w:pStyle w:val="Heading3"/>
      </w:pPr>
      <w:r>
        <w:t>5.1 Initial Term</w:t>
      </w:r>
    </w:p>
    <w:p>
      <w:r>
        <w:t>This Agreement shall commence on the Effective Date and continue for one (1) year, automatically renewing annually unless terminated.</w:t>
      </w:r>
    </w:p>
    <w:p>
      <w:pPr>
        <w:pStyle w:val="Heading3"/>
      </w:pPr>
      <w:r>
        <w:t>5.2 Termination for Convenience</w:t>
      </w:r>
    </w:p>
    <w:p>
      <w:r>
        <w:t>Either party may terminate this Agreement with 60 days written notice.</w:t>
      </w:r>
    </w:p>
    <w:p>
      <w:pPr>
        <w:pStyle w:val="Heading3"/>
      </w:pPr>
      <w:r>
        <w:t>5.3 Termination for Cause</w:t>
      </w:r>
    </w:p>
    <w:p>
      <w:r>
        <w:t>Either party may terminate immediately if the other party materially breaches this Agreement and fails to cure such breach within 15 days of written notice.</w:t>
      </w:r>
    </w:p>
    <w:p>
      <w:pPr>
        <w:pStyle w:val="Heading3"/>
      </w:pPr>
      <w:r>
        <w:t>5.4 Effect of Termination</w:t>
      </w:r>
    </w:p>
    <w:p>
      <w:r>
        <w:t>Upon termination, Service Provider shall deliver all Foundation materials and provide reasonable transition assistance for up to 30 days at the rates specified herein.</w:t>
      </w:r>
    </w:p>
    <w:p>
      <w:pPr>
        <w:pBdr>
          <w:bottom w:val="single" w:sz="6" w:space="1" w:color="AAAAAA"/>
        </w:pBdr>
      </w:pPr>
    </w:p>
    <w:p>
      <w:pPr>
        <w:pStyle w:val="Heading2"/>
      </w:pPr>
      <w:r>
        <w:rPr>
          <w:color w:val="1F3A5F"/>
        </w:rPr>
        <w:t>ARTICLE 6 — GENERAL PROVISIONS</w:t>
      </w:r>
    </w:p>
    <w:p>
      <w:pPr>
        <w:pStyle w:val="Heading3"/>
      </w:pPr>
      <w:r>
        <w:t>6.1 Independent Contractor</w:t>
      </w:r>
    </w:p>
    <w:p>
      <w:r>
        <w:t>Think! Design &amp; Planning, LLC is an independent contractor. Nothing in this Agreement creates an employment relationship. Service Provider is responsible for all taxes on compensation received.</w:t>
      </w:r>
    </w:p>
    <w:p>
      <w:pPr>
        <w:pStyle w:val="Heading3"/>
      </w:pPr>
      <w:r>
        <w:t>6.2 Confidentiality</w:t>
      </w:r>
    </w:p>
    <w:p>
      <w:r>
        <w:t>Both parties agree to maintain the confidentiality of partner business information, donor information, grant details, and any other non-public information of the other party.</w:t>
      </w:r>
    </w:p>
    <w:p>
      <w:pPr>
        <w:pStyle w:val="Heading3"/>
      </w:pPr>
      <w:r>
        <w:t>6.3 Governing Law</w:t>
      </w:r>
    </w:p>
    <w:p>
      <w:r>
        <w:t>This Agreement shall be governed by the laws of the State of North Carolina.</w:t>
      </w:r>
    </w:p>
    <w:p>
      <w:pPr>
        <w:pStyle w:val="Heading3"/>
      </w:pPr>
      <w:r>
        <w:t>6.4 Entire Agreement</w:t>
      </w:r>
    </w:p>
    <w:p>
      <w:r>
        <w:t>This Agreement constitutes the entire agreement between the parties with respect to its subject matter and supersedes all prior agreements and understandings.</w:t>
      </w:r>
    </w:p>
    <w:p>
      <w:pPr>
        <w:pStyle w:val="Heading3"/>
      </w:pPr>
      <w:r>
        <w:t>6.5 Amendment</w:t>
      </w:r>
    </w:p>
    <w:p>
      <w:r>
        <w:t>This Agreement may only be amended in writing, signed by authorized representatives of both parties, and approved by the Foundation's Board of Directors.</w:t>
      </w:r>
    </w:p>
    <w:p>
      <w:pPr>
        <w:pBdr>
          <w:bottom w:val="single" w:sz="6" w:space="1" w:color="AAAAAA"/>
        </w:pBdr>
      </w:pPr>
    </w:p>
    <w:p>
      <w:pPr>
        <w:pStyle w:val="Heading2"/>
      </w:pPr>
      <w:r>
        <w:rPr>
          <w:color w:val="1F3A5F"/>
        </w:rPr>
        <w:t>ARTICLE 7 — BOARD AUTHORIZATION</w:t>
      </w:r>
    </w:p>
    <w:p>
      <w:r>
        <w:t>This Agreement has been reviewed and approved by the Board of Directors of Think Ventures at a duly held meeting, with Chris Harrison recusing from the vote. The following disinterested directors voted to approve:</w:t>
      </w:r>
    </w:p>
    <w:tbl>
      <w:tblPr>
        <w:tblStyle w:val="TableGrid"/>
        <w:tblW w:type="auto" w:w="0"/>
        <w:tblLook w:firstColumn="1" w:firstRow="1" w:lastColumn="0" w:lastRow="0" w:noHBand="0" w:noVBand="1" w:val="04A0"/>
      </w:tblPr>
      <w:tblGrid>
        <w:gridCol w:w="4320"/>
        <w:gridCol w:w="4320"/>
      </w:tblGrid>
      <w:tr>
        <w:tc>
          <w:tcPr>
            <w:tcW w:type="dxa" w:w="4320"/>
            <w:shd w:fill="1F3A5F" w:color="auto" w:val="clear"/>
          </w:tcPr>
          <w:p>
            <w:r>
              <w:rPr>
                <w:b/>
                <w:color w:val="FFFFFF"/>
                <w:sz w:val="20"/>
              </w:rPr>
              <w:t>Director</w:t>
            </w:r>
          </w:p>
        </w:tc>
        <w:tc>
          <w:tcPr>
            <w:tcW w:type="dxa" w:w="4320"/>
            <w:shd w:fill="1F3A5F" w:color="auto" w:val="clear"/>
          </w:tcPr>
          <w:p>
            <w:r>
              <w:rPr>
                <w:b/>
                <w:color w:val="FFFFFF"/>
                <w:sz w:val="20"/>
              </w:rPr>
              <w:t>Vote</w:t>
            </w:r>
          </w:p>
        </w:tc>
      </w:tr>
      <w:tr>
        <w:tc>
          <w:tcPr>
            <w:tcW w:type="dxa" w:w="4320"/>
          </w:tcPr>
          <w:p>
            <w:r>
              <w:rPr>
                <w:sz w:val="20"/>
              </w:rPr>
              <w:t>Gregory Fulton, Vice Chair</w:t>
            </w:r>
          </w:p>
        </w:tc>
        <w:tc>
          <w:tcPr>
            <w:tcW w:type="dxa" w:w="4320"/>
          </w:tcPr>
          <w:p>
            <w:r>
              <w:rPr>
                <w:sz w:val="20"/>
              </w:rPr>
              <w:t>☐ Approved</w:t>
            </w:r>
          </w:p>
        </w:tc>
      </w:tr>
      <w:tr>
        <w:tc>
          <w:tcPr>
            <w:tcW w:type="dxa" w:w="4320"/>
          </w:tcPr>
          <w:p>
            <w:r>
              <w:rPr>
                <w:sz w:val="20"/>
              </w:rPr>
              <w:t>Damon Howell, Secretary/Treasurer</w:t>
            </w:r>
          </w:p>
        </w:tc>
        <w:tc>
          <w:tcPr>
            <w:tcW w:type="dxa" w:w="4320"/>
          </w:tcPr>
          <w:p>
            <w:r>
              <w:rPr>
                <w:sz w:val="20"/>
              </w:rPr>
              <w:t>☐ Approved</w:t>
            </w:r>
          </w:p>
        </w:tc>
      </w:tr>
    </w:tbl>
    <w:p/>
    <w:p>
      <w:r/>
      <w:r>
        <w:rPr>
          <w:b/>
        </w:rPr>
        <w:t>Date of Board Approval:</w:t>
      </w:r>
      <w:r>
        <w:t xml:space="preserve"> June _____, 2026</w:t>
      </w:r>
    </w:p>
    <w:p>
      <w:pPr>
        <w:pBdr>
          <w:bottom w:val="single" w:sz="6" w:space="1" w:color="AAAAAA"/>
        </w:pBdr>
      </w:pPr>
    </w:p>
    <w:p>
      <w:pPr>
        <w:pStyle w:val="Heading2"/>
      </w:pPr>
      <w:r>
        <w:rPr>
          <w:color w:val="1F3A5F"/>
        </w:rPr>
        <w:t>SIGNATURES</w:t>
      </w:r>
    </w:p>
    <w:p>
      <w:r/>
      <w:r>
        <w:rPr>
          <w:b/>
        </w:rPr>
        <w:t>THINK VENTURES</w:t>
      </w:r>
      <w:r/>
    </w:p>
    <w:p>
      <w:r/>
      <w:r>
        <w:rPr>
          <w:i/>
        </w:rPr>
        <w:t>(Nonprofit Corporation)</w:t>
      </w:r>
      <w:r/>
    </w:p>
    <w:p>
      <w:r>
        <w:t xml:space="preserve">  </w:t>
      </w:r>
    </w:p>
    <w:p>
      <w:r>
        <w:rPr>
          <w:rFonts w:ascii="Courier New" w:hAnsi="Courier New"/>
          <w:sz w:val="22"/>
        </w:rPr>
        <w:t>_____________________________________       Date: ___________</w:t>
      </w:r>
    </w:p>
    <w:p>
      <w:r/>
      <w:r>
        <w:rPr>
          <w:b/>
        </w:rPr>
        <w:t>Gregory Fulton</w:t>
      </w:r>
      <w:r>
        <w:t>, Vice Chair</w:t>
      </w:r>
    </w:p>
    <w:p>
      <w:r>
        <w:t>Signing on behalf of Think Ventures</w:t>
      </w:r>
    </w:p>
    <w:p>
      <w:r/>
      <w:r>
        <w:rPr>
          <w:i/>
        </w:rPr>
        <w:t>(Chris Harrison recused as interested party)</w:t>
      </w:r>
      <w:r/>
    </w:p>
    <w:p>
      <w:r>
        <w:t xml:space="preserve">  </w:t>
      </w:r>
    </w:p>
    <w:p>
      <w:pPr>
        <w:pBdr>
          <w:bottom w:val="single" w:sz="6" w:space="1" w:color="AAAAAA"/>
        </w:pBdr>
      </w:pPr>
    </w:p>
    <w:p>
      <w:r/>
      <w:r>
        <w:rPr>
          <w:b/>
        </w:rPr>
        <w:t>THINK! DESIGN &amp; PLANNING, LLC</w:t>
      </w:r>
      <w:r/>
    </w:p>
    <w:p>
      <w:r/>
      <w:r>
        <w:rPr>
          <w:i/>
        </w:rPr>
        <w:t>(For-Profit Limited Liability Company)</w:t>
      </w:r>
      <w:r/>
    </w:p>
    <w:p>
      <w:r>
        <w:t xml:space="preserve">  </w:t>
      </w:r>
    </w:p>
    <w:p>
      <w:r>
        <w:rPr>
          <w:rFonts w:ascii="Courier New" w:hAnsi="Courier New"/>
          <w:sz w:val="22"/>
        </w:rPr>
        <w:t>_____________________________________       Date: ___________</w:t>
      </w:r>
    </w:p>
    <w:p>
      <w:r/>
      <w:r>
        <w:rPr>
          <w:b/>
        </w:rPr>
        <w:t>Chris Harrison</w:t>
      </w:r>
      <w:r>
        <w:t>, Owner/Member</w:t>
      </w:r>
    </w:p>
    <w:p>
      <w:pPr>
        <w:pBdr>
          <w:bottom w:val="single" w:sz="6" w:space="1" w:color="AAAAAA"/>
        </w:pBdr>
      </w:pPr>
    </w:p>
    <w:p>
      <w:r/>
      <w:r>
        <w:rPr>
          <w:i/>
        </w:rPr>
        <w:t>Think Ventures | EIN: 42-2912572 | Greensboro, NC 27455</w:t>
      </w:r>
      <w:r/>
    </w:p>
    <w:p>
      <w:r/>
      <w:r>
        <w:rPr>
          <w:i/>
        </w:rPr>
        <w:t>Agreement TVF-001 | Effective June 2, 2026</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