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4696"/>
        <w:gridCol w:w="3420"/>
        <w:gridCol w:w="4045"/>
      </w:tblGrid>
      <w:tr w:rsidR="00DE038D" w:rsidRPr="00DE038D" w14:paraId="1FBB54DA" w14:textId="77777777" w:rsidTr="004076F1">
        <w:tc>
          <w:tcPr>
            <w:tcW w:w="789" w:type="dxa"/>
            <w:vAlign w:val="bottom"/>
          </w:tcPr>
          <w:p w14:paraId="4E615C14" w14:textId="6D089000" w:rsidR="00DE038D" w:rsidRPr="00DE038D" w:rsidRDefault="00DE038D" w:rsidP="004076F1">
            <w:pPr>
              <w:rPr>
                <w:sz w:val="20"/>
                <w:szCs w:val="20"/>
              </w:rPr>
            </w:pP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Cluster</w:t>
            </w:r>
          </w:p>
        </w:tc>
        <w:tc>
          <w:tcPr>
            <w:tcW w:w="4696" w:type="dxa"/>
            <w:vAlign w:val="bottom"/>
          </w:tcPr>
          <w:p w14:paraId="08164DE0" w14:textId="78E09DC0" w:rsidR="00DE038D" w:rsidRPr="00DE038D" w:rsidRDefault="00DE038D" w:rsidP="004076F1">
            <w:pPr>
              <w:rPr>
                <w:sz w:val="20"/>
                <w:szCs w:val="20"/>
              </w:rPr>
            </w:pP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Exemplary Diseases</w:t>
            </w:r>
          </w:p>
        </w:tc>
        <w:tc>
          <w:tcPr>
            <w:tcW w:w="3420" w:type="dxa"/>
            <w:vAlign w:val="bottom"/>
          </w:tcPr>
          <w:p w14:paraId="5AB63F59" w14:textId="3960FD73" w:rsidR="00DE038D" w:rsidRPr="00DE038D" w:rsidRDefault="00DE038D" w:rsidP="004076F1">
            <w:pPr>
              <w:rPr>
                <w:sz w:val="20"/>
                <w:szCs w:val="20"/>
              </w:rPr>
            </w:pP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Genes</w:t>
            </w:r>
          </w:p>
        </w:tc>
        <w:tc>
          <w:tcPr>
            <w:tcW w:w="4045" w:type="dxa"/>
            <w:vAlign w:val="bottom"/>
          </w:tcPr>
          <w:p w14:paraId="1CA92348" w14:textId="34D33944" w:rsidR="00DE038D" w:rsidRPr="00DE038D" w:rsidRDefault="00DE038D" w:rsidP="004076F1">
            <w:pPr>
              <w:rPr>
                <w:sz w:val="20"/>
                <w:szCs w:val="20"/>
              </w:rPr>
            </w:pP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Exemplary </w:t>
            </w:r>
            <w:proofErr w:type="spellStart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GO_terms</w:t>
            </w:r>
            <w:proofErr w:type="spellEnd"/>
          </w:p>
        </w:tc>
      </w:tr>
      <w:tr w:rsidR="00DE038D" w:rsidRPr="00DE038D" w14:paraId="2A7972A5" w14:textId="77777777" w:rsidTr="004076F1">
        <w:tc>
          <w:tcPr>
            <w:tcW w:w="789" w:type="dxa"/>
            <w:vAlign w:val="bottom"/>
          </w:tcPr>
          <w:p w14:paraId="70B304E9" w14:textId="57E8FC04" w:rsidR="00DE038D" w:rsidRPr="00DE038D" w:rsidRDefault="00DE038D" w:rsidP="004076F1">
            <w:pPr>
              <w:rPr>
                <w:sz w:val="20"/>
                <w:szCs w:val="20"/>
              </w:rPr>
            </w:pP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96" w:type="dxa"/>
            <w:vAlign w:val="bottom"/>
          </w:tcPr>
          <w:p w14:paraId="1ED0570F" w14:textId="12380261" w:rsidR="00DE038D" w:rsidRPr="00DE038D" w:rsidRDefault="00DE038D" w:rsidP="004076F1">
            <w:pPr>
              <w:rPr>
                <w:sz w:val="20"/>
                <w:szCs w:val="20"/>
              </w:rPr>
            </w:pP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Charcot-Marie-Tooth disease type 2C; </w:t>
            </w:r>
            <w:proofErr w:type="spellStart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Metatropic</w:t>
            </w:r>
            <w:proofErr w:type="spellEnd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dysplasia; </w:t>
            </w:r>
            <w:proofErr w:type="spellStart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Brachyolmia</w:t>
            </w:r>
            <w:proofErr w:type="spellEnd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type 3; </w:t>
            </w:r>
            <w:proofErr w:type="spellStart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Parastremmatic</w:t>
            </w:r>
            <w:proofErr w:type="spellEnd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dwarfism; </w:t>
            </w:r>
            <w:proofErr w:type="spellStart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Spondylometaphyseal</w:t>
            </w:r>
            <w:proofErr w:type="spellEnd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dysplasia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;</w:t>
            </w: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entronuclear myopathy; King </w:t>
            </w:r>
            <w:proofErr w:type="spellStart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Denborough</w:t>
            </w:r>
            <w:proofErr w:type="spellEnd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syndrome; Myopathy congenital; Cap myopathy; Congenital fiber type disproportion; Freeman-Sheldon syndrome; Distal arthrogryposis type 1; Spinocerebellar ataxia 15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/29</w:t>
            </w: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; Tubular aggregate myopathy; Rigid spine syndrome; </w:t>
            </w:r>
            <w:proofErr w:type="spellStart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Dysferlinopathy</w:t>
            </w:r>
            <w:proofErr w:type="spellEnd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; Becker muscular dystrophy; Duchenne muscular dystrophy</w:t>
            </w:r>
          </w:p>
        </w:tc>
        <w:tc>
          <w:tcPr>
            <w:tcW w:w="3420" w:type="dxa"/>
            <w:vAlign w:val="bottom"/>
          </w:tcPr>
          <w:p w14:paraId="39A88A08" w14:textId="7CB892E0" w:rsidR="00DE038D" w:rsidRPr="00DE038D" w:rsidRDefault="00DE038D" w:rsidP="004076F1">
            <w:pPr>
              <w:rPr>
                <w:sz w:val="20"/>
                <w:szCs w:val="20"/>
              </w:rPr>
            </w:pP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TRPV4; RYR1; TPM3; NALCN; ITPR1; NEB; MYH3; TTN; AK9; CHRNA1; CHRNE; CHRNB1; CACNA1S; CHRNG; ORAI1; BIN1; TPM2; ACTA1; KLHL41; TCAP; CHRND; MYPN; STIM1; MYH7; SELENON; DYSF; DMD; LMOD3; RAPSN</w:t>
            </w:r>
          </w:p>
        </w:tc>
        <w:tc>
          <w:tcPr>
            <w:tcW w:w="4045" w:type="dxa"/>
            <w:vAlign w:val="bottom"/>
          </w:tcPr>
          <w:p w14:paraId="11C4157F" w14:textId="17D87937" w:rsidR="00DE038D" w:rsidRPr="00DE038D" w:rsidRDefault="00DE038D" w:rsidP="004076F1">
            <w:pPr>
              <w:rPr>
                <w:sz w:val="20"/>
                <w:szCs w:val="20"/>
              </w:rPr>
            </w:pP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Muscle filament sliding; Muscle organ development; Myofibril assembly; Synaptic transmission, cholinergic; Skeletal muscle tissue development; Neuromuscular synaptic transmission; Skeletal muscle thin filament assembly; Sarcomere organization; Regulation of heart contraction; Calcium ion transport; Regulation of membrane potential; Ligand-gated cation channel activity;</w:t>
            </w:r>
          </w:p>
        </w:tc>
      </w:tr>
      <w:tr w:rsidR="00DE038D" w:rsidRPr="00DE038D" w14:paraId="44E0D4EC" w14:textId="77777777" w:rsidTr="004076F1">
        <w:tc>
          <w:tcPr>
            <w:tcW w:w="789" w:type="dxa"/>
            <w:vAlign w:val="bottom"/>
          </w:tcPr>
          <w:p w14:paraId="102FDEB0" w14:textId="047900CF" w:rsidR="00DE038D" w:rsidRPr="00DE038D" w:rsidRDefault="00DE038D" w:rsidP="004076F1">
            <w:pPr>
              <w:rPr>
                <w:sz w:val="20"/>
                <w:szCs w:val="20"/>
              </w:rPr>
            </w:pP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696" w:type="dxa"/>
            <w:vAlign w:val="bottom"/>
          </w:tcPr>
          <w:p w14:paraId="177EC900" w14:textId="537396F4" w:rsidR="00DE038D" w:rsidRPr="00DE038D" w:rsidRDefault="00DE038D" w:rsidP="004076F1">
            <w:pPr>
              <w:rPr>
                <w:sz w:val="20"/>
                <w:szCs w:val="20"/>
              </w:rPr>
            </w:pPr>
            <w:proofErr w:type="spellStart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Leber</w:t>
            </w:r>
            <w:proofErr w:type="spellEnd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congenital amaurosis; Cone-rod dystrophy; Achromatopsia 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/3; </w:t>
            </w:r>
            <w:proofErr w:type="spellStart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Stargardt</w:t>
            </w:r>
            <w:proofErr w:type="spellEnd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disease; Usher syndrome type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1/</w:t>
            </w: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2A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/3A</w:t>
            </w: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; Corneal dystrophy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; </w:t>
            </w: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Coats disease; Norrie disease; Retinal cone dystrophy 1;</w:t>
            </w:r>
          </w:p>
        </w:tc>
        <w:tc>
          <w:tcPr>
            <w:tcW w:w="3420" w:type="dxa"/>
            <w:vAlign w:val="bottom"/>
          </w:tcPr>
          <w:p w14:paraId="75F1CE47" w14:textId="4E1A84E0" w:rsidR="00DE038D" w:rsidRPr="00DE038D" w:rsidRDefault="00DE038D" w:rsidP="004076F1">
            <w:pPr>
              <w:rPr>
                <w:sz w:val="20"/>
                <w:szCs w:val="20"/>
              </w:rPr>
            </w:pP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NMNAT1; SAG; RPGR; SPATA7; ZNF408; CDHR1; RHO; PDE6B; RPE65; CRX; TULP1; ABCA4; BEST1; USH2A; PROM1; TGFBI; IMPG2; NDP; OPN1MW; GUCA1A; PDE6H; GNAT2; CNGA3; PDE6C; CNGB3; ATF6; AIPL1; TIMP3; RDH12; IMPDH1; GNAQ; GRK1; PRPH2; LRAT; CLRN1; LRP5; CACNA1F; MYO7A; GUCY2D; TYR; CACNA2D4; FZD4; ADCY5; OPN1LW</w:t>
            </w:r>
          </w:p>
        </w:tc>
        <w:tc>
          <w:tcPr>
            <w:tcW w:w="4045" w:type="dxa"/>
            <w:vAlign w:val="bottom"/>
          </w:tcPr>
          <w:p w14:paraId="58836C5B" w14:textId="66AEFC09" w:rsidR="00DE038D" w:rsidRPr="00DE038D" w:rsidRDefault="00DE038D" w:rsidP="004076F1">
            <w:pPr>
              <w:rPr>
                <w:sz w:val="20"/>
                <w:szCs w:val="20"/>
              </w:rPr>
            </w:pP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Visual perception; Retina homeostasis; Phototransduction, visible light; Photoreceptor cell maintenance</w:t>
            </w:r>
            <w:r w:rsidR="00AF4CF1">
              <w:rPr>
                <w:rFonts w:ascii="Calibri" w:hAnsi="Calibri" w:cs="Calibri"/>
                <w:color w:val="000000"/>
                <w:sz w:val="20"/>
                <w:szCs w:val="20"/>
              </w:rPr>
              <w:t>;</w:t>
            </w: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Regulation of rhodopsin mediated signaling pathway;</w:t>
            </w:r>
          </w:p>
        </w:tc>
      </w:tr>
      <w:tr w:rsidR="00DE038D" w:rsidRPr="00DE038D" w14:paraId="71E6958E" w14:textId="77777777" w:rsidTr="004076F1">
        <w:tc>
          <w:tcPr>
            <w:tcW w:w="789" w:type="dxa"/>
            <w:vAlign w:val="bottom"/>
          </w:tcPr>
          <w:p w14:paraId="589E1B7B" w14:textId="7A50BC48" w:rsidR="00DE038D" w:rsidRPr="00DE038D" w:rsidRDefault="00DE038D" w:rsidP="004076F1">
            <w:pPr>
              <w:rPr>
                <w:sz w:val="20"/>
                <w:szCs w:val="20"/>
              </w:rPr>
            </w:pP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696" w:type="dxa"/>
            <w:vAlign w:val="bottom"/>
          </w:tcPr>
          <w:p w14:paraId="44911A72" w14:textId="6207C2EE" w:rsidR="00DE038D" w:rsidRPr="00DE038D" w:rsidRDefault="00DE038D" w:rsidP="004076F1">
            <w:pPr>
              <w:rPr>
                <w:sz w:val="20"/>
                <w:szCs w:val="20"/>
              </w:rPr>
            </w:pP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Autosomal recessive </w:t>
            </w:r>
            <w:proofErr w:type="spellStart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pseudohypoaldosteronism</w:t>
            </w:r>
            <w:proofErr w:type="spellEnd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type 1; Liddle syndrome; </w:t>
            </w:r>
            <w:proofErr w:type="spellStart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Brugada</w:t>
            </w:r>
            <w:proofErr w:type="spellEnd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syndrome; Thomsen and Becker disease; Familial hemiplegic migraine; Familial infantile convulsions and paroxysmal choreoathetosis; Benign familial infantile epilepsy; Paroxysmal </w:t>
            </w:r>
            <w:proofErr w:type="spellStart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kinesigenic</w:t>
            </w:r>
            <w:proofErr w:type="spellEnd"/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choreoathetosis; Early Infantile Epileptic Encephalopathy; West syndrome; Familial primary hypomagnesemia; Dravet syndrome; Familial atrial fibrillation; Long QT syndrome 1; Progressive familial heart block type </w:t>
            </w:r>
            <w:r w:rsidR="00AF4CF1">
              <w:rPr>
                <w:rFonts w:ascii="Calibri" w:hAnsi="Calibri" w:cs="Calibri"/>
                <w:color w:val="000000"/>
                <w:sz w:val="20"/>
                <w:szCs w:val="20"/>
              </w:rPr>
              <w:t>1B/1A/</w:t>
            </w: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2; Andersen-Tawil syndrome; Hyperkalemic periodic paralysis; Potassium aggravated myotonia; Rapid-onset dystonia-parkinsonism</w:t>
            </w:r>
            <w:r w:rsidR="00AF4CF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; </w:t>
            </w: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Congenital insensitivity to pain; Paroxysmal extreme pain disorder; Erythromelalgia;</w:t>
            </w:r>
          </w:p>
        </w:tc>
        <w:tc>
          <w:tcPr>
            <w:tcW w:w="3420" w:type="dxa"/>
            <w:vAlign w:val="bottom"/>
          </w:tcPr>
          <w:p w14:paraId="0DB07350" w14:textId="5F30441A" w:rsidR="00DE038D" w:rsidRPr="00DE038D" w:rsidRDefault="00DE038D" w:rsidP="004076F1">
            <w:pPr>
              <w:rPr>
                <w:sz w:val="20"/>
                <w:szCs w:val="20"/>
              </w:rPr>
            </w:pP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SCNN1A; CLCN1; PRRT2; CACNA1A; SCNN1G; SIK1; KCNA1; SCN2A; SCN2B; SCN4B; SCN3B; EEF1A2; SCN1B; KCNJ2; SCN4A; PLCB1; TRPM4; ATP1A3; KCNE2; KCNQ2; SCN5A; SCN11A; NKX2-5; SCNN1B; ATP1A2; KCNQ3; SCN1A; KCNT1; SCN8A; SCN9A; SCN10A; AKAP9; ABCC9; DNM1; GRIN1; GRIN2B; KCND3; SYNGAP1; KCNJ8; KCNQ1; GABRA1; KCNJ10; GRIN2A; SLC25A22; KCNE3; CHD2; GABRG2; KCNE1; SLC4A11</w:t>
            </w:r>
          </w:p>
        </w:tc>
        <w:tc>
          <w:tcPr>
            <w:tcW w:w="4045" w:type="dxa"/>
            <w:vAlign w:val="bottom"/>
          </w:tcPr>
          <w:p w14:paraId="45448D1E" w14:textId="18908A05" w:rsidR="00DE038D" w:rsidRPr="00DE038D" w:rsidRDefault="00DE038D" w:rsidP="004076F1">
            <w:pPr>
              <w:rPr>
                <w:sz w:val="20"/>
                <w:szCs w:val="20"/>
              </w:rPr>
            </w:pP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Sodium ion transmembrane transport; Cardiac muscle contraction; Transmission of nerve impulse; Blood circulation; Regulation of ventricular cardiac muscle cell membrane repolarization; Ventricular cardiac muscle cell action potential</w:t>
            </w:r>
            <w:r w:rsidR="00AF4CF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; </w:t>
            </w:r>
            <w:r w:rsidRPr="00DE038D">
              <w:rPr>
                <w:rFonts w:ascii="Calibri" w:hAnsi="Calibri" w:cs="Calibri"/>
                <w:color w:val="000000"/>
                <w:sz w:val="20"/>
                <w:szCs w:val="20"/>
              </w:rPr>
              <w:t>Sensory perception of pain; Ion channel binding; Ligand-gated cation channel activity; Potassium channel regulator activity; Calmodulin binding; Glutamate-gated calcium ion channel activity</w:t>
            </w:r>
          </w:p>
        </w:tc>
      </w:tr>
    </w:tbl>
    <w:p w14:paraId="5EF463B4" w14:textId="77777777" w:rsidR="00D8680E" w:rsidRPr="00DE038D" w:rsidRDefault="00D8680E" w:rsidP="004076F1">
      <w:pPr>
        <w:rPr>
          <w:sz w:val="20"/>
          <w:szCs w:val="20"/>
        </w:rPr>
      </w:pPr>
    </w:p>
    <w:sectPr w:rsidR="00D8680E" w:rsidRPr="00DE038D" w:rsidSect="00BA33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2F"/>
    <w:rsid w:val="00116CAE"/>
    <w:rsid w:val="00157E3D"/>
    <w:rsid w:val="003255D6"/>
    <w:rsid w:val="003A04C2"/>
    <w:rsid w:val="004076F1"/>
    <w:rsid w:val="004E61D7"/>
    <w:rsid w:val="0071141C"/>
    <w:rsid w:val="00AD7C6B"/>
    <w:rsid w:val="00AF4CF1"/>
    <w:rsid w:val="00BA332F"/>
    <w:rsid w:val="00BA4EEE"/>
    <w:rsid w:val="00D16BCA"/>
    <w:rsid w:val="00D8680E"/>
    <w:rsid w:val="00DE038D"/>
    <w:rsid w:val="00E3589B"/>
    <w:rsid w:val="00FA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3CF0"/>
  <w15:chartTrackingRefBased/>
  <w15:docId w15:val="{90423BBC-3B41-0143-8D9E-52F5EB8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Sanjak, Jaleal (NIH/OD) [E]</dc:creator>
  <cp:keywords/>
  <dc:description/>
  <cp:lastModifiedBy>Sanjak, Jaleal (NIH/OD) [E]</cp:lastModifiedBy>
  <cp:revision>1</cp:revision>
  <dcterms:created xsi:type="dcterms:W3CDTF">2022-09-16T13:52:00Z</dcterms:created>
  <dcterms:modified xsi:type="dcterms:W3CDTF">2022-09-16T20:03:00Z</dcterms:modified>
</cp:coreProperties>
</file>