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043FE" w14:textId="2C807343" w:rsidR="00C84E0D" w:rsidRDefault="0051262D" w:rsidP="00574DFC">
      <w:pPr>
        <w:pStyle w:val="Title"/>
        <w:jc w:val="center"/>
      </w:pPr>
      <w:r>
        <w:t>Configuration file changes from 2</w:t>
      </w:r>
      <w:r w:rsidR="009A2C3D">
        <w:t xml:space="preserve">.x </w:t>
      </w:r>
      <w:r>
        <w:t>to 3</w:t>
      </w:r>
      <w:r w:rsidR="009A2C3D">
        <w:t>.</w:t>
      </w:r>
      <w:r w:rsidR="14AAEDBE">
        <w:t>x (up to 3.1.1)</w:t>
      </w:r>
    </w:p>
    <w:p w14:paraId="3D66ECF7" w14:textId="77777777" w:rsidR="00683476" w:rsidRDefault="00683476" w:rsidP="00683476"/>
    <w:p w14:paraId="07EB5711" w14:textId="59CC2A73" w:rsidR="00683476" w:rsidRDefault="00683476" w:rsidP="00683476">
      <w:r>
        <w:t xml:space="preserve">Last </w:t>
      </w:r>
      <w:r w:rsidR="58DBE88C">
        <w:t>major update</w:t>
      </w:r>
      <w:r>
        <w:t>: March 2</w:t>
      </w:r>
      <w:r w:rsidRPr="4341374E">
        <w:rPr>
          <w:vertAlign w:val="superscript"/>
        </w:rPr>
        <w:t>nd</w:t>
      </w:r>
      <w:r>
        <w:t>, 2022</w:t>
      </w:r>
    </w:p>
    <w:p w14:paraId="7F49BD1F" w14:textId="33329C03" w:rsidR="0051262D" w:rsidRDefault="4AEA3B27">
      <w:r>
        <w:t xml:space="preserve">Last update making note of </w:t>
      </w:r>
      <w:r w:rsidR="69242474" w:rsidRPr="37933A57">
        <w:rPr>
          <w:b/>
          <w:bCs/>
        </w:rPr>
        <w:t>coming</w:t>
      </w:r>
      <w:r w:rsidR="69242474">
        <w:t xml:space="preserve"> </w:t>
      </w:r>
      <w:r>
        <w:t>3.1</w:t>
      </w:r>
      <w:r w:rsidR="2837C72D">
        <w:t>.2</w:t>
      </w:r>
      <w:r>
        <w:t>. changes: June 7, 202</w:t>
      </w:r>
      <w:r w:rsidR="2DFD8B31">
        <w:t>4</w:t>
      </w:r>
    </w:p>
    <w:p w14:paraId="56F127BC" w14:textId="3B5370C6" w:rsidR="0051262D" w:rsidRDefault="0051262D" w:rsidP="4341374E">
      <w:pPr>
        <w:rPr>
          <w:rFonts w:ascii="Arial" w:hAnsi="Arial" w:cs="Arial"/>
          <w:color w:val="1D1C1D"/>
          <w:sz w:val="23"/>
          <w:szCs w:val="23"/>
          <w:shd w:val="clear" w:color="auto" w:fill="F8F8F8"/>
        </w:rPr>
      </w:pPr>
    </w:p>
    <w:p w14:paraId="736F08BF" w14:textId="4592FDC6" w:rsidR="0831A471" w:rsidRDefault="0831A471" w:rsidP="006C25B7">
      <w:pPr>
        <w:pStyle w:val="Heading1"/>
      </w:pPr>
      <w:r w:rsidRPr="554B332F">
        <w:t xml:space="preserve">GSRS </w:t>
      </w:r>
      <w:r w:rsidR="004408CE">
        <w:t>c</w:t>
      </w:r>
      <w:r w:rsidRPr="554B332F">
        <w:t xml:space="preserve">onfiguration has </w:t>
      </w:r>
      <w:r w:rsidR="004408CE">
        <w:t>s</w:t>
      </w:r>
      <w:r w:rsidRPr="554B332F">
        <w:t xml:space="preserve">ignificantly </w:t>
      </w:r>
      <w:r w:rsidR="004408CE">
        <w:t>c</w:t>
      </w:r>
      <w:r w:rsidRPr="554B332F">
        <w:t>hanged</w:t>
      </w:r>
    </w:p>
    <w:p w14:paraId="6021A52A" w14:textId="10FD1179" w:rsidR="554B332F" w:rsidRDefault="554B332F" w:rsidP="554B332F">
      <w:pPr>
        <w:rPr>
          <w:rFonts w:ascii="Arial" w:hAnsi="Arial" w:cs="Arial"/>
          <w:color w:val="1D1C1D"/>
          <w:sz w:val="23"/>
          <w:szCs w:val="23"/>
        </w:rPr>
      </w:pPr>
    </w:p>
    <w:p w14:paraId="0775B90B" w14:textId="3E7FACBA" w:rsidR="0831A471" w:rsidRDefault="0831A471" w:rsidP="554B332F">
      <w:pPr>
        <w:rPr>
          <w:rFonts w:ascii="Arial" w:hAnsi="Arial" w:cs="Arial"/>
          <w:color w:val="1D1C1D"/>
          <w:sz w:val="23"/>
          <w:szCs w:val="23"/>
        </w:rPr>
      </w:pPr>
      <w:r w:rsidRPr="554B332F">
        <w:rPr>
          <w:rFonts w:ascii="Arial" w:hAnsi="Arial" w:cs="Arial"/>
          <w:color w:val="1D1C1D"/>
          <w:sz w:val="23"/>
          <w:szCs w:val="23"/>
        </w:rPr>
        <w:t xml:space="preserve">GSRS 3 is written in an entirely different framework than the previous versions of GSRS so the way to specify the configuration has also had to change.  While GSRS 3 </w:t>
      </w:r>
      <w:r w:rsidR="38545B23" w:rsidRPr="554B332F">
        <w:rPr>
          <w:rFonts w:ascii="Arial" w:hAnsi="Arial" w:cs="Arial"/>
          <w:color w:val="1D1C1D"/>
          <w:sz w:val="23"/>
          <w:szCs w:val="23"/>
        </w:rPr>
        <w:t xml:space="preserve">REST </w:t>
      </w:r>
      <w:r w:rsidRPr="554B332F">
        <w:rPr>
          <w:rFonts w:ascii="Arial" w:hAnsi="Arial" w:cs="Arial"/>
          <w:color w:val="1D1C1D"/>
          <w:sz w:val="23"/>
          <w:szCs w:val="23"/>
        </w:rPr>
        <w:t>API tries to be backwards compatible wi</w:t>
      </w:r>
      <w:r w:rsidR="31C7F9C1" w:rsidRPr="554B332F">
        <w:rPr>
          <w:rFonts w:ascii="Arial" w:hAnsi="Arial" w:cs="Arial"/>
          <w:color w:val="1D1C1D"/>
          <w:sz w:val="23"/>
          <w:szCs w:val="23"/>
        </w:rPr>
        <w:t>th the GSRS 2 REST API</w:t>
      </w:r>
      <w:r w:rsidR="545166F9" w:rsidRPr="554B332F">
        <w:rPr>
          <w:rFonts w:ascii="Arial" w:hAnsi="Arial" w:cs="Arial"/>
          <w:color w:val="1D1C1D"/>
          <w:sz w:val="23"/>
          <w:szCs w:val="23"/>
        </w:rPr>
        <w:t xml:space="preserve"> so that API consumers don’t have to change, it was felt a major version update </w:t>
      </w:r>
      <w:r w:rsidR="006C25B7" w:rsidRPr="554B332F">
        <w:rPr>
          <w:rFonts w:ascii="Arial" w:hAnsi="Arial" w:cs="Arial"/>
          <w:color w:val="1D1C1D"/>
          <w:sz w:val="23"/>
          <w:szCs w:val="23"/>
        </w:rPr>
        <w:t>can</w:t>
      </w:r>
      <w:r w:rsidR="545166F9" w:rsidRPr="554B332F">
        <w:rPr>
          <w:rFonts w:ascii="Arial" w:hAnsi="Arial" w:cs="Arial"/>
          <w:color w:val="1D1C1D"/>
          <w:sz w:val="23"/>
          <w:szCs w:val="23"/>
        </w:rPr>
        <w:t xml:space="preserve"> change how </w:t>
      </w:r>
      <w:r w:rsidR="76F94054" w:rsidRPr="554B332F">
        <w:rPr>
          <w:rFonts w:ascii="Arial" w:hAnsi="Arial" w:cs="Arial"/>
          <w:color w:val="1D1C1D"/>
          <w:sz w:val="23"/>
          <w:szCs w:val="23"/>
        </w:rPr>
        <w:t xml:space="preserve">to </w:t>
      </w:r>
      <w:r w:rsidR="545166F9" w:rsidRPr="554B332F">
        <w:rPr>
          <w:rFonts w:ascii="Arial" w:hAnsi="Arial" w:cs="Arial"/>
          <w:color w:val="1D1C1D"/>
          <w:sz w:val="23"/>
          <w:szCs w:val="23"/>
        </w:rPr>
        <w:t>i</w:t>
      </w:r>
      <w:r w:rsidR="36CDBBB0" w:rsidRPr="554B332F">
        <w:rPr>
          <w:rFonts w:ascii="Arial" w:hAnsi="Arial" w:cs="Arial"/>
          <w:color w:val="1D1C1D"/>
          <w:sz w:val="23"/>
          <w:szCs w:val="23"/>
        </w:rPr>
        <w:t xml:space="preserve">nstall </w:t>
      </w:r>
      <w:r w:rsidR="545166F9" w:rsidRPr="554B332F">
        <w:rPr>
          <w:rFonts w:ascii="Arial" w:hAnsi="Arial" w:cs="Arial"/>
          <w:color w:val="1D1C1D"/>
          <w:sz w:val="23"/>
          <w:szCs w:val="23"/>
        </w:rPr>
        <w:t>and co</w:t>
      </w:r>
      <w:r w:rsidR="0BED5B2D" w:rsidRPr="554B332F">
        <w:rPr>
          <w:rFonts w:ascii="Arial" w:hAnsi="Arial" w:cs="Arial"/>
          <w:color w:val="1D1C1D"/>
          <w:sz w:val="23"/>
          <w:szCs w:val="23"/>
        </w:rPr>
        <w:t>nfigure a</w:t>
      </w:r>
      <w:r w:rsidR="545166F9" w:rsidRPr="554B332F">
        <w:rPr>
          <w:rFonts w:ascii="Arial" w:hAnsi="Arial" w:cs="Arial"/>
          <w:color w:val="1D1C1D"/>
          <w:sz w:val="23"/>
          <w:szCs w:val="23"/>
        </w:rPr>
        <w:t xml:space="preserve"> GSRS instance</w:t>
      </w:r>
      <w:r w:rsidR="257499D1" w:rsidRPr="554B332F">
        <w:rPr>
          <w:rFonts w:ascii="Arial" w:hAnsi="Arial" w:cs="Arial"/>
          <w:color w:val="1D1C1D"/>
          <w:sz w:val="23"/>
          <w:szCs w:val="23"/>
        </w:rPr>
        <w:t xml:space="preserve"> is done especially since GSRS installations only make minor configuration changes.</w:t>
      </w:r>
    </w:p>
    <w:p w14:paraId="5447B8DD" w14:textId="6C10B73E" w:rsidR="31F8FD89" w:rsidRDefault="31F8FD89" w:rsidP="554B332F">
      <w:pPr>
        <w:rPr>
          <w:rFonts w:ascii="Arial" w:hAnsi="Arial" w:cs="Arial"/>
          <w:color w:val="1D1C1D"/>
          <w:sz w:val="23"/>
          <w:szCs w:val="23"/>
        </w:rPr>
      </w:pPr>
      <w:r w:rsidRPr="554B332F">
        <w:rPr>
          <w:rFonts w:ascii="Arial" w:hAnsi="Arial" w:cs="Arial"/>
          <w:color w:val="1D1C1D"/>
          <w:sz w:val="23"/>
          <w:szCs w:val="23"/>
        </w:rPr>
        <w:t xml:space="preserve">Like other Spring Boot projects, configuration files should be put in the </w:t>
      </w:r>
      <w:proofErr w:type="spellStart"/>
      <w:r w:rsidRPr="554B332F">
        <w:rPr>
          <w:rFonts w:ascii="Arial" w:hAnsi="Arial" w:cs="Arial"/>
          <w:color w:val="1D1C1D"/>
          <w:sz w:val="23"/>
          <w:szCs w:val="23"/>
        </w:rPr>
        <w:t>src</w:t>
      </w:r>
      <w:proofErr w:type="spellEnd"/>
      <w:r w:rsidRPr="554B332F">
        <w:rPr>
          <w:rFonts w:ascii="Arial" w:hAnsi="Arial" w:cs="Arial"/>
          <w:color w:val="1D1C1D"/>
          <w:sz w:val="23"/>
          <w:szCs w:val="23"/>
        </w:rPr>
        <w:t>/main/resources directory. Please note that this is different tha</w:t>
      </w:r>
      <w:r w:rsidR="02C941A3" w:rsidRPr="554B332F">
        <w:rPr>
          <w:rFonts w:ascii="Arial" w:hAnsi="Arial" w:cs="Arial"/>
          <w:color w:val="1D1C1D"/>
          <w:sz w:val="23"/>
          <w:szCs w:val="23"/>
        </w:rPr>
        <w:t>n the GSRS 2 directory structure which was modules/</w:t>
      </w:r>
      <w:proofErr w:type="spellStart"/>
      <w:r w:rsidR="02C941A3" w:rsidRPr="554B332F">
        <w:rPr>
          <w:rFonts w:ascii="Arial" w:hAnsi="Arial" w:cs="Arial"/>
          <w:color w:val="1D1C1D"/>
          <w:sz w:val="23"/>
          <w:szCs w:val="23"/>
        </w:rPr>
        <w:t>ginas</w:t>
      </w:r>
      <w:proofErr w:type="spellEnd"/>
      <w:r w:rsidR="02C941A3" w:rsidRPr="554B332F">
        <w:rPr>
          <w:rFonts w:ascii="Arial" w:hAnsi="Arial" w:cs="Arial"/>
          <w:color w:val="1D1C1D"/>
          <w:sz w:val="23"/>
          <w:szCs w:val="23"/>
        </w:rPr>
        <w:t>/conf</w:t>
      </w:r>
      <w:r w:rsidR="006C25B7">
        <w:rPr>
          <w:rFonts w:ascii="Arial" w:hAnsi="Arial" w:cs="Arial"/>
          <w:color w:val="1D1C1D"/>
          <w:sz w:val="23"/>
          <w:szCs w:val="23"/>
        </w:rPr>
        <w:t>.</w:t>
      </w:r>
    </w:p>
    <w:p w14:paraId="760922BD" w14:textId="50608A8D" w:rsidR="554B332F" w:rsidRDefault="554B332F" w:rsidP="554B332F">
      <w:pPr>
        <w:rPr>
          <w:rFonts w:ascii="Arial" w:hAnsi="Arial" w:cs="Arial"/>
          <w:color w:val="1D1C1D"/>
          <w:sz w:val="23"/>
          <w:szCs w:val="23"/>
        </w:rPr>
      </w:pPr>
    </w:p>
    <w:p w14:paraId="4624812F" w14:textId="25D7FC2E" w:rsidR="257499D1" w:rsidRDefault="257499D1" w:rsidP="006C25B7">
      <w:pPr>
        <w:pStyle w:val="Heading1"/>
      </w:pPr>
      <w:r w:rsidRPr="554B332F">
        <w:t>GSRS 3 still uses HOCON format</w:t>
      </w:r>
    </w:p>
    <w:p w14:paraId="69F23079" w14:textId="77777777" w:rsidR="006C25B7" w:rsidRPr="006C25B7" w:rsidRDefault="006C25B7" w:rsidP="006C25B7"/>
    <w:p w14:paraId="53E55DA5" w14:textId="51A8C5AD" w:rsidR="554B332F" w:rsidRDefault="257499D1" w:rsidP="37933A57">
      <w:pPr>
        <w:rPr>
          <w:rFonts w:ascii="Arial" w:hAnsi="Arial" w:cs="Arial"/>
          <w:b/>
          <w:bCs/>
          <w:color w:val="1D1C1D"/>
          <w:sz w:val="23"/>
          <w:szCs w:val="23"/>
        </w:rPr>
      </w:pPr>
      <w:r w:rsidRPr="37933A57">
        <w:rPr>
          <w:rFonts w:ascii="Arial" w:hAnsi="Arial" w:cs="Arial"/>
          <w:color w:val="1D1C1D"/>
          <w:sz w:val="23"/>
          <w:szCs w:val="23"/>
        </w:rPr>
        <w:t xml:space="preserve">Like previous versions of GSRS, the GSRS 3 configuration uses HOCON </w:t>
      </w:r>
      <w:r w:rsidR="50E9C727" w:rsidRPr="37933A57">
        <w:rPr>
          <w:rFonts w:ascii="Arial" w:hAnsi="Arial" w:cs="Arial"/>
          <w:color w:val="1D1C1D"/>
          <w:sz w:val="23"/>
          <w:szCs w:val="23"/>
        </w:rPr>
        <w:t xml:space="preserve">(Human-Optimized Config Object Notation) </w:t>
      </w:r>
      <w:r w:rsidRPr="37933A57">
        <w:rPr>
          <w:rFonts w:ascii="Arial" w:hAnsi="Arial" w:cs="Arial"/>
          <w:color w:val="1D1C1D"/>
          <w:sz w:val="23"/>
          <w:szCs w:val="23"/>
        </w:rPr>
        <w:t xml:space="preserve">format.  It is possible to use Spring properties or </w:t>
      </w:r>
      <w:proofErr w:type="spellStart"/>
      <w:r w:rsidRPr="37933A57">
        <w:rPr>
          <w:rFonts w:ascii="Arial" w:hAnsi="Arial" w:cs="Arial"/>
          <w:color w:val="1D1C1D"/>
          <w:sz w:val="23"/>
          <w:szCs w:val="23"/>
        </w:rPr>
        <w:t>yml</w:t>
      </w:r>
      <w:proofErr w:type="spellEnd"/>
      <w:r w:rsidRPr="37933A57">
        <w:rPr>
          <w:rFonts w:ascii="Arial" w:hAnsi="Arial" w:cs="Arial"/>
          <w:color w:val="1D1C1D"/>
          <w:sz w:val="23"/>
          <w:szCs w:val="23"/>
        </w:rPr>
        <w:t xml:space="preserve"> encoded files </w:t>
      </w:r>
      <w:r w:rsidR="00A0689C" w:rsidRPr="37933A57">
        <w:rPr>
          <w:rFonts w:ascii="Arial" w:hAnsi="Arial" w:cs="Arial"/>
          <w:color w:val="1D1C1D"/>
          <w:sz w:val="23"/>
          <w:szCs w:val="23"/>
        </w:rPr>
        <w:t>instead,</w:t>
      </w:r>
      <w:r w:rsidRPr="37933A57">
        <w:rPr>
          <w:rFonts w:ascii="Arial" w:hAnsi="Arial" w:cs="Arial"/>
          <w:color w:val="1D1C1D"/>
          <w:sz w:val="23"/>
          <w:szCs w:val="23"/>
        </w:rPr>
        <w:t xml:space="preserve"> but it is not recommended.  </w:t>
      </w:r>
      <w:r w:rsidR="3C04BBEA" w:rsidRPr="37933A57">
        <w:rPr>
          <w:rFonts w:ascii="Arial" w:hAnsi="Arial" w:cs="Arial"/>
          <w:color w:val="1D1C1D"/>
          <w:sz w:val="23"/>
          <w:szCs w:val="23"/>
        </w:rPr>
        <w:t xml:space="preserve">HOCON format allows inheriting configuration settings so by using the GSRS HOCON configuration, the default settings for GSRS are automatically included. </w:t>
      </w:r>
      <w:r w:rsidR="426B524E" w:rsidRPr="37933A57">
        <w:rPr>
          <w:rFonts w:ascii="Arial" w:hAnsi="Arial" w:cs="Arial"/>
          <w:b/>
          <w:bCs/>
          <w:color w:val="1D1C1D"/>
          <w:sz w:val="23"/>
          <w:szCs w:val="23"/>
        </w:rPr>
        <w:t>GSRS 3 installations only need to set custom configurations to override settings and provide database configuration information</w:t>
      </w:r>
    </w:p>
    <w:p w14:paraId="1C2065C6" w14:textId="2C30A2E4" w:rsidR="554B332F" w:rsidRDefault="59894DAD" w:rsidP="37933A57">
      <w:pPr>
        <w:rPr>
          <w:rFonts w:ascii="Arial" w:hAnsi="Arial" w:cs="Arial"/>
          <w:color w:val="1D1C1D"/>
          <w:sz w:val="23"/>
          <w:szCs w:val="23"/>
        </w:rPr>
      </w:pPr>
      <w:r w:rsidRPr="37933A57">
        <w:rPr>
          <w:rStyle w:val="Heading1Char"/>
        </w:rPr>
        <w:t>Future: GSRS 3.1.2 will make big changes versus GSRS 3.0-3.1.1</w:t>
      </w:r>
      <w:r w:rsidR="554B332F">
        <w:br/>
      </w:r>
      <w:r w:rsidR="554B332F">
        <w:br/>
      </w:r>
      <w:r w:rsidR="4146C8BD" w:rsidRPr="37933A57">
        <w:rPr>
          <w:rFonts w:ascii="Arial" w:hAnsi="Arial" w:cs="Arial"/>
          <w:color w:val="1D1C1D"/>
          <w:sz w:val="23"/>
          <w:szCs w:val="23"/>
        </w:rPr>
        <w:t>T</w:t>
      </w:r>
      <w:r w:rsidR="096ED45E" w:rsidRPr="37933A57">
        <w:rPr>
          <w:rFonts w:ascii="Arial" w:hAnsi="Arial" w:cs="Arial"/>
          <w:color w:val="1D1C1D"/>
          <w:sz w:val="23"/>
          <w:szCs w:val="23"/>
        </w:rPr>
        <w:t xml:space="preserve">he scope of this document is to compare 2x to 3x.  The main points discussed in this document remain pertinent even after 3.1.2. In this section, we just make of note of </w:t>
      </w:r>
      <w:r w:rsidR="096ED45E" w:rsidRPr="37933A57">
        <w:rPr>
          <w:rFonts w:ascii="Arial" w:hAnsi="Arial" w:cs="Arial"/>
          <w:b/>
          <w:bCs/>
          <w:color w:val="1D1C1D"/>
          <w:sz w:val="23"/>
          <w:szCs w:val="23"/>
        </w:rPr>
        <w:t xml:space="preserve">projected </w:t>
      </w:r>
      <w:r w:rsidR="096ED45E" w:rsidRPr="37933A57">
        <w:rPr>
          <w:rFonts w:ascii="Arial" w:hAnsi="Arial" w:cs="Arial"/>
          <w:color w:val="1D1C1D"/>
          <w:sz w:val="23"/>
          <w:szCs w:val="23"/>
        </w:rPr>
        <w:t>for 3.1.2 changes including:</w:t>
      </w:r>
    </w:p>
    <w:p w14:paraId="6AC97D1A" w14:textId="30B5FBF3" w:rsidR="096ED45E" w:rsidRDefault="096ED45E" w:rsidP="37933A57">
      <w:pPr>
        <w:pStyle w:val="ListParagraph"/>
        <w:numPr>
          <w:ilvl w:val="0"/>
          <w:numId w:val="1"/>
        </w:numPr>
        <w:rPr>
          <w:rFonts w:ascii="Arial" w:hAnsi="Arial" w:cs="Arial"/>
          <w:color w:val="24292F"/>
          <w:sz w:val="24"/>
          <w:szCs w:val="24"/>
        </w:rPr>
      </w:pPr>
      <w:r w:rsidRPr="37933A57">
        <w:rPr>
          <w:rFonts w:ascii="Arial" w:hAnsi="Arial" w:cs="Arial"/>
          <w:color w:val="24292F"/>
          <w:sz w:val="24"/>
          <w:szCs w:val="24"/>
        </w:rPr>
        <w:t>Extension of HOCON to additional microservices like the Gateway and Frontend</w:t>
      </w:r>
    </w:p>
    <w:p w14:paraId="675297A1" w14:textId="4B3D0902" w:rsidR="096ED45E" w:rsidRDefault="096ED45E" w:rsidP="37933A57">
      <w:pPr>
        <w:pStyle w:val="ListParagraph"/>
        <w:numPr>
          <w:ilvl w:val="0"/>
          <w:numId w:val="1"/>
        </w:numPr>
        <w:rPr>
          <w:rFonts w:ascii="Arial" w:hAnsi="Arial" w:cs="Arial"/>
          <w:color w:val="24292F"/>
          <w:sz w:val="24"/>
          <w:szCs w:val="24"/>
        </w:rPr>
      </w:pPr>
      <w:r w:rsidRPr="37933A57">
        <w:rPr>
          <w:rFonts w:ascii="Arial" w:hAnsi="Arial" w:cs="Arial"/>
          <w:color w:val="24292F"/>
          <w:sz w:val="24"/>
          <w:szCs w:val="24"/>
        </w:rPr>
        <w:t>Standardized '</w:t>
      </w:r>
      <w:proofErr w:type="spellStart"/>
      <w:r w:rsidRPr="37933A57">
        <w:rPr>
          <w:rFonts w:ascii="Arial" w:hAnsi="Arial" w:cs="Arial"/>
          <w:color w:val="24292F"/>
          <w:sz w:val="24"/>
          <w:szCs w:val="24"/>
        </w:rPr>
        <w:t>application.conf</w:t>
      </w:r>
      <w:proofErr w:type="spellEnd"/>
      <w:r w:rsidRPr="37933A57">
        <w:rPr>
          <w:rFonts w:ascii="Arial" w:hAnsi="Arial" w:cs="Arial"/>
          <w:color w:val="24292F"/>
          <w:sz w:val="24"/>
          <w:szCs w:val="24"/>
        </w:rPr>
        <w:t>' files in each microservice with placeholder defaults and optional overrides via environment variables.</w:t>
      </w:r>
    </w:p>
    <w:p w14:paraId="2E3AF08B" w14:textId="6FDCE8A1" w:rsidR="096ED45E" w:rsidRDefault="096ED45E" w:rsidP="37933A57">
      <w:pPr>
        <w:pStyle w:val="ListParagraph"/>
        <w:numPr>
          <w:ilvl w:val="0"/>
          <w:numId w:val="1"/>
        </w:numPr>
        <w:rPr>
          <w:rFonts w:ascii="Arial" w:hAnsi="Arial" w:cs="Arial"/>
          <w:color w:val="24292F"/>
          <w:sz w:val="24"/>
          <w:szCs w:val="24"/>
        </w:rPr>
      </w:pPr>
      <w:r w:rsidRPr="37933A57">
        <w:rPr>
          <w:rFonts w:ascii="Arial" w:hAnsi="Arial" w:cs="Arial"/>
          <w:color w:val="24292F"/>
          <w:sz w:val="24"/>
          <w:szCs w:val="24"/>
        </w:rPr>
        <w:lastRenderedPageBreak/>
        <w:t>A move away from “lists” and toward “maps” in the configuration of extensions. Maps will make it easier to override configuration values by referencing a key.</w:t>
      </w:r>
    </w:p>
    <w:p w14:paraId="7C408394" w14:textId="706F6442" w:rsidR="410E9712" w:rsidRDefault="00D51B63" w:rsidP="37933A57">
      <w:pPr>
        <w:rPr>
          <w:rFonts w:ascii="Arial" w:hAnsi="Arial" w:cs="Arial"/>
          <w:color w:val="1D1C1D"/>
          <w:sz w:val="23"/>
          <w:szCs w:val="23"/>
        </w:rPr>
      </w:pPr>
      <w:r>
        <w:rPr>
          <w:rFonts w:ascii="Arial" w:hAnsi="Arial" w:cs="Arial"/>
          <w:color w:val="1D1C1D"/>
          <w:sz w:val="23"/>
          <w:szCs w:val="23"/>
        </w:rPr>
        <w:br/>
      </w:r>
      <w:r>
        <w:rPr>
          <w:rFonts w:ascii="Arial" w:hAnsi="Arial" w:cs="Arial"/>
          <w:color w:val="1D1C1D"/>
          <w:sz w:val="23"/>
          <w:szCs w:val="23"/>
        </w:rPr>
        <w:t xml:space="preserve">When 3.1.2 is released, a document to </w:t>
      </w:r>
      <w:r w:rsidRPr="37933A57">
        <w:rPr>
          <w:rFonts w:ascii="Arial" w:hAnsi="Arial" w:cs="Arial"/>
          <w:color w:val="1D1C1D"/>
          <w:sz w:val="23"/>
          <w:szCs w:val="23"/>
        </w:rPr>
        <w:t xml:space="preserve">understand 3.1.2 changes </w:t>
      </w:r>
      <w:r w:rsidRPr="37933A57">
        <w:rPr>
          <w:rFonts w:ascii="Arial" w:hAnsi="Arial" w:cs="Arial"/>
          <w:b/>
          <w:bCs/>
          <w:color w:val="1D1C1D"/>
          <w:sz w:val="23"/>
          <w:szCs w:val="23"/>
        </w:rPr>
        <w:t xml:space="preserve">will be </w:t>
      </w:r>
      <w:r w:rsidRPr="37933A57">
        <w:rPr>
          <w:rFonts w:ascii="Arial" w:hAnsi="Arial" w:cs="Arial"/>
          <w:color w:val="1D1C1D"/>
          <w:sz w:val="23"/>
          <w:szCs w:val="23"/>
        </w:rPr>
        <w:t xml:space="preserve">located here: </w:t>
      </w:r>
      <w:hyperlink r:id="rId8">
        <w:r w:rsidRPr="37933A57">
          <w:rPr>
            <w:rStyle w:val="Hyperlink"/>
            <w:rFonts w:ascii="Arial" w:hAnsi="Arial" w:cs="Arial"/>
            <w:sz w:val="23"/>
            <w:szCs w:val="23"/>
          </w:rPr>
          <w:t>https://github.com/ncats/gsrs-ci/tree/gsrs3-main-deployment/docs/how-configuration-works.md</w:t>
        </w:r>
      </w:hyperlink>
    </w:p>
    <w:p w14:paraId="43F43603" w14:textId="33C34AB2" w:rsidR="426B524E" w:rsidRDefault="426B524E" w:rsidP="4341374E">
      <w:pPr>
        <w:pStyle w:val="Heading1"/>
        <w:rPr>
          <w:rFonts w:ascii="Arial" w:hAnsi="Arial" w:cs="Arial"/>
          <w:color w:val="1D1C1D"/>
          <w:sz w:val="23"/>
          <w:szCs w:val="23"/>
        </w:rPr>
      </w:pPr>
      <w:r>
        <w:t>How to turn on HOCON format</w:t>
      </w:r>
    </w:p>
    <w:p w14:paraId="73D88DD6" w14:textId="1B75A4BB" w:rsidR="00A0689C" w:rsidRDefault="00A0689C" w:rsidP="37933A57">
      <w:pPr>
        <w:rPr>
          <w:rFonts w:ascii="Arial" w:hAnsi="Arial" w:cs="Arial"/>
          <w:color w:val="1D1C1D"/>
          <w:sz w:val="23"/>
          <w:szCs w:val="23"/>
        </w:rPr>
      </w:pPr>
      <w:r>
        <w:br/>
      </w:r>
      <w:r w:rsidR="2FD83E1D" w:rsidRPr="37933A57">
        <w:rPr>
          <w:rFonts w:ascii="Arial" w:hAnsi="Arial" w:cs="Arial"/>
          <w:color w:val="1D1C1D"/>
          <w:sz w:val="23"/>
          <w:szCs w:val="23"/>
        </w:rPr>
        <w:t>Since Spring Boot doesn’t come built in with HOCON support, GSRS 3 relies on a 3</w:t>
      </w:r>
      <w:r w:rsidR="2FD83E1D" w:rsidRPr="37933A57">
        <w:rPr>
          <w:rFonts w:ascii="Arial" w:hAnsi="Arial" w:cs="Arial"/>
          <w:color w:val="1D1C1D"/>
          <w:sz w:val="23"/>
          <w:szCs w:val="23"/>
          <w:vertAlign w:val="superscript"/>
        </w:rPr>
        <w:t>rd</w:t>
      </w:r>
      <w:r w:rsidR="2FD83E1D" w:rsidRPr="37933A57">
        <w:rPr>
          <w:rFonts w:ascii="Arial" w:hAnsi="Arial" w:cs="Arial"/>
          <w:color w:val="1D1C1D"/>
          <w:sz w:val="23"/>
          <w:szCs w:val="23"/>
        </w:rPr>
        <w:t xml:space="preserve"> party open source library to add HOCON support </w:t>
      </w:r>
      <w:hyperlink r:id="rId9">
        <w:r w:rsidR="2FD83E1D" w:rsidRPr="37933A57">
          <w:rPr>
            <w:rStyle w:val="Hyperlink"/>
            <w:rFonts w:ascii="Arial" w:hAnsi="Arial" w:cs="Arial"/>
            <w:sz w:val="23"/>
            <w:szCs w:val="23"/>
          </w:rPr>
          <w:t>https://github.com/zeldigas/spring-hocon-property-source</w:t>
        </w:r>
      </w:hyperlink>
      <w:r w:rsidR="2FD83E1D" w:rsidRPr="37933A57">
        <w:rPr>
          <w:rFonts w:ascii="Arial" w:hAnsi="Arial" w:cs="Arial"/>
          <w:color w:val="1D1C1D"/>
          <w:sz w:val="23"/>
          <w:szCs w:val="23"/>
        </w:rPr>
        <w:t xml:space="preserve"> . HOCON support is on by default in the GSRS source repositories. However, in a new fork or supporting library it may not be configured to allow HOCON by default. If that’s the case, please follow the documentation of that library for how to tell Spring to read HOCON format. As of this writing, this usually involves adding a line to a file in your project (and/or creating the file).</w:t>
      </w:r>
    </w:p>
    <w:p w14:paraId="7F354B32" w14:textId="0E99B06B" w:rsidR="554B332F" w:rsidRDefault="48D3903A" w:rsidP="37933A57">
      <w:pPr>
        <w:rPr>
          <w:rFonts w:ascii="Arial" w:hAnsi="Arial" w:cs="Arial"/>
          <w:color w:val="1D1C1D"/>
          <w:sz w:val="23"/>
          <w:szCs w:val="23"/>
          <w:lang w:val="pt-BR"/>
        </w:rPr>
      </w:pPr>
      <w:r w:rsidRPr="37933A57">
        <w:rPr>
          <w:rFonts w:ascii="Arial" w:hAnsi="Arial" w:cs="Arial"/>
          <w:color w:val="1D1C1D"/>
          <w:sz w:val="23"/>
          <w:szCs w:val="23"/>
          <w:lang w:val="pt-BR"/>
        </w:rPr>
        <w:t xml:space="preserve">File: </w:t>
      </w:r>
      <w:r w:rsidR="46E70D2C" w:rsidRPr="37933A57">
        <w:rPr>
          <w:rFonts w:ascii="Arial" w:hAnsi="Arial" w:cs="Arial"/>
          <w:color w:val="1D1C1D"/>
          <w:sz w:val="23"/>
          <w:szCs w:val="23"/>
          <w:lang w:val="pt-BR"/>
        </w:rPr>
        <w:t>META-INF/</w:t>
      </w:r>
      <w:proofErr w:type="spellStart"/>
      <w:r w:rsidRPr="37933A57">
        <w:rPr>
          <w:rFonts w:ascii="Arial" w:hAnsi="Arial" w:cs="Arial"/>
          <w:color w:val="1D1C1D"/>
          <w:sz w:val="23"/>
          <w:szCs w:val="23"/>
          <w:lang w:val="pt-BR"/>
        </w:rPr>
        <w:t>spring.factores</w:t>
      </w:r>
      <w:proofErr w:type="spellEnd"/>
    </w:p>
    <w:p w14:paraId="510A4B71" w14:textId="570F2485" w:rsidR="554B332F" w:rsidRDefault="425D1934" w:rsidP="37933A57">
      <w:pPr>
        <w:rPr>
          <w:rFonts w:ascii="Arial" w:hAnsi="Arial" w:cs="Arial"/>
          <w:color w:val="1D1C1D"/>
          <w:sz w:val="23"/>
          <w:szCs w:val="23"/>
          <w:lang w:val="pt-BR"/>
        </w:rPr>
      </w:pPr>
      <w:proofErr w:type="gramStart"/>
      <w:r w:rsidRPr="37933A57">
        <w:rPr>
          <w:rFonts w:ascii="Arial" w:hAnsi="Arial" w:cs="Arial"/>
          <w:color w:val="1D1C1D"/>
          <w:sz w:val="23"/>
          <w:szCs w:val="23"/>
          <w:lang w:val="pt-BR"/>
        </w:rPr>
        <w:t>org.springframework.boot.env.PropertySourceLoader=com.github.zeldigas.spring.env.HoconPropertySourceLoader</w:t>
      </w:r>
      <w:proofErr w:type="gramEnd"/>
    </w:p>
    <w:p w14:paraId="3163A48F" w14:textId="1743D35E" w:rsidR="545166F9" w:rsidRDefault="635F5E62" w:rsidP="554B332F">
      <w:pPr>
        <w:rPr>
          <w:rFonts w:ascii="Arial" w:hAnsi="Arial" w:cs="Arial"/>
          <w:color w:val="1D1C1D"/>
          <w:sz w:val="23"/>
          <w:szCs w:val="23"/>
        </w:rPr>
      </w:pPr>
      <w:r w:rsidRPr="04B58A22">
        <w:rPr>
          <w:rFonts w:ascii="Arial" w:hAnsi="Arial" w:cs="Arial"/>
          <w:color w:val="1D1C1D"/>
          <w:sz w:val="23"/>
          <w:szCs w:val="23"/>
        </w:rPr>
        <w:t>This will make Spring Boot look for a file named `</w:t>
      </w:r>
      <w:proofErr w:type="spellStart"/>
      <w:r w:rsidRPr="04B58A22">
        <w:rPr>
          <w:rFonts w:ascii="Arial" w:hAnsi="Arial" w:cs="Arial"/>
          <w:color w:val="1D1C1D"/>
          <w:sz w:val="23"/>
          <w:szCs w:val="23"/>
        </w:rPr>
        <w:t>application.conf</w:t>
      </w:r>
      <w:proofErr w:type="spellEnd"/>
      <w:r w:rsidRPr="04B58A22">
        <w:rPr>
          <w:rFonts w:ascii="Arial" w:hAnsi="Arial" w:cs="Arial"/>
          <w:color w:val="1D1C1D"/>
          <w:sz w:val="23"/>
          <w:szCs w:val="23"/>
        </w:rPr>
        <w:t xml:space="preserve">` as the configuration file.  GSRS 3 has several built in conf files that are already on the </w:t>
      </w:r>
      <w:proofErr w:type="spellStart"/>
      <w:r w:rsidRPr="04B58A22">
        <w:rPr>
          <w:rFonts w:ascii="Arial" w:hAnsi="Arial" w:cs="Arial"/>
          <w:color w:val="1D1C1D"/>
          <w:sz w:val="23"/>
          <w:szCs w:val="23"/>
        </w:rPr>
        <w:t>classpath</w:t>
      </w:r>
      <w:proofErr w:type="spellEnd"/>
      <w:r w:rsidRPr="04B58A22">
        <w:rPr>
          <w:rFonts w:ascii="Arial" w:hAnsi="Arial" w:cs="Arial"/>
          <w:color w:val="1D1C1D"/>
          <w:sz w:val="23"/>
          <w:szCs w:val="23"/>
        </w:rPr>
        <w:t xml:space="preserve"> for common settings.  </w:t>
      </w:r>
    </w:p>
    <w:p w14:paraId="0D55642E" w14:textId="7E727150" w:rsidR="10085F07" w:rsidRDefault="10085F07" w:rsidP="554B332F">
      <w:pPr>
        <w:rPr>
          <w:rFonts w:ascii="Arial" w:hAnsi="Arial" w:cs="Arial"/>
          <w:color w:val="1D1C1D"/>
          <w:sz w:val="23"/>
          <w:szCs w:val="23"/>
        </w:rPr>
      </w:pPr>
      <w:r w:rsidRPr="554B332F">
        <w:rPr>
          <w:rFonts w:ascii="Arial" w:hAnsi="Arial" w:cs="Arial"/>
          <w:color w:val="1D1C1D"/>
          <w:sz w:val="23"/>
          <w:szCs w:val="23"/>
        </w:rPr>
        <w:t xml:space="preserve">For Substances, the file </w:t>
      </w:r>
      <w:r w:rsidR="2B926725" w:rsidRPr="554B332F">
        <w:rPr>
          <w:rFonts w:ascii="Arial" w:hAnsi="Arial" w:cs="Arial"/>
          <w:color w:val="1D1C1D"/>
          <w:sz w:val="23"/>
          <w:szCs w:val="23"/>
        </w:rPr>
        <w:t>substances-</w:t>
      </w:r>
      <w:proofErr w:type="spellStart"/>
      <w:r w:rsidR="2B926725" w:rsidRPr="554B332F">
        <w:rPr>
          <w:rFonts w:ascii="Arial" w:hAnsi="Arial" w:cs="Arial"/>
          <w:color w:val="1D1C1D"/>
          <w:sz w:val="23"/>
          <w:szCs w:val="23"/>
        </w:rPr>
        <w:t>core.conf</w:t>
      </w:r>
      <w:proofErr w:type="spellEnd"/>
      <w:r w:rsidR="2B926725" w:rsidRPr="554B332F">
        <w:rPr>
          <w:rFonts w:ascii="Arial" w:hAnsi="Arial" w:cs="Arial"/>
          <w:color w:val="1D1C1D"/>
          <w:sz w:val="23"/>
          <w:szCs w:val="23"/>
        </w:rPr>
        <w:t xml:space="preserve"> will contain the default substance configuration settings.  </w:t>
      </w:r>
      <w:r w:rsidR="22759B24" w:rsidRPr="554B332F">
        <w:rPr>
          <w:rFonts w:ascii="Arial" w:hAnsi="Arial" w:cs="Arial"/>
          <w:color w:val="1D1C1D"/>
          <w:sz w:val="23"/>
          <w:szCs w:val="23"/>
        </w:rPr>
        <w:t xml:space="preserve">To use this configuration file as the base configuration file please create a file called </w:t>
      </w:r>
      <w:proofErr w:type="spellStart"/>
      <w:r w:rsidR="22759B24" w:rsidRPr="554B332F">
        <w:rPr>
          <w:rFonts w:ascii="Arial" w:hAnsi="Arial" w:cs="Arial"/>
          <w:color w:val="1D1C1D"/>
          <w:sz w:val="23"/>
          <w:szCs w:val="23"/>
        </w:rPr>
        <w:t>application.conf</w:t>
      </w:r>
      <w:proofErr w:type="spellEnd"/>
      <w:r w:rsidR="22759B24" w:rsidRPr="554B332F">
        <w:rPr>
          <w:rFonts w:ascii="Arial" w:hAnsi="Arial" w:cs="Arial"/>
          <w:color w:val="1D1C1D"/>
          <w:sz w:val="23"/>
          <w:szCs w:val="23"/>
        </w:rPr>
        <w:t xml:space="preserve"> and as its first line put include “substances-</w:t>
      </w:r>
      <w:proofErr w:type="spellStart"/>
      <w:r w:rsidR="22759B24" w:rsidRPr="554B332F">
        <w:rPr>
          <w:rFonts w:ascii="Arial" w:hAnsi="Arial" w:cs="Arial"/>
          <w:color w:val="1D1C1D"/>
          <w:sz w:val="23"/>
          <w:szCs w:val="23"/>
        </w:rPr>
        <w:t>core.conf</w:t>
      </w:r>
      <w:proofErr w:type="spellEnd"/>
      <w:r w:rsidR="22759B24" w:rsidRPr="554B332F">
        <w:rPr>
          <w:rFonts w:ascii="Arial" w:hAnsi="Arial" w:cs="Arial"/>
          <w:color w:val="1D1C1D"/>
          <w:sz w:val="23"/>
          <w:szCs w:val="23"/>
        </w:rPr>
        <w:t>”</w:t>
      </w:r>
      <w:r w:rsidR="003E22C7">
        <w:rPr>
          <w:rFonts w:ascii="Arial" w:hAnsi="Arial" w:cs="Arial"/>
          <w:color w:val="1D1C1D"/>
          <w:sz w:val="23"/>
          <w:szCs w:val="23"/>
        </w:rPr>
        <w:t>. This is done as an example in the gsrs3-main-deployment git repository.</w:t>
      </w:r>
    </w:p>
    <w:p w14:paraId="0771F5F7" w14:textId="39F5A76C" w:rsidR="003E22C7" w:rsidRDefault="003E22C7" w:rsidP="554B332F">
      <w:pPr>
        <w:rPr>
          <w:rFonts w:ascii="Arial" w:hAnsi="Arial" w:cs="Arial"/>
          <w:color w:val="1D1C1D"/>
          <w:sz w:val="23"/>
          <w:szCs w:val="23"/>
        </w:rPr>
      </w:pPr>
    </w:p>
    <w:p w14:paraId="6FE6B0D1" w14:textId="3ADA54D6" w:rsidR="22759B24" w:rsidRDefault="004408CE" w:rsidP="003E22C7">
      <w:pPr>
        <w:pStyle w:val="Heading1"/>
      </w:pPr>
      <w:r>
        <w:t>Potential p</w:t>
      </w:r>
      <w:r w:rsidR="22759B24" w:rsidRPr="554B332F">
        <w:t xml:space="preserve">roblems </w:t>
      </w:r>
      <w:r>
        <w:t>m</w:t>
      </w:r>
      <w:r w:rsidR="22759B24" w:rsidRPr="554B332F">
        <w:t>igrati</w:t>
      </w:r>
      <w:r>
        <w:t>ng</w:t>
      </w:r>
      <w:r w:rsidR="22759B24" w:rsidRPr="554B332F">
        <w:t xml:space="preserve"> a HOCON configuration file from GSRS 2 to GSRS 3.</w:t>
      </w:r>
    </w:p>
    <w:p w14:paraId="5498AD62" w14:textId="77777777" w:rsidR="003E22C7" w:rsidRDefault="003E22C7" w:rsidP="554B332F">
      <w:pPr>
        <w:rPr>
          <w:rFonts w:ascii="Arial" w:hAnsi="Arial" w:cs="Arial"/>
          <w:color w:val="1D1C1D"/>
          <w:sz w:val="23"/>
          <w:szCs w:val="23"/>
        </w:rPr>
      </w:pPr>
    </w:p>
    <w:p w14:paraId="7A348E02" w14:textId="197FBD95" w:rsidR="22759B24" w:rsidRDefault="22759B24" w:rsidP="554B332F">
      <w:pPr>
        <w:rPr>
          <w:rFonts w:ascii="Arial" w:hAnsi="Arial" w:cs="Arial"/>
          <w:color w:val="1D1C1D"/>
          <w:sz w:val="23"/>
          <w:szCs w:val="23"/>
        </w:rPr>
      </w:pPr>
      <w:r w:rsidRPr="554B332F">
        <w:rPr>
          <w:rFonts w:ascii="Arial" w:hAnsi="Arial" w:cs="Arial"/>
          <w:color w:val="1D1C1D"/>
          <w:sz w:val="23"/>
          <w:szCs w:val="23"/>
        </w:rPr>
        <w:t>By using HOCON format in a Spring Boot application we get all th</w:t>
      </w:r>
      <w:r w:rsidR="3A8A8EAC" w:rsidRPr="554B332F">
        <w:rPr>
          <w:rFonts w:ascii="Arial" w:hAnsi="Arial" w:cs="Arial"/>
          <w:color w:val="1D1C1D"/>
          <w:sz w:val="23"/>
          <w:szCs w:val="23"/>
        </w:rPr>
        <w:t xml:space="preserve">e benefits of leveraging HOCON </w:t>
      </w:r>
      <w:r w:rsidR="36A2D024" w:rsidRPr="554B332F">
        <w:rPr>
          <w:rFonts w:ascii="Arial" w:hAnsi="Arial" w:cs="Arial"/>
          <w:color w:val="1D1C1D"/>
          <w:sz w:val="23"/>
          <w:szCs w:val="23"/>
        </w:rPr>
        <w:t>such as:</w:t>
      </w:r>
    </w:p>
    <w:p w14:paraId="3A43896E" w14:textId="2AD6F907"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less noisy / less pedantic syntax</w:t>
      </w:r>
    </w:p>
    <w:p w14:paraId="32D45E94" w14:textId="34395468"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ability to refer to another part of the configuration (set a value to another value)</w:t>
      </w:r>
    </w:p>
    <w:p w14:paraId="385E6285" w14:textId="7E2F6606"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import/include another configuration file into the current file</w:t>
      </w:r>
    </w:p>
    <w:p w14:paraId="7289901D" w14:textId="721C0C99"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a mapping to a flat properties list such as Java's system properties</w:t>
      </w:r>
    </w:p>
    <w:p w14:paraId="07743A99" w14:textId="0C5A336C"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ability to get values from environment variables</w:t>
      </w:r>
    </w:p>
    <w:p w14:paraId="3B019B4F" w14:textId="5CF126A9" w:rsidR="36A2D024" w:rsidRDefault="36A2D024" w:rsidP="554B332F">
      <w:pPr>
        <w:pStyle w:val="ListParagraph"/>
        <w:numPr>
          <w:ilvl w:val="0"/>
          <w:numId w:val="2"/>
        </w:numPr>
        <w:rPr>
          <w:rFonts w:eastAsiaTheme="minorEastAsia"/>
          <w:color w:val="24292F"/>
          <w:sz w:val="24"/>
          <w:szCs w:val="24"/>
        </w:rPr>
      </w:pPr>
      <w:r w:rsidRPr="554B332F">
        <w:rPr>
          <w:rFonts w:ascii="Arial" w:eastAsia="Arial" w:hAnsi="Arial" w:cs="Arial"/>
          <w:color w:val="24292F"/>
          <w:sz w:val="24"/>
          <w:szCs w:val="24"/>
        </w:rPr>
        <w:t>ability to write comments</w:t>
      </w:r>
    </w:p>
    <w:p w14:paraId="64FDF0C7" w14:textId="1F5E1655" w:rsidR="36A2D024" w:rsidRDefault="003E22C7" w:rsidP="554B332F">
      <w:pPr>
        <w:rPr>
          <w:rFonts w:ascii="Arial" w:hAnsi="Arial" w:cs="Arial"/>
          <w:color w:val="1D1C1D"/>
          <w:sz w:val="23"/>
          <w:szCs w:val="23"/>
        </w:rPr>
      </w:pPr>
      <w:r>
        <w:rPr>
          <w:rFonts w:ascii="Arial" w:hAnsi="Arial" w:cs="Arial"/>
          <w:color w:val="1D1C1D"/>
          <w:sz w:val="23"/>
          <w:szCs w:val="23"/>
        </w:rPr>
        <w:lastRenderedPageBreak/>
        <w:t>We also</w:t>
      </w:r>
      <w:r w:rsidR="36A2D024" w:rsidRPr="554B332F">
        <w:rPr>
          <w:rFonts w:ascii="Arial" w:hAnsi="Arial" w:cs="Arial"/>
          <w:color w:val="1D1C1D"/>
          <w:sz w:val="23"/>
          <w:szCs w:val="23"/>
        </w:rPr>
        <w:t xml:space="preserve"> lever</w:t>
      </w:r>
      <w:r>
        <w:rPr>
          <w:rFonts w:ascii="Arial" w:hAnsi="Arial" w:cs="Arial"/>
          <w:color w:val="1D1C1D"/>
          <w:sz w:val="23"/>
          <w:szCs w:val="23"/>
        </w:rPr>
        <w:t>age</w:t>
      </w:r>
      <w:r w:rsidR="36A2D024" w:rsidRPr="554B332F">
        <w:rPr>
          <w:rFonts w:ascii="Arial" w:hAnsi="Arial" w:cs="Arial"/>
          <w:color w:val="1D1C1D"/>
          <w:sz w:val="23"/>
          <w:szCs w:val="23"/>
        </w:rPr>
        <w:t xml:space="preserve"> the benefits of Spring Boot including</w:t>
      </w:r>
      <w:r w:rsidR="08CB3265" w:rsidRPr="554B332F">
        <w:rPr>
          <w:rFonts w:ascii="Arial" w:hAnsi="Arial" w:cs="Arial"/>
          <w:color w:val="1D1C1D"/>
          <w:sz w:val="23"/>
          <w:szCs w:val="23"/>
        </w:rPr>
        <w:t xml:space="preserve"> injecting property values into Beans and setting their values</w:t>
      </w:r>
      <w:r w:rsidR="36A2D024" w:rsidRPr="554B332F">
        <w:rPr>
          <w:rFonts w:ascii="Arial" w:hAnsi="Arial" w:cs="Arial"/>
          <w:color w:val="1D1C1D"/>
          <w:sz w:val="23"/>
          <w:szCs w:val="23"/>
        </w:rPr>
        <w:t xml:space="preserve"> using Spring Expression Language </w:t>
      </w:r>
      <w:hyperlink r:id="rId10" w:anchor="expressions">
        <w:r w:rsidR="4509143E" w:rsidRPr="554B332F">
          <w:rPr>
            <w:rStyle w:val="Hyperlink"/>
            <w:rFonts w:ascii="Arial" w:hAnsi="Arial" w:cs="Arial"/>
            <w:sz w:val="23"/>
            <w:szCs w:val="23"/>
          </w:rPr>
          <w:t>https://docs.spring.io/spring-framework/docs/current/reference/html/core.html#expressions</w:t>
        </w:r>
      </w:hyperlink>
      <w:r w:rsidR="4509143E" w:rsidRPr="554B332F">
        <w:rPr>
          <w:rFonts w:ascii="Arial" w:hAnsi="Arial" w:cs="Arial"/>
          <w:color w:val="1D1C1D"/>
          <w:sz w:val="23"/>
          <w:szCs w:val="23"/>
        </w:rPr>
        <w:t xml:space="preserve"> </w:t>
      </w:r>
    </w:p>
    <w:p w14:paraId="58A6AEA0" w14:textId="7A87644B" w:rsidR="000858F9" w:rsidRDefault="4D527BD8" w:rsidP="554B332F">
      <w:pPr>
        <w:rPr>
          <w:rFonts w:ascii="Arial" w:eastAsia="Arial" w:hAnsi="Arial" w:cs="Arial"/>
          <w:sz w:val="23"/>
          <w:szCs w:val="23"/>
        </w:rPr>
      </w:pPr>
      <w:r w:rsidRPr="554B332F">
        <w:rPr>
          <w:rFonts w:ascii="Arial" w:hAnsi="Arial" w:cs="Arial"/>
          <w:color w:val="1D1C1D"/>
          <w:sz w:val="23"/>
          <w:szCs w:val="23"/>
        </w:rPr>
        <w:t xml:space="preserve">However, Spring Boot property configuration is handled internally a bit differently than the property configuration used in older versions of GSRS which used the Play! Framework.  </w:t>
      </w:r>
      <w:r w:rsidR="64747494" w:rsidRPr="554B332F">
        <w:rPr>
          <w:rFonts w:ascii="Arial" w:hAnsi="Arial" w:cs="Arial"/>
          <w:color w:val="1D1C1D"/>
          <w:sz w:val="23"/>
          <w:szCs w:val="23"/>
        </w:rPr>
        <w:t xml:space="preserve">For example, </w:t>
      </w:r>
      <w:r w:rsidR="64747494" w:rsidRPr="554B332F">
        <w:rPr>
          <w:rFonts w:ascii="Arial" w:eastAsia="Arial" w:hAnsi="Arial" w:cs="Arial"/>
          <w:sz w:val="23"/>
          <w:szCs w:val="23"/>
        </w:rPr>
        <w:t xml:space="preserve">if you had previously attempted to instantiate a custom Java List or Java Set by using a JSON array in the config file, this will no longer typically work. Instead, most of these properties will be interpreted not as Java List or Java Sets at time of deserialization into your object, but instead as </w:t>
      </w:r>
      <w:proofErr w:type="spellStart"/>
      <w:r w:rsidR="64747494" w:rsidRPr="554B332F">
        <w:rPr>
          <w:rFonts w:ascii="Arial" w:eastAsia="Arial" w:hAnsi="Arial" w:cs="Arial"/>
          <w:sz w:val="23"/>
          <w:szCs w:val="23"/>
        </w:rPr>
        <w:t>LinkedHashMap</w:t>
      </w:r>
      <w:proofErr w:type="spellEnd"/>
      <w:r w:rsidR="64747494" w:rsidRPr="554B332F">
        <w:rPr>
          <w:rFonts w:ascii="Arial" w:eastAsia="Arial" w:hAnsi="Arial" w:cs="Arial"/>
          <w:sz w:val="23"/>
          <w:szCs w:val="23"/>
        </w:rPr>
        <w:t>&lt;</w:t>
      </w:r>
      <w:proofErr w:type="gramStart"/>
      <w:r w:rsidR="64747494" w:rsidRPr="554B332F">
        <w:rPr>
          <w:rFonts w:ascii="Arial" w:eastAsia="Arial" w:hAnsi="Arial" w:cs="Arial"/>
          <w:sz w:val="23"/>
          <w:szCs w:val="23"/>
        </w:rPr>
        <w:t>Integer,?</w:t>
      </w:r>
      <w:proofErr w:type="gramEnd"/>
      <w:r w:rsidR="64747494" w:rsidRPr="554B332F">
        <w:rPr>
          <w:rFonts w:ascii="Arial" w:eastAsia="Arial" w:hAnsi="Arial" w:cs="Arial"/>
          <w:sz w:val="23"/>
          <w:szCs w:val="23"/>
        </w:rPr>
        <w:t xml:space="preserve">&gt;. You must therefore either convert all internal initialization / property setting mechanisms to use this data type instead of Lists/Sets OR you must add custom deserialization steps to convert from </w:t>
      </w:r>
      <w:proofErr w:type="spellStart"/>
      <w:r w:rsidR="64747494" w:rsidRPr="554B332F">
        <w:rPr>
          <w:rFonts w:ascii="Arial" w:eastAsia="Arial" w:hAnsi="Arial" w:cs="Arial"/>
          <w:sz w:val="23"/>
          <w:szCs w:val="23"/>
        </w:rPr>
        <w:t>LinkedHashMap</w:t>
      </w:r>
      <w:proofErr w:type="spellEnd"/>
      <w:r w:rsidR="64747494" w:rsidRPr="554B332F">
        <w:rPr>
          <w:rFonts w:ascii="Arial" w:eastAsia="Arial" w:hAnsi="Arial" w:cs="Arial"/>
          <w:sz w:val="23"/>
          <w:szCs w:val="23"/>
        </w:rPr>
        <w:t>&lt;</w:t>
      </w:r>
      <w:proofErr w:type="gramStart"/>
      <w:r w:rsidR="64747494" w:rsidRPr="554B332F">
        <w:rPr>
          <w:rFonts w:ascii="Arial" w:eastAsia="Arial" w:hAnsi="Arial" w:cs="Arial"/>
          <w:sz w:val="23"/>
          <w:szCs w:val="23"/>
        </w:rPr>
        <w:t>Integer,?</w:t>
      </w:r>
      <w:proofErr w:type="gramEnd"/>
      <w:r w:rsidR="64747494" w:rsidRPr="554B332F">
        <w:rPr>
          <w:rFonts w:ascii="Arial" w:eastAsia="Arial" w:hAnsi="Arial" w:cs="Arial"/>
          <w:sz w:val="23"/>
          <w:szCs w:val="23"/>
        </w:rPr>
        <w:t>&gt; to your underlying list/set.</w:t>
      </w:r>
      <w:r w:rsidR="003E22C7">
        <w:rPr>
          <w:rFonts w:ascii="Arial" w:eastAsia="Arial" w:hAnsi="Arial" w:cs="Arial"/>
          <w:sz w:val="23"/>
          <w:szCs w:val="23"/>
        </w:rPr>
        <w:t xml:space="preserve"> </w:t>
      </w:r>
      <w:r w:rsidR="00B77F85">
        <w:rPr>
          <w:rFonts w:ascii="Arial" w:eastAsia="Arial" w:hAnsi="Arial" w:cs="Arial"/>
          <w:sz w:val="23"/>
          <w:szCs w:val="23"/>
        </w:rPr>
        <w:t xml:space="preserve">This is particularly important for cases where customized </w:t>
      </w:r>
      <w:r w:rsidR="000858F9">
        <w:rPr>
          <w:rFonts w:ascii="Arial" w:eastAsia="Arial" w:hAnsi="Arial" w:cs="Arial"/>
          <w:sz w:val="23"/>
          <w:szCs w:val="23"/>
        </w:rPr>
        <w:t>extensions are used for GSRS.</w:t>
      </w:r>
      <w:r w:rsidR="00F1775D">
        <w:rPr>
          <w:rFonts w:ascii="Arial" w:eastAsia="Arial" w:hAnsi="Arial" w:cs="Arial"/>
          <w:sz w:val="23"/>
          <w:szCs w:val="23"/>
        </w:rPr>
        <w:t xml:space="preserve"> This backend parsing </w:t>
      </w:r>
      <w:r w:rsidR="005A6D03">
        <w:rPr>
          <w:rFonts w:ascii="Arial" w:eastAsia="Arial" w:hAnsi="Arial" w:cs="Arial"/>
          <w:sz w:val="23"/>
          <w:szCs w:val="23"/>
        </w:rPr>
        <w:t>change has been addressed for specific cases where old features of GSRS 2.X are ported to 3.0, but for custom java code, particularly supporting initialization parameters from the config file</w:t>
      </w:r>
      <w:r w:rsidR="0043158B">
        <w:rPr>
          <w:rFonts w:ascii="Arial" w:eastAsia="Arial" w:hAnsi="Arial" w:cs="Arial"/>
          <w:sz w:val="23"/>
          <w:szCs w:val="23"/>
        </w:rPr>
        <w:t>, care should be taken to ensure that deserialization is complete and works as expected in 3.0.</w:t>
      </w:r>
      <w:r w:rsidR="00F1775D">
        <w:rPr>
          <w:rFonts w:ascii="Arial" w:eastAsia="Arial" w:hAnsi="Arial" w:cs="Arial"/>
          <w:sz w:val="23"/>
          <w:szCs w:val="23"/>
        </w:rPr>
        <w:t xml:space="preserve"> </w:t>
      </w:r>
    </w:p>
    <w:p w14:paraId="3A7ACE0B" w14:textId="0B6A1652" w:rsidR="004408CE" w:rsidRDefault="004408CE" w:rsidP="554B332F">
      <w:pPr>
        <w:rPr>
          <w:rFonts w:ascii="Arial" w:eastAsia="Arial" w:hAnsi="Arial" w:cs="Arial"/>
          <w:sz w:val="23"/>
          <w:szCs w:val="23"/>
        </w:rPr>
      </w:pPr>
    </w:p>
    <w:p w14:paraId="5AF1B4FF" w14:textId="6C644D97" w:rsidR="004408CE" w:rsidRDefault="004408CE" w:rsidP="004408CE">
      <w:pPr>
        <w:pStyle w:val="Heading1"/>
      </w:pPr>
      <w:r>
        <w:t xml:space="preserve">Specific </w:t>
      </w:r>
      <w:r w:rsidR="005E7F9A">
        <w:t>c</w:t>
      </w:r>
      <w:r>
        <w:t>hanges to Config File Properties</w:t>
      </w:r>
    </w:p>
    <w:p w14:paraId="7FE6F92A" w14:textId="77777777" w:rsidR="004408CE" w:rsidRPr="000858F9" w:rsidRDefault="004408CE" w:rsidP="554B332F">
      <w:pPr>
        <w:rPr>
          <w:rFonts w:ascii="Arial" w:eastAsia="Arial" w:hAnsi="Arial" w:cs="Arial"/>
          <w:sz w:val="23"/>
          <w:szCs w:val="23"/>
        </w:rPr>
      </w:pPr>
    </w:p>
    <w:p w14:paraId="70EA67CE" w14:textId="019F4316" w:rsidR="001522A0" w:rsidRDefault="0051262D" w:rsidP="0051262D">
      <w:pPr>
        <w:spacing w:after="0" w:line="240" w:lineRule="auto"/>
        <w:rPr>
          <w:rFonts w:ascii="Arial" w:hAnsi="Arial" w:cs="Arial"/>
          <w:color w:val="1D1C1D"/>
          <w:sz w:val="23"/>
          <w:szCs w:val="23"/>
        </w:rPr>
      </w:pPr>
      <w:r w:rsidRPr="000858F9">
        <w:rPr>
          <w:rFonts w:ascii="Arial" w:hAnsi="Arial" w:cs="Arial"/>
          <w:color w:val="1D1C1D"/>
          <w:sz w:val="23"/>
          <w:szCs w:val="23"/>
        </w:rPr>
        <w:t xml:space="preserve">The GSRS 3.0 config file mostly works as it did in 2.X, however, if you are instantiating a model for a customized extension (e.g. </w:t>
      </w:r>
      <w:proofErr w:type="spellStart"/>
      <w:r w:rsidRPr="000858F9">
        <w:rPr>
          <w:rFonts w:ascii="Arial" w:hAnsi="Arial" w:cs="Arial"/>
          <w:color w:val="1D1C1D"/>
          <w:sz w:val="23"/>
          <w:szCs w:val="23"/>
        </w:rPr>
        <w:t>IndexValueMaker</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ValidationRule</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RegisteredFunction</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EntityProcessor</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ScheduledTask</w:t>
      </w:r>
      <w:proofErr w:type="spellEnd"/>
      <w:r w:rsidRPr="000858F9">
        <w:rPr>
          <w:rFonts w:ascii="Arial" w:hAnsi="Arial" w:cs="Arial"/>
          <w:color w:val="1D1C1D"/>
          <w:sz w:val="23"/>
          <w:szCs w:val="23"/>
        </w:rPr>
        <w:t xml:space="preserve"> or Exporters), and are using the config file to instantiate your properties in the extension object there are some significant changes. S</w:t>
      </w:r>
      <w:r w:rsidR="001522A0">
        <w:rPr>
          <w:rFonts w:ascii="Arial" w:hAnsi="Arial" w:cs="Arial"/>
          <w:color w:val="1D1C1D"/>
          <w:sz w:val="23"/>
          <w:szCs w:val="23"/>
        </w:rPr>
        <w:t>ome of these</w:t>
      </w:r>
      <w:r w:rsidR="00B2527C">
        <w:rPr>
          <w:rFonts w:ascii="Arial" w:hAnsi="Arial" w:cs="Arial"/>
          <w:color w:val="1D1C1D"/>
          <w:sz w:val="23"/>
          <w:szCs w:val="23"/>
        </w:rPr>
        <w:t xml:space="preserve"> changes to look out for</w:t>
      </w:r>
      <w:r w:rsidR="00123E53">
        <w:rPr>
          <w:rFonts w:ascii="Arial" w:hAnsi="Arial" w:cs="Arial"/>
          <w:color w:val="1D1C1D"/>
          <w:sz w:val="23"/>
          <w:szCs w:val="23"/>
        </w:rPr>
        <w:t xml:space="preserve"> are exemplified below:</w:t>
      </w:r>
    </w:p>
    <w:p w14:paraId="55DD630E" w14:textId="292DF58B" w:rsidR="004104C9" w:rsidRDefault="004104C9" w:rsidP="0051262D">
      <w:pPr>
        <w:spacing w:after="0" w:line="240" w:lineRule="auto"/>
        <w:rPr>
          <w:rFonts w:ascii="Arial" w:hAnsi="Arial" w:cs="Arial"/>
          <w:color w:val="1D1C1D"/>
          <w:sz w:val="23"/>
          <w:szCs w:val="23"/>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600"/>
        <w:gridCol w:w="3960"/>
      </w:tblGrid>
      <w:tr w:rsidR="00E6268C" w:rsidRPr="00E6268C" w14:paraId="41C49039" w14:textId="77777777" w:rsidTr="00E6268C">
        <w:trPr>
          <w:trHeight w:val="288"/>
        </w:trPr>
        <w:tc>
          <w:tcPr>
            <w:tcW w:w="2520" w:type="dxa"/>
            <w:shd w:val="clear" w:color="auto" w:fill="D0CECE" w:themeFill="background2" w:themeFillShade="E6"/>
            <w:vAlign w:val="bottom"/>
            <w:hideMark/>
          </w:tcPr>
          <w:p w14:paraId="0E92E90E" w14:textId="7F68E4DD" w:rsidR="00E6268C" w:rsidRPr="00E6268C" w:rsidRDefault="005E7F9A" w:rsidP="00E6268C">
            <w:pPr>
              <w:spacing w:after="0" w:line="240" w:lineRule="auto"/>
              <w:ind w:left="138"/>
              <w:rPr>
                <w:rFonts w:ascii="Calibri" w:eastAsia="Times New Roman" w:hAnsi="Calibri" w:cs="Calibri"/>
                <w:b/>
                <w:bCs/>
                <w:color w:val="000000"/>
                <w:sz w:val="32"/>
                <w:szCs w:val="32"/>
              </w:rPr>
            </w:pPr>
            <w:r>
              <w:rPr>
                <w:rFonts w:ascii="Calibri" w:eastAsia="Times New Roman" w:hAnsi="Calibri" w:cs="Calibri"/>
                <w:b/>
                <w:bCs/>
                <w:color w:val="000000"/>
                <w:sz w:val="32"/>
                <w:szCs w:val="32"/>
              </w:rPr>
              <w:t xml:space="preserve">Configuration </w:t>
            </w:r>
            <w:r w:rsidR="00E6268C" w:rsidRPr="00E6268C">
              <w:rPr>
                <w:rFonts w:ascii="Calibri" w:eastAsia="Times New Roman" w:hAnsi="Calibri" w:cs="Calibri"/>
                <w:b/>
                <w:bCs/>
                <w:color w:val="000000"/>
                <w:sz w:val="32"/>
                <w:szCs w:val="32"/>
              </w:rPr>
              <w:t>Feature</w:t>
            </w:r>
          </w:p>
        </w:tc>
        <w:tc>
          <w:tcPr>
            <w:tcW w:w="3600" w:type="dxa"/>
            <w:shd w:val="clear" w:color="auto" w:fill="D0CECE" w:themeFill="background2" w:themeFillShade="E6"/>
            <w:vAlign w:val="bottom"/>
            <w:hideMark/>
          </w:tcPr>
          <w:p w14:paraId="350378E8" w14:textId="2B3E40FE" w:rsidR="005E7F9A" w:rsidRPr="00E6268C" w:rsidRDefault="005E7F9A" w:rsidP="005E7F9A">
            <w:pPr>
              <w:spacing w:after="0" w:line="240" w:lineRule="auto"/>
              <w:ind w:left="138"/>
              <w:rPr>
                <w:rFonts w:ascii="Calibri" w:eastAsia="Times New Roman" w:hAnsi="Calibri" w:cs="Calibri"/>
                <w:b/>
                <w:bCs/>
                <w:color w:val="000000"/>
                <w:sz w:val="32"/>
                <w:szCs w:val="32"/>
              </w:rPr>
            </w:pPr>
            <w:r>
              <w:rPr>
                <w:rFonts w:ascii="Calibri" w:eastAsia="Times New Roman" w:hAnsi="Calibri" w:cs="Calibri"/>
                <w:b/>
                <w:bCs/>
                <w:color w:val="000000"/>
                <w:sz w:val="32"/>
                <w:szCs w:val="32"/>
              </w:rPr>
              <w:t>Purpose</w:t>
            </w:r>
          </w:p>
        </w:tc>
        <w:tc>
          <w:tcPr>
            <w:tcW w:w="3960" w:type="dxa"/>
            <w:shd w:val="clear" w:color="auto" w:fill="D0CECE" w:themeFill="background2" w:themeFillShade="E6"/>
            <w:vAlign w:val="bottom"/>
            <w:hideMark/>
          </w:tcPr>
          <w:p w14:paraId="6142264F" w14:textId="39D327C3" w:rsidR="00E6268C" w:rsidRPr="00E6268C" w:rsidRDefault="009618D8" w:rsidP="00E6268C">
            <w:pPr>
              <w:spacing w:after="0" w:line="240" w:lineRule="auto"/>
              <w:ind w:left="138"/>
              <w:rPr>
                <w:rFonts w:ascii="Calibri" w:eastAsia="Times New Roman" w:hAnsi="Calibri" w:cs="Calibri"/>
                <w:b/>
                <w:bCs/>
                <w:color w:val="000000"/>
                <w:sz w:val="32"/>
                <w:szCs w:val="32"/>
              </w:rPr>
            </w:pPr>
            <w:r>
              <w:rPr>
                <w:rFonts w:ascii="Calibri" w:eastAsia="Times New Roman" w:hAnsi="Calibri" w:cs="Calibri"/>
                <w:b/>
                <w:bCs/>
                <w:color w:val="000000"/>
                <w:sz w:val="32"/>
                <w:szCs w:val="32"/>
              </w:rPr>
              <w:t>Change Notes</w:t>
            </w:r>
          </w:p>
        </w:tc>
      </w:tr>
      <w:tr w:rsidR="005E7F9A" w:rsidRPr="00E6268C" w14:paraId="032FAE73" w14:textId="77777777" w:rsidTr="00E6268C">
        <w:trPr>
          <w:trHeight w:val="68"/>
        </w:trPr>
        <w:tc>
          <w:tcPr>
            <w:tcW w:w="2520" w:type="dxa"/>
            <w:shd w:val="clear" w:color="auto" w:fill="auto"/>
            <w:vAlign w:val="bottom"/>
            <w:hideMark/>
          </w:tcPr>
          <w:p w14:paraId="2CDDA749"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Entity Processors (java triggers)</w:t>
            </w:r>
          </w:p>
        </w:tc>
        <w:tc>
          <w:tcPr>
            <w:tcW w:w="3600" w:type="dxa"/>
            <w:shd w:val="clear" w:color="auto" w:fill="auto"/>
            <w:vAlign w:val="bottom"/>
            <w:hideMark/>
          </w:tcPr>
          <w:p w14:paraId="4E67676C" w14:textId="3057877F"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Setting a list of backend triggers to run based on data operations.</w:t>
            </w:r>
          </w:p>
        </w:tc>
        <w:tc>
          <w:tcPr>
            <w:tcW w:w="3960" w:type="dxa"/>
            <w:shd w:val="clear" w:color="auto" w:fill="auto"/>
            <w:vAlign w:val="bottom"/>
            <w:hideMark/>
          </w:tcPr>
          <w:p w14:paraId="6FF77425" w14:textId="6BE10994"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proofErr w:type="gramStart"/>
            <w:r>
              <w:rPr>
                <w:rFonts w:ascii="Calibri" w:hAnsi="Calibri" w:cs="Calibri"/>
                <w:color w:val="000000"/>
              </w:rPr>
              <w:t>ix.core</w:t>
            </w:r>
            <w:proofErr w:type="gramEnd"/>
            <w:r>
              <w:rPr>
                <w:rFonts w:ascii="Calibri" w:hAnsi="Calibri" w:cs="Calibri"/>
                <w:color w:val="000000"/>
              </w:rPr>
              <w:t>.entityprocessors</w:t>
            </w:r>
            <w:proofErr w:type="spellEnd"/>
            <w:r>
              <w:rPr>
                <w:rFonts w:ascii="Calibri" w:hAnsi="Calibri" w:cs="Calibri"/>
                <w:color w:val="000000"/>
              </w:rPr>
              <w:br/>
            </w:r>
            <w:r>
              <w:rPr>
                <w:rFonts w:ascii="Calibri" w:hAnsi="Calibri" w:cs="Calibri"/>
                <w:color w:val="000000"/>
              </w:rPr>
              <w:br/>
              <w:t xml:space="preserve">3.X Path: </w:t>
            </w:r>
            <w:proofErr w:type="spellStart"/>
            <w:r>
              <w:rPr>
                <w:rFonts w:ascii="Calibri" w:hAnsi="Calibri" w:cs="Calibri"/>
                <w:color w:val="000000"/>
              </w:rPr>
              <w:t>gsrs.entityProcessors</w:t>
            </w:r>
            <w:proofErr w:type="spellEnd"/>
            <w:r>
              <w:rPr>
                <w:rFonts w:ascii="Calibri" w:hAnsi="Calibri" w:cs="Calibri"/>
                <w:color w:val="000000"/>
              </w:rPr>
              <w:br/>
            </w:r>
            <w:r>
              <w:rPr>
                <w:rFonts w:ascii="Calibri" w:hAnsi="Calibri" w:cs="Calibri"/>
                <w:color w:val="000000"/>
              </w:rPr>
              <w:br/>
              <w:t>Other Notes: Property called "class" is now called "</w:t>
            </w:r>
            <w:proofErr w:type="spellStart"/>
            <w:r>
              <w:rPr>
                <w:rFonts w:ascii="Calibri" w:hAnsi="Calibri" w:cs="Calibri"/>
                <w:color w:val="000000"/>
              </w:rPr>
              <w:t>entityClassName</w:t>
            </w:r>
            <w:proofErr w:type="spellEnd"/>
            <w:r>
              <w:rPr>
                <w:rFonts w:ascii="Calibri" w:hAnsi="Calibri" w:cs="Calibri"/>
                <w:color w:val="000000"/>
              </w:rPr>
              <w:t>"</w:t>
            </w:r>
          </w:p>
        </w:tc>
      </w:tr>
      <w:tr w:rsidR="005E7F9A" w:rsidRPr="00E6268C" w14:paraId="45BF6A00" w14:textId="77777777" w:rsidTr="00E6268C">
        <w:trPr>
          <w:trHeight w:val="720"/>
        </w:trPr>
        <w:tc>
          <w:tcPr>
            <w:tcW w:w="2520" w:type="dxa"/>
            <w:shd w:val="clear" w:color="auto" w:fill="F2F2F2" w:themeFill="background1" w:themeFillShade="F2"/>
            <w:vAlign w:val="bottom"/>
            <w:hideMark/>
          </w:tcPr>
          <w:p w14:paraId="574420C2"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Validation Rules</w:t>
            </w:r>
          </w:p>
        </w:tc>
        <w:tc>
          <w:tcPr>
            <w:tcW w:w="3600" w:type="dxa"/>
            <w:shd w:val="clear" w:color="auto" w:fill="F2F2F2" w:themeFill="background1" w:themeFillShade="F2"/>
            <w:vAlign w:val="bottom"/>
            <w:hideMark/>
          </w:tcPr>
          <w:p w14:paraId="6BA9880B" w14:textId="7C43937E"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Setting a list of validation rules to run on new entries and updates from the REST API.</w:t>
            </w:r>
          </w:p>
        </w:tc>
        <w:tc>
          <w:tcPr>
            <w:tcW w:w="3960" w:type="dxa"/>
            <w:shd w:val="clear" w:color="auto" w:fill="F2F2F2" w:themeFill="background1" w:themeFillShade="F2"/>
            <w:vAlign w:val="bottom"/>
            <w:hideMark/>
          </w:tcPr>
          <w:p w14:paraId="61D50F78" w14:textId="3C671827"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r>
              <w:rPr>
                <w:rFonts w:ascii="Calibri" w:hAnsi="Calibri" w:cs="Calibri"/>
                <w:color w:val="000000"/>
              </w:rPr>
              <w:t>substance.validators</w:t>
            </w:r>
            <w:proofErr w:type="spellEnd"/>
            <w:r>
              <w:rPr>
                <w:rFonts w:ascii="Calibri" w:hAnsi="Calibri" w:cs="Calibri"/>
                <w:color w:val="000000"/>
              </w:rPr>
              <w:br/>
            </w:r>
            <w:r>
              <w:rPr>
                <w:rFonts w:ascii="Calibri" w:hAnsi="Calibri" w:cs="Calibri"/>
                <w:color w:val="000000"/>
              </w:rPr>
              <w:br/>
              <w:t xml:space="preserve">3.X Path: </w:t>
            </w:r>
            <w:proofErr w:type="spellStart"/>
            <w:proofErr w:type="gramStart"/>
            <w:r>
              <w:rPr>
                <w:rFonts w:ascii="Calibri" w:hAnsi="Calibri" w:cs="Calibri"/>
                <w:color w:val="000000"/>
              </w:rPr>
              <w:t>gsrs.validators</w:t>
            </w:r>
            <w:proofErr w:type="gramEnd"/>
            <w:r>
              <w:rPr>
                <w:rFonts w:ascii="Calibri" w:hAnsi="Calibri" w:cs="Calibri"/>
                <w:color w:val="000000"/>
              </w:rPr>
              <w:t>.substances</w:t>
            </w:r>
            <w:proofErr w:type="spellEnd"/>
            <w:r>
              <w:rPr>
                <w:rFonts w:ascii="Calibri" w:hAnsi="Calibri" w:cs="Calibri"/>
                <w:color w:val="000000"/>
              </w:rPr>
              <w:br/>
            </w:r>
            <w:r>
              <w:rPr>
                <w:rFonts w:ascii="Calibri" w:hAnsi="Calibri" w:cs="Calibri"/>
                <w:color w:val="000000"/>
              </w:rPr>
              <w:br/>
              <w:t>Other Notes: Replace "substances" with whatever entity is intended. It will use the resource name based on the controller.</w:t>
            </w:r>
          </w:p>
        </w:tc>
      </w:tr>
      <w:tr w:rsidR="005E7F9A" w:rsidRPr="00E6268C" w14:paraId="4E7BFFA1" w14:textId="77777777" w:rsidTr="00E6268C">
        <w:trPr>
          <w:trHeight w:val="540"/>
        </w:trPr>
        <w:tc>
          <w:tcPr>
            <w:tcW w:w="2520" w:type="dxa"/>
            <w:shd w:val="clear" w:color="auto" w:fill="auto"/>
            <w:vAlign w:val="bottom"/>
            <w:hideMark/>
          </w:tcPr>
          <w:p w14:paraId="5B52620F"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lastRenderedPageBreak/>
              <w:t>Index Value Makers</w:t>
            </w:r>
          </w:p>
        </w:tc>
        <w:tc>
          <w:tcPr>
            <w:tcW w:w="3600" w:type="dxa"/>
            <w:shd w:val="clear" w:color="auto" w:fill="auto"/>
            <w:vAlign w:val="bottom"/>
            <w:hideMark/>
          </w:tcPr>
          <w:p w14:paraId="0288AE0C" w14:textId="4F97D509"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Setting a list of custom fields to be generated and indexed for text search, facets, sort order, etc.</w:t>
            </w:r>
          </w:p>
        </w:tc>
        <w:tc>
          <w:tcPr>
            <w:tcW w:w="3960" w:type="dxa"/>
            <w:shd w:val="clear" w:color="auto" w:fill="auto"/>
            <w:vAlign w:val="bottom"/>
            <w:hideMark/>
          </w:tcPr>
          <w:p w14:paraId="5089B89B" w14:textId="260AE1A3"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proofErr w:type="gramStart"/>
            <w:r>
              <w:rPr>
                <w:rFonts w:ascii="Calibri" w:hAnsi="Calibri" w:cs="Calibri"/>
                <w:color w:val="000000"/>
              </w:rPr>
              <w:t>ix.core</w:t>
            </w:r>
            <w:proofErr w:type="gramEnd"/>
            <w:r>
              <w:rPr>
                <w:rFonts w:ascii="Calibri" w:hAnsi="Calibri" w:cs="Calibri"/>
                <w:color w:val="000000"/>
              </w:rPr>
              <w:t>.indexValueMakers</w:t>
            </w:r>
            <w:proofErr w:type="spellEnd"/>
            <w:r>
              <w:rPr>
                <w:rFonts w:ascii="Calibri" w:hAnsi="Calibri" w:cs="Calibri"/>
                <w:color w:val="000000"/>
              </w:rPr>
              <w:br/>
            </w:r>
            <w:r>
              <w:rPr>
                <w:rFonts w:ascii="Calibri" w:hAnsi="Calibri" w:cs="Calibri"/>
                <w:color w:val="000000"/>
              </w:rPr>
              <w:br/>
              <w:t xml:space="preserve">3.X Path: </w:t>
            </w:r>
            <w:proofErr w:type="spellStart"/>
            <w:r>
              <w:rPr>
                <w:rFonts w:ascii="Calibri" w:hAnsi="Calibri" w:cs="Calibri"/>
                <w:color w:val="000000"/>
              </w:rPr>
              <w:t>gsrs.indexers.list</w:t>
            </w:r>
            <w:proofErr w:type="spellEnd"/>
            <w:r>
              <w:rPr>
                <w:rFonts w:ascii="Calibri" w:hAnsi="Calibri" w:cs="Calibri"/>
                <w:color w:val="000000"/>
              </w:rPr>
              <w:br/>
            </w:r>
            <w:r>
              <w:rPr>
                <w:rFonts w:ascii="Calibri" w:hAnsi="Calibri" w:cs="Calibri"/>
                <w:color w:val="000000"/>
              </w:rPr>
              <w:br/>
              <w:t>Other Notes: Property "class" to specify what entity this applies to is not typically necessary anymore. The IVM interface itself should specify which object it applies to.</w:t>
            </w:r>
          </w:p>
        </w:tc>
      </w:tr>
      <w:tr w:rsidR="005E7F9A" w:rsidRPr="00E6268C" w14:paraId="67224DE8" w14:textId="77777777" w:rsidTr="00E6268C">
        <w:trPr>
          <w:trHeight w:val="360"/>
        </w:trPr>
        <w:tc>
          <w:tcPr>
            <w:tcW w:w="2520" w:type="dxa"/>
            <w:shd w:val="clear" w:color="auto" w:fill="F2F2F2" w:themeFill="background1" w:themeFillShade="F2"/>
            <w:vAlign w:val="bottom"/>
            <w:hideMark/>
          </w:tcPr>
          <w:p w14:paraId="060AB4DC"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Export Format Support</w:t>
            </w:r>
          </w:p>
        </w:tc>
        <w:tc>
          <w:tcPr>
            <w:tcW w:w="3600" w:type="dxa"/>
            <w:shd w:val="clear" w:color="auto" w:fill="F2F2F2" w:themeFill="background1" w:themeFillShade="F2"/>
            <w:vAlign w:val="bottom"/>
            <w:hideMark/>
          </w:tcPr>
          <w:p w14:paraId="63C90894" w14:textId="2BBC387D"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 xml:space="preserve">Setting a list of exporter factories for making certain kinds of data exports (e.g. custom excel, CSV, </w:t>
            </w:r>
            <w:proofErr w:type="spellStart"/>
            <w:r>
              <w:rPr>
                <w:rFonts w:ascii="Calibri" w:hAnsi="Calibri" w:cs="Calibri"/>
                <w:color w:val="000000"/>
              </w:rPr>
              <w:t>json</w:t>
            </w:r>
            <w:proofErr w:type="spellEnd"/>
            <w:r>
              <w:rPr>
                <w:rFonts w:ascii="Calibri" w:hAnsi="Calibri" w:cs="Calibri"/>
                <w:color w:val="000000"/>
              </w:rPr>
              <w:t>, etc.)</w:t>
            </w:r>
          </w:p>
        </w:tc>
        <w:tc>
          <w:tcPr>
            <w:tcW w:w="3960" w:type="dxa"/>
            <w:shd w:val="clear" w:color="auto" w:fill="F2F2F2" w:themeFill="background1" w:themeFillShade="F2"/>
            <w:vAlign w:val="bottom"/>
            <w:hideMark/>
          </w:tcPr>
          <w:p w14:paraId="325AF97F" w14:textId="43785987"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proofErr w:type="gramStart"/>
            <w:r>
              <w:rPr>
                <w:rFonts w:ascii="Calibri" w:hAnsi="Calibri" w:cs="Calibri"/>
                <w:color w:val="000000"/>
              </w:rPr>
              <w:t>ix.ginas</w:t>
            </w:r>
            <w:proofErr w:type="gramEnd"/>
            <w:r>
              <w:rPr>
                <w:rFonts w:ascii="Calibri" w:hAnsi="Calibri" w:cs="Calibri"/>
                <w:color w:val="000000"/>
              </w:rPr>
              <w:t>.exportFactories</w:t>
            </w:r>
            <w:proofErr w:type="spellEnd"/>
            <w:r>
              <w:rPr>
                <w:rFonts w:ascii="Calibri" w:hAnsi="Calibri" w:cs="Calibri"/>
                <w:color w:val="000000"/>
              </w:rPr>
              <w:br/>
            </w:r>
            <w:r>
              <w:rPr>
                <w:rFonts w:ascii="Calibri" w:hAnsi="Calibri" w:cs="Calibri"/>
                <w:color w:val="000000"/>
              </w:rPr>
              <w:br/>
              <w:t xml:space="preserve">3.X Path: </w:t>
            </w:r>
            <w:proofErr w:type="spellStart"/>
            <w:r>
              <w:rPr>
                <w:rFonts w:ascii="Calibri" w:hAnsi="Calibri" w:cs="Calibri"/>
                <w:color w:val="000000"/>
              </w:rPr>
              <w:t>ix.ginas.export.factories.substances</w:t>
            </w:r>
            <w:proofErr w:type="spellEnd"/>
            <w:r>
              <w:rPr>
                <w:rFonts w:ascii="Calibri" w:hAnsi="Calibri" w:cs="Calibri"/>
                <w:color w:val="000000"/>
              </w:rPr>
              <w:br/>
            </w:r>
            <w:r>
              <w:rPr>
                <w:rFonts w:ascii="Calibri" w:hAnsi="Calibri" w:cs="Calibri"/>
                <w:color w:val="000000"/>
              </w:rPr>
              <w:br/>
              <w:t>Other Notes: Replace "substances" with whatever entity is intended. It will use the resource name based on the controller.</w:t>
            </w:r>
          </w:p>
        </w:tc>
      </w:tr>
      <w:tr w:rsidR="005E7F9A" w:rsidRPr="00E6268C" w14:paraId="4E961B26" w14:textId="77777777" w:rsidTr="00E6268C">
        <w:trPr>
          <w:trHeight w:val="315"/>
        </w:trPr>
        <w:tc>
          <w:tcPr>
            <w:tcW w:w="2520" w:type="dxa"/>
            <w:shd w:val="clear" w:color="auto" w:fill="auto"/>
            <w:vAlign w:val="bottom"/>
            <w:hideMark/>
          </w:tcPr>
          <w:p w14:paraId="2A13B624"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Hierarchy Recipes</w:t>
            </w:r>
          </w:p>
        </w:tc>
        <w:tc>
          <w:tcPr>
            <w:tcW w:w="3600" w:type="dxa"/>
            <w:shd w:val="clear" w:color="auto" w:fill="auto"/>
            <w:vAlign w:val="bottom"/>
            <w:hideMark/>
          </w:tcPr>
          <w:p w14:paraId="513F5C64" w14:textId="2E3EE18F"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Setting a list of substance-specific hierarchy creation recipes to show which substance is effectively a "more specific" form of another substance.</w:t>
            </w:r>
          </w:p>
        </w:tc>
        <w:tc>
          <w:tcPr>
            <w:tcW w:w="3960" w:type="dxa"/>
            <w:shd w:val="clear" w:color="auto" w:fill="auto"/>
            <w:vAlign w:val="bottom"/>
            <w:hideMark/>
          </w:tcPr>
          <w:p w14:paraId="06C855F4" w14:textId="6ECFDB6A"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r>
              <w:rPr>
                <w:rFonts w:ascii="Calibri" w:hAnsi="Calibri" w:cs="Calibri"/>
                <w:color w:val="000000"/>
              </w:rPr>
              <w:t>substance.hierarchyFinders</w:t>
            </w:r>
            <w:proofErr w:type="spellEnd"/>
            <w:r>
              <w:rPr>
                <w:rFonts w:ascii="Calibri" w:hAnsi="Calibri" w:cs="Calibri"/>
                <w:color w:val="000000"/>
              </w:rPr>
              <w:br/>
            </w:r>
            <w:r>
              <w:rPr>
                <w:rFonts w:ascii="Calibri" w:hAnsi="Calibri" w:cs="Calibri"/>
                <w:color w:val="000000"/>
              </w:rPr>
              <w:br/>
              <w:t xml:space="preserve">3.X Path: </w:t>
            </w:r>
            <w:proofErr w:type="spellStart"/>
            <w:proofErr w:type="gramStart"/>
            <w:r>
              <w:rPr>
                <w:rFonts w:ascii="Calibri" w:hAnsi="Calibri" w:cs="Calibri"/>
                <w:color w:val="000000"/>
              </w:rPr>
              <w:t>substance.hierarchyFinders.recipes</w:t>
            </w:r>
            <w:proofErr w:type="spellEnd"/>
            <w:proofErr w:type="gramEnd"/>
            <w:r>
              <w:rPr>
                <w:rFonts w:ascii="Calibri" w:hAnsi="Calibri" w:cs="Calibri"/>
                <w:color w:val="000000"/>
              </w:rPr>
              <w:br/>
            </w:r>
          </w:p>
        </w:tc>
      </w:tr>
      <w:tr w:rsidR="005E7F9A" w:rsidRPr="00E6268C" w14:paraId="4307CA1D" w14:textId="77777777" w:rsidTr="00E6268C">
        <w:trPr>
          <w:trHeight w:val="441"/>
        </w:trPr>
        <w:tc>
          <w:tcPr>
            <w:tcW w:w="2520" w:type="dxa"/>
            <w:shd w:val="clear" w:color="auto" w:fill="F2F2F2" w:themeFill="background1" w:themeFillShade="F2"/>
            <w:vAlign w:val="bottom"/>
            <w:hideMark/>
          </w:tcPr>
          <w:p w14:paraId="6F9C72C5"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Deep Field Indexing</w:t>
            </w:r>
          </w:p>
        </w:tc>
        <w:tc>
          <w:tcPr>
            <w:tcW w:w="3600" w:type="dxa"/>
            <w:shd w:val="clear" w:color="auto" w:fill="F2F2F2" w:themeFill="background1" w:themeFillShade="F2"/>
            <w:vAlign w:val="bottom"/>
            <w:hideMark/>
          </w:tcPr>
          <w:p w14:paraId="5FEBD3F8" w14:textId="02A193C2"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Turns on deep field support to allow text indexing and searching to suggest "did you mean" search suggestions for modifying a query.</w:t>
            </w:r>
          </w:p>
        </w:tc>
        <w:tc>
          <w:tcPr>
            <w:tcW w:w="3960" w:type="dxa"/>
            <w:shd w:val="clear" w:color="auto" w:fill="F2F2F2" w:themeFill="background1" w:themeFillShade="F2"/>
            <w:vAlign w:val="bottom"/>
            <w:hideMark/>
          </w:tcPr>
          <w:p w14:paraId="752FBA37" w14:textId="209FD1C3"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proofErr w:type="gramStart"/>
            <w:r>
              <w:rPr>
                <w:rFonts w:ascii="Calibri" w:hAnsi="Calibri" w:cs="Calibri"/>
                <w:color w:val="000000"/>
              </w:rPr>
              <w:t>ix.index</w:t>
            </w:r>
            <w:proofErr w:type="gramEnd"/>
            <w:r>
              <w:rPr>
                <w:rFonts w:ascii="Calibri" w:hAnsi="Calibri" w:cs="Calibri"/>
                <w:color w:val="000000"/>
              </w:rPr>
              <w:t>.deepfields</w:t>
            </w:r>
            <w:proofErr w:type="spellEnd"/>
            <w:r>
              <w:rPr>
                <w:rFonts w:ascii="Calibri" w:hAnsi="Calibri" w:cs="Calibri"/>
                <w:color w:val="000000"/>
              </w:rPr>
              <w:br/>
            </w:r>
            <w:r>
              <w:rPr>
                <w:rFonts w:ascii="Calibri" w:hAnsi="Calibri" w:cs="Calibri"/>
                <w:color w:val="000000"/>
              </w:rPr>
              <w:br/>
              <w:t xml:space="preserve">3.X Path: </w:t>
            </w:r>
            <w:proofErr w:type="spellStart"/>
            <w:r>
              <w:rPr>
                <w:rFonts w:ascii="Calibri" w:hAnsi="Calibri" w:cs="Calibri"/>
                <w:color w:val="000000"/>
              </w:rPr>
              <w:t>ix.index.deepfieldsraw</w:t>
            </w:r>
            <w:proofErr w:type="spellEnd"/>
            <w:r>
              <w:rPr>
                <w:rFonts w:ascii="Calibri" w:hAnsi="Calibri" w:cs="Calibri"/>
                <w:color w:val="000000"/>
              </w:rPr>
              <w:br/>
            </w:r>
            <w:r>
              <w:rPr>
                <w:rFonts w:ascii="Calibri" w:hAnsi="Calibri" w:cs="Calibri"/>
                <w:color w:val="000000"/>
              </w:rPr>
              <w:br/>
              <w:t>Other Notes: Instead of a JSON list this is now a single text string with ";" delimitating each fully qualified entity class intended to have deep field support</w:t>
            </w:r>
          </w:p>
        </w:tc>
      </w:tr>
      <w:tr w:rsidR="005E7F9A" w:rsidRPr="00E6268C" w14:paraId="718CA995" w14:textId="77777777" w:rsidTr="00E6268C">
        <w:trPr>
          <w:trHeight w:val="405"/>
        </w:trPr>
        <w:tc>
          <w:tcPr>
            <w:tcW w:w="2520" w:type="dxa"/>
            <w:shd w:val="clear" w:color="auto" w:fill="auto"/>
            <w:vAlign w:val="bottom"/>
            <w:hideMark/>
          </w:tcPr>
          <w:p w14:paraId="1CE19760"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Export Directory</w:t>
            </w:r>
          </w:p>
        </w:tc>
        <w:tc>
          <w:tcPr>
            <w:tcW w:w="3600" w:type="dxa"/>
            <w:shd w:val="clear" w:color="auto" w:fill="auto"/>
            <w:vAlign w:val="bottom"/>
            <w:hideMark/>
          </w:tcPr>
          <w:p w14:paraId="1578F360" w14:textId="32980E7B"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Directory that the export files will be stored on the server for convenient download for users.</w:t>
            </w:r>
          </w:p>
        </w:tc>
        <w:tc>
          <w:tcPr>
            <w:tcW w:w="3960" w:type="dxa"/>
            <w:shd w:val="clear" w:color="auto" w:fill="auto"/>
            <w:vAlign w:val="bottom"/>
            <w:hideMark/>
          </w:tcPr>
          <w:p w14:paraId="5C1D77E0" w14:textId="29955637"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proofErr w:type="gramStart"/>
            <w:r>
              <w:rPr>
                <w:rFonts w:ascii="Calibri" w:hAnsi="Calibri" w:cs="Calibri"/>
                <w:color w:val="000000"/>
              </w:rPr>
              <w:t>export.path</w:t>
            </w:r>
            <w:proofErr w:type="gramEnd"/>
            <w:r>
              <w:rPr>
                <w:rFonts w:ascii="Calibri" w:hAnsi="Calibri" w:cs="Calibri"/>
                <w:color w:val="000000"/>
              </w:rPr>
              <w:t>.root</w:t>
            </w:r>
            <w:proofErr w:type="spellEnd"/>
            <w:r>
              <w:rPr>
                <w:rFonts w:ascii="Calibri" w:hAnsi="Calibri" w:cs="Calibri"/>
                <w:color w:val="000000"/>
              </w:rPr>
              <w:br/>
            </w:r>
            <w:r>
              <w:rPr>
                <w:rFonts w:ascii="Calibri" w:hAnsi="Calibri" w:cs="Calibri"/>
                <w:color w:val="000000"/>
              </w:rPr>
              <w:br/>
              <w:t xml:space="preserve">3.X Path: </w:t>
            </w:r>
            <w:proofErr w:type="spellStart"/>
            <w:r>
              <w:rPr>
                <w:rFonts w:ascii="Calibri" w:hAnsi="Calibri" w:cs="Calibri"/>
                <w:color w:val="000000"/>
              </w:rPr>
              <w:t>ix.ginas.export.path</w:t>
            </w:r>
            <w:proofErr w:type="spellEnd"/>
            <w:r>
              <w:rPr>
                <w:rFonts w:ascii="Calibri" w:hAnsi="Calibri" w:cs="Calibri"/>
                <w:color w:val="000000"/>
              </w:rPr>
              <w:br/>
            </w:r>
          </w:p>
        </w:tc>
      </w:tr>
      <w:tr w:rsidR="005E7F9A" w:rsidRPr="00E6268C" w14:paraId="0DF46819" w14:textId="77777777" w:rsidTr="00E6268C">
        <w:trPr>
          <w:trHeight w:val="68"/>
        </w:trPr>
        <w:tc>
          <w:tcPr>
            <w:tcW w:w="2520" w:type="dxa"/>
            <w:shd w:val="clear" w:color="auto" w:fill="F2F2F2" w:themeFill="background1" w:themeFillShade="F2"/>
            <w:vAlign w:val="bottom"/>
            <w:hideMark/>
          </w:tcPr>
          <w:p w14:paraId="3C52B7D5" w14:textId="77777777" w:rsidR="005E7F9A" w:rsidRPr="00E6268C" w:rsidRDefault="005E7F9A" w:rsidP="005E7F9A">
            <w:pPr>
              <w:spacing w:after="0" w:line="240" w:lineRule="auto"/>
              <w:ind w:left="138"/>
              <w:rPr>
                <w:rFonts w:ascii="Calibri" w:eastAsia="Times New Roman" w:hAnsi="Calibri" w:cs="Calibri"/>
                <w:color w:val="000000"/>
              </w:rPr>
            </w:pPr>
            <w:r w:rsidRPr="00E6268C">
              <w:rPr>
                <w:rFonts w:ascii="Calibri" w:eastAsia="Times New Roman" w:hAnsi="Calibri" w:cs="Calibri"/>
                <w:color w:val="000000"/>
              </w:rPr>
              <w:t>Database Configuration settings</w:t>
            </w:r>
          </w:p>
        </w:tc>
        <w:tc>
          <w:tcPr>
            <w:tcW w:w="3600" w:type="dxa"/>
            <w:shd w:val="clear" w:color="auto" w:fill="F2F2F2" w:themeFill="background1" w:themeFillShade="F2"/>
            <w:vAlign w:val="bottom"/>
            <w:hideMark/>
          </w:tcPr>
          <w:p w14:paraId="4C634636" w14:textId="07FDAF59" w:rsidR="005E7F9A" w:rsidRPr="00E6268C" w:rsidRDefault="005E7F9A" w:rsidP="005E7F9A">
            <w:pPr>
              <w:spacing w:after="0" w:line="240" w:lineRule="auto"/>
              <w:ind w:left="138"/>
              <w:rPr>
                <w:rFonts w:ascii="Courier New" w:eastAsia="Times New Roman" w:hAnsi="Courier New" w:cs="Courier New"/>
                <w:color w:val="000000"/>
              </w:rPr>
            </w:pPr>
            <w:r>
              <w:rPr>
                <w:rFonts w:ascii="Calibri" w:hAnsi="Calibri" w:cs="Calibri"/>
                <w:color w:val="000000"/>
              </w:rPr>
              <w:t>Connect to database for ORM.</w:t>
            </w:r>
          </w:p>
        </w:tc>
        <w:tc>
          <w:tcPr>
            <w:tcW w:w="3960" w:type="dxa"/>
            <w:shd w:val="clear" w:color="auto" w:fill="F2F2F2" w:themeFill="background1" w:themeFillShade="F2"/>
            <w:vAlign w:val="bottom"/>
            <w:hideMark/>
          </w:tcPr>
          <w:p w14:paraId="17896BAC" w14:textId="57518C15" w:rsidR="005E7F9A" w:rsidRPr="00E6268C" w:rsidRDefault="005E7F9A" w:rsidP="005E7F9A">
            <w:pPr>
              <w:spacing w:after="0" w:line="240" w:lineRule="auto"/>
              <w:ind w:left="138"/>
              <w:rPr>
                <w:rFonts w:ascii="Courier New" w:eastAsia="Times New Roman" w:hAnsi="Courier New" w:cs="Courier New"/>
                <w:color w:val="24292F"/>
              </w:rPr>
            </w:pPr>
            <w:r>
              <w:rPr>
                <w:rFonts w:ascii="Calibri" w:hAnsi="Calibri" w:cs="Calibri"/>
                <w:color w:val="000000"/>
              </w:rPr>
              <w:t xml:space="preserve">2.X Path: </w:t>
            </w:r>
            <w:proofErr w:type="spellStart"/>
            <w:r>
              <w:rPr>
                <w:rFonts w:ascii="Calibri" w:hAnsi="Calibri" w:cs="Calibri"/>
                <w:color w:val="000000"/>
              </w:rPr>
              <w:t>db.default</w:t>
            </w:r>
            <w:proofErr w:type="spellEnd"/>
            <w:r>
              <w:rPr>
                <w:rFonts w:ascii="Calibri" w:hAnsi="Calibri" w:cs="Calibri"/>
                <w:color w:val="000000"/>
              </w:rPr>
              <w:br/>
            </w:r>
            <w:r>
              <w:rPr>
                <w:rFonts w:ascii="Calibri" w:hAnsi="Calibri" w:cs="Calibri"/>
                <w:color w:val="000000"/>
              </w:rPr>
              <w:br/>
              <w:t xml:space="preserve">3.X Path: </w:t>
            </w:r>
            <w:proofErr w:type="spellStart"/>
            <w:proofErr w:type="gramStart"/>
            <w:r>
              <w:rPr>
                <w:rFonts w:ascii="Calibri" w:hAnsi="Calibri" w:cs="Calibri"/>
                <w:color w:val="000000"/>
              </w:rPr>
              <w:t>spring.datasource</w:t>
            </w:r>
            <w:proofErr w:type="spellEnd"/>
            <w:proofErr w:type="gramEnd"/>
            <w:r>
              <w:rPr>
                <w:rFonts w:ascii="Calibri" w:hAnsi="Calibri" w:cs="Calibri"/>
                <w:color w:val="000000"/>
              </w:rPr>
              <w:br/>
            </w:r>
            <w:r>
              <w:rPr>
                <w:rFonts w:ascii="Calibri" w:hAnsi="Calibri" w:cs="Calibri"/>
                <w:color w:val="000000"/>
              </w:rPr>
              <w:br/>
              <w:t>Other Notes: The actual syntax needed to establish a database connection is very different and is explained in another document.</w:t>
            </w:r>
          </w:p>
        </w:tc>
      </w:tr>
    </w:tbl>
    <w:p w14:paraId="63319230" w14:textId="77777777" w:rsidR="004104C9" w:rsidRDefault="004104C9" w:rsidP="0051262D">
      <w:pPr>
        <w:spacing w:after="0" w:line="240" w:lineRule="auto"/>
        <w:rPr>
          <w:rFonts w:ascii="Arial" w:hAnsi="Arial" w:cs="Arial"/>
          <w:color w:val="1D1C1D"/>
          <w:sz w:val="23"/>
          <w:szCs w:val="23"/>
        </w:rPr>
      </w:pPr>
    </w:p>
    <w:p w14:paraId="043505BB" w14:textId="272BA5FF" w:rsidR="00482CBA" w:rsidRDefault="00482CBA" w:rsidP="0051262D">
      <w:pPr>
        <w:spacing w:after="0" w:line="240" w:lineRule="auto"/>
        <w:rPr>
          <w:rFonts w:ascii="Calibri" w:eastAsia="Times New Roman" w:hAnsi="Calibri" w:cs="Calibri"/>
        </w:rPr>
      </w:pPr>
    </w:p>
    <w:p w14:paraId="508BEB25" w14:textId="17AAE46B" w:rsidR="00DC20E8" w:rsidRPr="00430FB9" w:rsidRDefault="00430FB9" w:rsidP="0051262D">
      <w:pPr>
        <w:spacing w:after="0" w:line="240" w:lineRule="auto"/>
        <w:rPr>
          <w:rFonts w:ascii="Arial" w:hAnsi="Arial" w:cs="Arial"/>
          <w:color w:val="1D1C1D"/>
          <w:sz w:val="23"/>
          <w:szCs w:val="23"/>
        </w:rPr>
      </w:pPr>
      <w:r w:rsidRPr="4341374E">
        <w:rPr>
          <w:rFonts w:ascii="Arial" w:hAnsi="Arial" w:cs="Arial"/>
          <w:color w:val="1D1C1D"/>
          <w:sz w:val="23"/>
          <w:szCs w:val="23"/>
        </w:rPr>
        <w:t xml:space="preserve">The above list is not exhaustive, but </w:t>
      </w:r>
      <w:r w:rsidR="2032DC6E" w:rsidRPr="4341374E">
        <w:rPr>
          <w:rFonts w:ascii="Arial" w:hAnsi="Arial" w:cs="Arial"/>
          <w:color w:val="1D1C1D"/>
          <w:sz w:val="23"/>
          <w:szCs w:val="23"/>
        </w:rPr>
        <w:t xml:space="preserve">it </w:t>
      </w:r>
      <w:r w:rsidRPr="4341374E">
        <w:rPr>
          <w:rFonts w:ascii="Arial" w:hAnsi="Arial" w:cs="Arial"/>
          <w:color w:val="1D1C1D"/>
          <w:sz w:val="23"/>
          <w:szCs w:val="23"/>
        </w:rPr>
        <w:t xml:space="preserve">shows the main areas that may need to be adjusted for common config file migrations. </w:t>
      </w:r>
      <w:r w:rsidR="00DC20E8" w:rsidRPr="4341374E">
        <w:rPr>
          <w:rFonts w:ascii="Arial" w:hAnsi="Arial" w:cs="Arial"/>
          <w:color w:val="1D1C1D"/>
          <w:sz w:val="23"/>
          <w:szCs w:val="23"/>
        </w:rPr>
        <w:t>In addition, there are some configuration features that were supported in 2.X which are no longer supported.</w:t>
      </w:r>
      <w:r w:rsidR="00735367" w:rsidRPr="4341374E">
        <w:rPr>
          <w:rFonts w:ascii="Arial" w:hAnsi="Arial" w:cs="Arial"/>
          <w:color w:val="1D1C1D"/>
          <w:sz w:val="23"/>
          <w:szCs w:val="23"/>
        </w:rPr>
        <w:t xml:space="preserve"> The default values found in the </w:t>
      </w:r>
      <w:proofErr w:type="spellStart"/>
      <w:r w:rsidR="00735367" w:rsidRPr="4341374E">
        <w:rPr>
          <w:rFonts w:ascii="Arial" w:hAnsi="Arial" w:cs="Arial"/>
          <w:color w:val="1D1C1D"/>
          <w:sz w:val="23"/>
          <w:szCs w:val="23"/>
        </w:rPr>
        <w:t>gsrs-</w:t>
      </w:r>
      <w:r w:rsidR="00735367" w:rsidRPr="4341374E">
        <w:rPr>
          <w:rFonts w:ascii="Arial" w:hAnsi="Arial" w:cs="Arial"/>
          <w:color w:val="1D1C1D"/>
          <w:sz w:val="23"/>
          <w:szCs w:val="23"/>
        </w:rPr>
        <w:lastRenderedPageBreak/>
        <w:t>core.conf</w:t>
      </w:r>
      <w:proofErr w:type="spellEnd"/>
      <w:r w:rsidR="00735367" w:rsidRPr="4341374E">
        <w:rPr>
          <w:rFonts w:ascii="Arial" w:hAnsi="Arial" w:cs="Arial"/>
          <w:color w:val="1D1C1D"/>
          <w:sz w:val="23"/>
          <w:szCs w:val="23"/>
        </w:rPr>
        <w:t xml:space="preserve"> </w:t>
      </w:r>
      <w:r w:rsidRPr="4341374E">
        <w:rPr>
          <w:rFonts w:ascii="Arial" w:hAnsi="Arial" w:cs="Arial"/>
          <w:color w:val="1D1C1D"/>
          <w:sz w:val="23"/>
          <w:szCs w:val="23"/>
        </w:rPr>
        <w:t>and substances-</w:t>
      </w:r>
      <w:proofErr w:type="spellStart"/>
      <w:r w:rsidRPr="4341374E">
        <w:rPr>
          <w:rFonts w:ascii="Arial" w:hAnsi="Arial" w:cs="Arial"/>
          <w:color w:val="1D1C1D"/>
          <w:sz w:val="23"/>
          <w:szCs w:val="23"/>
        </w:rPr>
        <w:t>core.conf</w:t>
      </w:r>
      <w:proofErr w:type="spellEnd"/>
      <w:r w:rsidRPr="4341374E">
        <w:rPr>
          <w:rFonts w:ascii="Arial" w:hAnsi="Arial" w:cs="Arial"/>
          <w:color w:val="1D1C1D"/>
          <w:sz w:val="23"/>
          <w:szCs w:val="23"/>
        </w:rPr>
        <w:t xml:space="preserve"> </w:t>
      </w:r>
      <w:r w:rsidR="00735367" w:rsidRPr="4341374E">
        <w:rPr>
          <w:rFonts w:ascii="Arial" w:hAnsi="Arial" w:cs="Arial"/>
          <w:color w:val="1D1C1D"/>
          <w:sz w:val="23"/>
          <w:szCs w:val="23"/>
        </w:rPr>
        <w:t>config file in the starter librar</w:t>
      </w:r>
      <w:r w:rsidRPr="4341374E">
        <w:rPr>
          <w:rFonts w:ascii="Arial" w:hAnsi="Arial" w:cs="Arial"/>
          <w:color w:val="1D1C1D"/>
          <w:sz w:val="23"/>
          <w:szCs w:val="23"/>
        </w:rPr>
        <w:t>ies provide a simple overview of some of these configuration parameters and how they can be changed.</w:t>
      </w:r>
    </w:p>
    <w:p w14:paraId="47289591" w14:textId="3961B5DE" w:rsidR="00430FB9" w:rsidRDefault="00CA0ACA" w:rsidP="0043158B">
      <w:pPr>
        <w:pStyle w:val="Heading1"/>
      </w:pPr>
      <w:r w:rsidRPr="0043158B">
        <w:t>A note on using</w:t>
      </w:r>
      <w:r w:rsidR="0043158B" w:rsidRPr="0043158B">
        <w:t xml:space="preserve"> “.” within property names</w:t>
      </w:r>
    </w:p>
    <w:p w14:paraId="15D05510" w14:textId="77777777" w:rsidR="00683476" w:rsidRDefault="00683476" w:rsidP="00AE5EE5">
      <w:pPr>
        <w:spacing w:after="0" w:line="240" w:lineRule="auto"/>
        <w:rPr>
          <w:rFonts w:ascii="Arial" w:hAnsi="Arial" w:cs="Arial"/>
          <w:color w:val="1D1C1D"/>
          <w:sz w:val="23"/>
          <w:szCs w:val="23"/>
        </w:rPr>
      </w:pPr>
    </w:p>
    <w:p w14:paraId="351BF228" w14:textId="60F4438D" w:rsidR="0043158B" w:rsidRDefault="0043158B" w:rsidP="00AE5EE5">
      <w:pPr>
        <w:spacing w:after="0" w:line="240" w:lineRule="auto"/>
        <w:rPr>
          <w:rFonts w:ascii="Arial" w:hAnsi="Arial" w:cs="Arial"/>
          <w:color w:val="1D1C1D"/>
          <w:sz w:val="23"/>
          <w:szCs w:val="23"/>
        </w:rPr>
      </w:pPr>
      <w:r w:rsidRPr="00AE5EE5">
        <w:rPr>
          <w:rFonts w:ascii="Arial" w:hAnsi="Arial" w:cs="Arial"/>
          <w:color w:val="1D1C1D"/>
          <w:sz w:val="23"/>
          <w:szCs w:val="23"/>
        </w:rPr>
        <w:t xml:space="preserve">While GSRS 3.0 supports HOCON, one </w:t>
      </w:r>
      <w:r w:rsidR="00B006FC" w:rsidRPr="00AE5EE5">
        <w:rPr>
          <w:rFonts w:ascii="Arial" w:hAnsi="Arial" w:cs="Arial"/>
          <w:color w:val="1D1C1D"/>
          <w:sz w:val="23"/>
          <w:szCs w:val="23"/>
        </w:rPr>
        <w:t xml:space="preserve">specific way HOCON differs in the 3.0 codebase is the support for the period (“.”) character as part of a property name </w:t>
      </w:r>
      <w:r w:rsidR="00B90862" w:rsidRPr="00AE5EE5">
        <w:rPr>
          <w:rFonts w:ascii="Arial" w:hAnsi="Arial" w:cs="Arial"/>
          <w:color w:val="1D1C1D"/>
          <w:sz w:val="23"/>
          <w:szCs w:val="23"/>
        </w:rPr>
        <w:t xml:space="preserve">in a configuration object. </w:t>
      </w:r>
    </w:p>
    <w:p w14:paraId="3C811BB3" w14:textId="77777777" w:rsidR="00AE5EE5" w:rsidRPr="00AE5EE5" w:rsidRDefault="00AE5EE5" w:rsidP="00AE5EE5">
      <w:pPr>
        <w:spacing w:after="0" w:line="240" w:lineRule="auto"/>
        <w:rPr>
          <w:rFonts w:ascii="Arial" w:hAnsi="Arial" w:cs="Arial"/>
          <w:color w:val="1D1C1D"/>
          <w:sz w:val="23"/>
          <w:szCs w:val="23"/>
        </w:rPr>
      </w:pPr>
    </w:p>
    <w:p w14:paraId="246BD096" w14:textId="51D79EC7" w:rsidR="00CA0ACA" w:rsidRPr="00AE5EE5" w:rsidRDefault="00602695" w:rsidP="0051262D">
      <w:pPr>
        <w:spacing w:after="0" w:line="240" w:lineRule="auto"/>
        <w:rPr>
          <w:rFonts w:ascii="Arial" w:hAnsi="Arial" w:cs="Arial"/>
          <w:color w:val="1D1C1D"/>
          <w:sz w:val="23"/>
          <w:szCs w:val="23"/>
        </w:rPr>
      </w:pPr>
      <w:r w:rsidRPr="00AE5EE5">
        <w:rPr>
          <w:rFonts w:ascii="Arial" w:hAnsi="Arial" w:cs="Arial"/>
          <w:color w:val="1D1C1D"/>
          <w:sz w:val="23"/>
          <w:szCs w:val="23"/>
        </w:rPr>
        <w:t xml:space="preserve">For example, the following configuration element in GSRS </w:t>
      </w:r>
      <w:r w:rsidR="00AE5EE5" w:rsidRPr="00AE5EE5">
        <w:rPr>
          <w:rFonts w:ascii="Arial" w:hAnsi="Arial" w:cs="Arial"/>
          <w:color w:val="1D1C1D"/>
          <w:sz w:val="23"/>
          <w:szCs w:val="23"/>
        </w:rPr>
        <w:t>2.X was sometimes used:</w:t>
      </w:r>
    </w:p>
    <w:tbl>
      <w:tblPr>
        <w:tblStyle w:val="TableGrid"/>
        <w:tblW w:w="0" w:type="auto"/>
        <w:tblLook w:val="04A0" w:firstRow="1" w:lastRow="0" w:firstColumn="1" w:lastColumn="0" w:noHBand="0" w:noVBand="1"/>
      </w:tblPr>
      <w:tblGrid>
        <w:gridCol w:w="9350"/>
      </w:tblGrid>
      <w:tr w:rsidR="00AE5EE5" w14:paraId="473E9D9D" w14:textId="77777777" w:rsidTr="00C84E0D">
        <w:tc>
          <w:tcPr>
            <w:tcW w:w="9350" w:type="dxa"/>
          </w:tcPr>
          <w:p w14:paraId="060481F6" w14:textId="77777777" w:rsidR="00AE5EE5" w:rsidRPr="00AE5EE5" w:rsidRDefault="00AE5EE5" w:rsidP="00C84E0D">
            <w:pPr>
              <w:rPr>
                <w:rFonts w:ascii="Courier New" w:eastAsia="Times New Roman" w:hAnsi="Courier New" w:cs="Courier New"/>
              </w:rPr>
            </w:pPr>
            <w:proofErr w:type="spellStart"/>
            <w:r w:rsidRPr="00AE5EE5">
              <w:rPr>
                <w:rFonts w:ascii="Courier New" w:eastAsia="Times New Roman" w:hAnsi="Courier New" w:cs="Courier New"/>
              </w:rPr>
              <w:t>ix.</w:t>
            </w:r>
            <w:proofErr w:type="gramStart"/>
            <w:r w:rsidRPr="00AE5EE5">
              <w:rPr>
                <w:rFonts w:ascii="Courier New" w:eastAsia="Times New Roman" w:hAnsi="Courier New" w:cs="Courier New"/>
              </w:rPr>
              <w:t>core.initializers</w:t>
            </w:r>
            <w:proofErr w:type="spellEnd"/>
            <w:proofErr w:type="gramEnd"/>
            <w:r w:rsidRPr="00AE5EE5">
              <w:rPr>
                <w:rFonts w:ascii="Courier New" w:eastAsia="Times New Roman" w:hAnsi="Courier New" w:cs="Courier New"/>
              </w:rPr>
              <w:t>+={</w:t>
            </w:r>
          </w:p>
          <w:p w14:paraId="75FA787B" w14:textId="77777777" w:rsidR="00AE5EE5" w:rsidRPr="00AE5EE5" w:rsidRDefault="00AE5EE5" w:rsidP="00C84E0D">
            <w:pPr>
              <w:rPr>
                <w:rFonts w:ascii="Courier New" w:eastAsia="Times New Roman" w:hAnsi="Courier New" w:cs="Courier New"/>
              </w:rPr>
            </w:pPr>
            <w:r w:rsidRPr="00AE5EE5">
              <w:rPr>
                <w:rFonts w:ascii="Courier New" w:eastAsia="Times New Roman" w:hAnsi="Courier New" w:cs="Courier New"/>
              </w:rPr>
              <w:t xml:space="preserve">   "class":"</w:t>
            </w:r>
            <w:proofErr w:type="gramStart"/>
            <w:r w:rsidRPr="00AE5EE5">
              <w:rPr>
                <w:rFonts w:ascii="Courier New" w:eastAsia="Times New Roman" w:hAnsi="Courier New" w:cs="Courier New"/>
              </w:rPr>
              <w:t>ix.ginas</w:t>
            </w:r>
            <w:proofErr w:type="gramEnd"/>
            <w:r w:rsidRPr="00AE5EE5">
              <w:rPr>
                <w:rFonts w:ascii="Courier New" w:eastAsia="Times New Roman" w:hAnsi="Courier New" w:cs="Courier New"/>
              </w:rPr>
              <w:t>.initializers.SQLReportScheduledTaskInitializer",</w:t>
            </w:r>
          </w:p>
          <w:p w14:paraId="24ECF6C7" w14:textId="77777777" w:rsidR="00AE5EE5" w:rsidRPr="00AE5EE5" w:rsidRDefault="00AE5EE5" w:rsidP="00C84E0D">
            <w:pPr>
              <w:rPr>
                <w:rFonts w:ascii="Courier New" w:eastAsia="Times New Roman" w:hAnsi="Courier New" w:cs="Courier New"/>
              </w:rPr>
            </w:pPr>
            <w:r w:rsidRPr="00AE5EE5">
              <w:rPr>
                <w:rFonts w:ascii="Courier New" w:eastAsia="Times New Roman" w:hAnsi="Courier New" w:cs="Courier New"/>
              </w:rPr>
              <w:t xml:space="preserve">   "</w:t>
            </w:r>
            <w:proofErr w:type="spellStart"/>
            <w:proofErr w:type="gramStart"/>
            <w:r w:rsidRPr="00AE5EE5">
              <w:rPr>
                <w:rFonts w:ascii="Courier New" w:eastAsia="Times New Roman" w:hAnsi="Courier New" w:cs="Courier New"/>
              </w:rPr>
              <w:t>output.path</w:t>
            </w:r>
            <w:proofErr w:type="gramEnd"/>
            <w:r w:rsidRPr="00AE5EE5">
              <w:rPr>
                <w:rFonts w:ascii="Courier New" w:eastAsia="Times New Roman" w:hAnsi="Courier New" w:cs="Courier New"/>
              </w:rPr>
              <w:t>":"reports</w:t>
            </w:r>
            <w:proofErr w:type="spellEnd"/>
            <w:r w:rsidRPr="00AE5EE5">
              <w:rPr>
                <w:rFonts w:ascii="Courier New" w:eastAsia="Times New Roman" w:hAnsi="Courier New" w:cs="Courier New"/>
              </w:rPr>
              <w:t>/</w:t>
            </w:r>
            <w:proofErr w:type="spellStart"/>
            <w:r w:rsidRPr="00AE5EE5">
              <w:rPr>
                <w:rFonts w:ascii="Courier New" w:eastAsia="Times New Roman" w:hAnsi="Courier New" w:cs="Courier New"/>
              </w:rPr>
              <w:t>nameReport</w:t>
            </w:r>
            <w:proofErr w:type="spellEnd"/>
            <w:r w:rsidRPr="00AE5EE5">
              <w:rPr>
                <w:rFonts w:ascii="Courier New" w:eastAsia="Times New Roman" w:hAnsi="Courier New" w:cs="Courier New"/>
              </w:rPr>
              <w:t xml:space="preserve">-%DATE%.txt"    </w:t>
            </w:r>
          </w:p>
          <w:p w14:paraId="31C3FFF1" w14:textId="77777777" w:rsidR="00AE5EE5" w:rsidRDefault="00AE5EE5" w:rsidP="00C84E0D">
            <w:pPr>
              <w:rPr>
                <w:rFonts w:ascii="Calibri" w:eastAsia="Times New Roman" w:hAnsi="Calibri" w:cs="Calibri"/>
              </w:rPr>
            </w:pPr>
            <w:r w:rsidRPr="00AE5EE5">
              <w:rPr>
                <w:rFonts w:ascii="Courier New" w:eastAsia="Times New Roman" w:hAnsi="Courier New" w:cs="Courier New"/>
              </w:rPr>
              <w:t>}</w:t>
            </w:r>
          </w:p>
        </w:tc>
      </w:tr>
    </w:tbl>
    <w:p w14:paraId="57F31055" w14:textId="77777777" w:rsidR="00AE5EE5" w:rsidRDefault="00AE5EE5" w:rsidP="0051262D">
      <w:pPr>
        <w:spacing w:after="0" w:line="240" w:lineRule="auto"/>
        <w:rPr>
          <w:rFonts w:ascii="Calibri" w:eastAsia="Times New Roman" w:hAnsi="Calibri" w:cs="Calibri"/>
        </w:rPr>
      </w:pPr>
    </w:p>
    <w:p w14:paraId="184CDD37" w14:textId="15F3E3C4" w:rsidR="00430FB9" w:rsidRPr="00AE5EE5" w:rsidRDefault="00AE5EE5" w:rsidP="0051262D">
      <w:pPr>
        <w:spacing w:after="0" w:line="240" w:lineRule="auto"/>
        <w:rPr>
          <w:rFonts w:ascii="Arial" w:hAnsi="Arial" w:cs="Arial"/>
          <w:color w:val="1D1C1D"/>
          <w:sz w:val="23"/>
          <w:szCs w:val="23"/>
        </w:rPr>
      </w:pPr>
      <w:r w:rsidRPr="00AE5EE5">
        <w:rPr>
          <w:rFonts w:ascii="Arial" w:hAnsi="Arial" w:cs="Arial"/>
          <w:color w:val="1D1C1D"/>
          <w:sz w:val="23"/>
          <w:szCs w:val="23"/>
        </w:rPr>
        <w:t>However, this same syntax in GSRS 3.0 would be treated as equivalent to:</w:t>
      </w:r>
    </w:p>
    <w:tbl>
      <w:tblPr>
        <w:tblStyle w:val="TableGrid"/>
        <w:tblW w:w="0" w:type="auto"/>
        <w:tblLook w:val="04A0" w:firstRow="1" w:lastRow="0" w:firstColumn="1" w:lastColumn="0" w:noHBand="0" w:noVBand="1"/>
      </w:tblPr>
      <w:tblGrid>
        <w:gridCol w:w="9350"/>
      </w:tblGrid>
      <w:tr w:rsidR="00AE5EE5" w14:paraId="48D7908F" w14:textId="77777777" w:rsidTr="00C84E0D">
        <w:tc>
          <w:tcPr>
            <w:tcW w:w="9350" w:type="dxa"/>
          </w:tcPr>
          <w:p w14:paraId="48315A70" w14:textId="77777777" w:rsidR="00AE5EE5" w:rsidRPr="00AE5EE5" w:rsidRDefault="00AE5EE5" w:rsidP="00C84E0D">
            <w:pPr>
              <w:rPr>
                <w:rFonts w:ascii="Courier New" w:eastAsia="Times New Roman" w:hAnsi="Courier New" w:cs="Courier New"/>
              </w:rPr>
            </w:pPr>
            <w:proofErr w:type="spellStart"/>
            <w:r w:rsidRPr="00AE5EE5">
              <w:rPr>
                <w:rFonts w:ascii="Courier New" w:eastAsia="Times New Roman" w:hAnsi="Courier New" w:cs="Courier New"/>
              </w:rPr>
              <w:t>ix.</w:t>
            </w:r>
            <w:proofErr w:type="gramStart"/>
            <w:r w:rsidRPr="00AE5EE5">
              <w:rPr>
                <w:rFonts w:ascii="Courier New" w:eastAsia="Times New Roman" w:hAnsi="Courier New" w:cs="Courier New"/>
              </w:rPr>
              <w:t>core.initializers</w:t>
            </w:r>
            <w:proofErr w:type="spellEnd"/>
            <w:proofErr w:type="gramEnd"/>
            <w:r w:rsidRPr="00AE5EE5">
              <w:rPr>
                <w:rFonts w:ascii="Courier New" w:eastAsia="Times New Roman" w:hAnsi="Courier New" w:cs="Courier New"/>
              </w:rPr>
              <w:t>+={</w:t>
            </w:r>
          </w:p>
          <w:p w14:paraId="286762B1" w14:textId="77777777" w:rsidR="00AE5EE5" w:rsidRPr="00AE5EE5" w:rsidRDefault="00AE5EE5" w:rsidP="00C84E0D">
            <w:pPr>
              <w:rPr>
                <w:rFonts w:ascii="Courier New" w:eastAsia="Times New Roman" w:hAnsi="Courier New" w:cs="Courier New"/>
              </w:rPr>
            </w:pPr>
            <w:r w:rsidRPr="00AE5EE5">
              <w:rPr>
                <w:rFonts w:ascii="Courier New" w:eastAsia="Times New Roman" w:hAnsi="Courier New" w:cs="Courier New"/>
              </w:rPr>
              <w:t xml:space="preserve">   "class":"</w:t>
            </w:r>
            <w:proofErr w:type="gramStart"/>
            <w:r w:rsidRPr="00AE5EE5">
              <w:rPr>
                <w:rFonts w:ascii="Courier New" w:eastAsia="Times New Roman" w:hAnsi="Courier New" w:cs="Courier New"/>
              </w:rPr>
              <w:t>ix.ginas</w:t>
            </w:r>
            <w:proofErr w:type="gramEnd"/>
            <w:r w:rsidRPr="00AE5EE5">
              <w:rPr>
                <w:rFonts w:ascii="Courier New" w:eastAsia="Times New Roman" w:hAnsi="Courier New" w:cs="Courier New"/>
              </w:rPr>
              <w:t>.initializers.SQLReportScheduledTaskInitializer",</w:t>
            </w:r>
          </w:p>
          <w:p w14:paraId="2141D846" w14:textId="3651CC4A" w:rsidR="00AE5EE5" w:rsidRPr="00AE5EE5" w:rsidRDefault="00AE5EE5" w:rsidP="00C84E0D">
            <w:pPr>
              <w:rPr>
                <w:rFonts w:ascii="Courier New" w:eastAsia="Times New Roman" w:hAnsi="Courier New" w:cs="Courier New"/>
              </w:rPr>
            </w:pPr>
            <w:r w:rsidRPr="00AE5EE5">
              <w:rPr>
                <w:rFonts w:ascii="Courier New" w:eastAsia="Times New Roman" w:hAnsi="Courier New" w:cs="Courier New"/>
              </w:rPr>
              <w:t xml:space="preserve">   "output</w:t>
            </w:r>
            <w:proofErr w:type="gramStart"/>
            <w:r w:rsidRPr="00AE5EE5">
              <w:rPr>
                <w:rFonts w:ascii="Courier New" w:eastAsia="Times New Roman" w:hAnsi="Courier New" w:cs="Courier New"/>
              </w:rPr>
              <w:t>"</w:t>
            </w:r>
            <w:r>
              <w:rPr>
                <w:rFonts w:ascii="Courier New" w:eastAsia="Times New Roman" w:hAnsi="Courier New" w:cs="Courier New"/>
              </w:rPr>
              <w:t>:{</w:t>
            </w:r>
            <w:proofErr w:type="gramEnd"/>
            <w:r>
              <w:rPr>
                <w:rFonts w:ascii="Courier New" w:eastAsia="Times New Roman" w:hAnsi="Courier New" w:cs="Courier New"/>
              </w:rPr>
              <w:br/>
              <w:t xml:space="preserve">       </w:t>
            </w:r>
            <w:r w:rsidRPr="00AE5EE5">
              <w:rPr>
                <w:rFonts w:ascii="Courier New" w:eastAsia="Times New Roman" w:hAnsi="Courier New" w:cs="Courier New"/>
              </w:rPr>
              <w:t>"</w:t>
            </w:r>
            <w:proofErr w:type="spellStart"/>
            <w:r>
              <w:rPr>
                <w:rFonts w:ascii="Courier New" w:eastAsia="Times New Roman" w:hAnsi="Courier New" w:cs="Courier New"/>
              </w:rPr>
              <w:t>path</w:t>
            </w:r>
            <w:r w:rsidRPr="00AE5EE5">
              <w:rPr>
                <w:rFonts w:ascii="Courier New" w:eastAsia="Times New Roman" w:hAnsi="Courier New" w:cs="Courier New"/>
              </w:rPr>
              <w:t>"</w:t>
            </w:r>
            <w:r>
              <w:rPr>
                <w:rFonts w:ascii="Courier New" w:eastAsia="Times New Roman" w:hAnsi="Courier New" w:cs="Courier New"/>
              </w:rPr>
              <w:t>:</w:t>
            </w:r>
            <w:r w:rsidRPr="00AE5EE5">
              <w:rPr>
                <w:rFonts w:ascii="Courier New" w:eastAsia="Times New Roman" w:hAnsi="Courier New" w:cs="Courier New"/>
              </w:rPr>
              <w:t>"reports</w:t>
            </w:r>
            <w:proofErr w:type="spellEnd"/>
            <w:r w:rsidRPr="00AE5EE5">
              <w:rPr>
                <w:rFonts w:ascii="Courier New" w:eastAsia="Times New Roman" w:hAnsi="Courier New" w:cs="Courier New"/>
              </w:rPr>
              <w:t>/</w:t>
            </w:r>
            <w:proofErr w:type="spellStart"/>
            <w:r w:rsidRPr="00AE5EE5">
              <w:rPr>
                <w:rFonts w:ascii="Courier New" w:eastAsia="Times New Roman" w:hAnsi="Courier New" w:cs="Courier New"/>
              </w:rPr>
              <w:t>nameReport</w:t>
            </w:r>
            <w:proofErr w:type="spellEnd"/>
            <w:r w:rsidRPr="00AE5EE5">
              <w:rPr>
                <w:rFonts w:ascii="Courier New" w:eastAsia="Times New Roman" w:hAnsi="Courier New" w:cs="Courier New"/>
              </w:rPr>
              <w:t>-%DATE%.txt"</w:t>
            </w:r>
            <w:r>
              <w:rPr>
                <w:rFonts w:ascii="Courier New" w:eastAsia="Times New Roman" w:hAnsi="Courier New" w:cs="Courier New"/>
              </w:rPr>
              <w:br/>
              <w:t xml:space="preserve">    }</w:t>
            </w:r>
          </w:p>
          <w:p w14:paraId="7612C334" w14:textId="77777777" w:rsidR="00AE5EE5" w:rsidRDefault="00AE5EE5" w:rsidP="00C84E0D">
            <w:pPr>
              <w:rPr>
                <w:rFonts w:ascii="Calibri" w:eastAsia="Times New Roman" w:hAnsi="Calibri" w:cs="Calibri"/>
              </w:rPr>
            </w:pPr>
            <w:r w:rsidRPr="00AE5EE5">
              <w:rPr>
                <w:rFonts w:ascii="Courier New" w:eastAsia="Times New Roman" w:hAnsi="Courier New" w:cs="Courier New"/>
              </w:rPr>
              <w:t>}</w:t>
            </w:r>
          </w:p>
        </w:tc>
      </w:tr>
    </w:tbl>
    <w:p w14:paraId="6CDD8B86" w14:textId="77777777" w:rsidR="00AE5EE5" w:rsidRDefault="00AE5EE5" w:rsidP="0051262D">
      <w:pPr>
        <w:spacing w:after="0" w:line="240" w:lineRule="auto"/>
        <w:rPr>
          <w:rFonts w:ascii="Calibri" w:eastAsia="Times New Roman" w:hAnsi="Calibri" w:cs="Calibri"/>
        </w:rPr>
      </w:pPr>
    </w:p>
    <w:p w14:paraId="757023DA" w14:textId="300539EB" w:rsidR="0051262D" w:rsidRPr="00683476" w:rsidRDefault="00AE5EE5" w:rsidP="00683476">
      <w:pPr>
        <w:spacing w:after="0" w:line="240" w:lineRule="auto"/>
        <w:rPr>
          <w:rFonts w:ascii="Arial" w:hAnsi="Arial" w:cs="Arial"/>
          <w:color w:val="1D1C1D"/>
          <w:sz w:val="23"/>
          <w:szCs w:val="23"/>
        </w:rPr>
      </w:pPr>
      <w:r w:rsidRPr="00683476">
        <w:rPr>
          <w:rFonts w:ascii="Arial" w:hAnsi="Arial" w:cs="Arial"/>
          <w:color w:val="1D1C1D"/>
          <w:sz w:val="23"/>
          <w:szCs w:val="23"/>
        </w:rPr>
        <w:t>This</w:t>
      </w:r>
      <w:r w:rsidR="000C20C5" w:rsidRPr="00683476">
        <w:rPr>
          <w:rFonts w:ascii="Arial" w:hAnsi="Arial" w:cs="Arial"/>
          <w:color w:val="1D1C1D"/>
          <w:sz w:val="23"/>
          <w:szCs w:val="23"/>
        </w:rPr>
        <w:t xml:space="preserve"> change in parsing behavior changes some deserialization procedures. As a result</w:t>
      </w:r>
      <w:r w:rsidR="00BF4326" w:rsidRPr="00683476">
        <w:rPr>
          <w:rFonts w:ascii="Arial" w:hAnsi="Arial" w:cs="Arial"/>
          <w:color w:val="1D1C1D"/>
          <w:sz w:val="23"/>
          <w:szCs w:val="23"/>
        </w:rPr>
        <w:t>, cases like “</w:t>
      </w:r>
      <w:proofErr w:type="spellStart"/>
      <w:proofErr w:type="gramStart"/>
      <w:r w:rsidR="00BF4326" w:rsidRPr="00683476">
        <w:rPr>
          <w:rFonts w:ascii="Arial" w:hAnsi="Arial" w:cs="Arial"/>
          <w:color w:val="1D1C1D"/>
          <w:sz w:val="23"/>
          <w:szCs w:val="23"/>
        </w:rPr>
        <w:t>output.path</w:t>
      </w:r>
      <w:proofErr w:type="spellEnd"/>
      <w:proofErr w:type="gramEnd"/>
      <w:r w:rsidR="00BF4326" w:rsidRPr="00683476">
        <w:rPr>
          <w:rFonts w:ascii="Arial" w:hAnsi="Arial" w:cs="Arial"/>
          <w:color w:val="1D1C1D"/>
          <w:sz w:val="23"/>
          <w:szCs w:val="23"/>
        </w:rPr>
        <w:t>” which may have been used in 2.X configuration settings are more commonly expected as “</w:t>
      </w:r>
      <w:proofErr w:type="spellStart"/>
      <w:r w:rsidR="00BF4326" w:rsidRPr="00683476">
        <w:rPr>
          <w:rFonts w:ascii="Arial" w:hAnsi="Arial" w:cs="Arial"/>
          <w:color w:val="1D1C1D"/>
          <w:sz w:val="23"/>
          <w:szCs w:val="23"/>
        </w:rPr>
        <w:t>ouputPath</w:t>
      </w:r>
      <w:proofErr w:type="spellEnd"/>
      <w:r w:rsidR="00BF4326" w:rsidRPr="00683476">
        <w:rPr>
          <w:rFonts w:ascii="Arial" w:hAnsi="Arial" w:cs="Arial"/>
          <w:color w:val="1D1C1D"/>
          <w:sz w:val="23"/>
          <w:szCs w:val="23"/>
        </w:rPr>
        <w:t>” in the 3.0 codebase.</w:t>
      </w:r>
    </w:p>
    <w:sectPr w:rsidR="0051262D" w:rsidRPr="0068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68FB"/>
    <w:multiLevelType w:val="hybridMultilevel"/>
    <w:tmpl w:val="776853A8"/>
    <w:lvl w:ilvl="0" w:tplc="CA0A602C">
      <w:start w:val="1"/>
      <w:numFmt w:val="bullet"/>
      <w:lvlText w:val=""/>
      <w:lvlJc w:val="left"/>
      <w:pPr>
        <w:ind w:left="720" w:hanging="360"/>
      </w:pPr>
      <w:rPr>
        <w:rFonts w:ascii="Symbol" w:hAnsi="Symbol" w:hint="default"/>
      </w:rPr>
    </w:lvl>
    <w:lvl w:ilvl="1" w:tplc="DB78105A">
      <w:start w:val="1"/>
      <w:numFmt w:val="bullet"/>
      <w:lvlText w:val="o"/>
      <w:lvlJc w:val="left"/>
      <w:pPr>
        <w:ind w:left="1440" w:hanging="360"/>
      </w:pPr>
      <w:rPr>
        <w:rFonts w:ascii="Courier New" w:hAnsi="Courier New" w:hint="default"/>
      </w:rPr>
    </w:lvl>
    <w:lvl w:ilvl="2" w:tplc="AA3C4A84">
      <w:start w:val="1"/>
      <w:numFmt w:val="bullet"/>
      <w:lvlText w:val=""/>
      <w:lvlJc w:val="left"/>
      <w:pPr>
        <w:ind w:left="2160" w:hanging="360"/>
      </w:pPr>
      <w:rPr>
        <w:rFonts w:ascii="Wingdings" w:hAnsi="Wingdings" w:hint="default"/>
      </w:rPr>
    </w:lvl>
    <w:lvl w:ilvl="3" w:tplc="FD94D85C">
      <w:start w:val="1"/>
      <w:numFmt w:val="bullet"/>
      <w:lvlText w:val=""/>
      <w:lvlJc w:val="left"/>
      <w:pPr>
        <w:ind w:left="2880" w:hanging="360"/>
      </w:pPr>
      <w:rPr>
        <w:rFonts w:ascii="Symbol" w:hAnsi="Symbol" w:hint="default"/>
      </w:rPr>
    </w:lvl>
    <w:lvl w:ilvl="4" w:tplc="D2B2B61E">
      <w:start w:val="1"/>
      <w:numFmt w:val="bullet"/>
      <w:lvlText w:val="o"/>
      <w:lvlJc w:val="left"/>
      <w:pPr>
        <w:ind w:left="3600" w:hanging="360"/>
      </w:pPr>
      <w:rPr>
        <w:rFonts w:ascii="Courier New" w:hAnsi="Courier New" w:hint="default"/>
      </w:rPr>
    </w:lvl>
    <w:lvl w:ilvl="5" w:tplc="2BD604D2">
      <w:start w:val="1"/>
      <w:numFmt w:val="bullet"/>
      <w:lvlText w:val=""/>
      <w:lvlJc w:val="left"/>
      <w:pPr>
        <w:ind w:left="4320" w:hanging="360"/>
      </w:pPr>
      <w:rPr>
        <w:rFonts w:ascii="Wingdings" w:hAnsi="Wingdings" w:hint="default"/>
      </w:rPr>
    </w:lvl>
    <w:lvl w:ilvl="6" w:tplc="5D840B3C">
      <w:start w:val="1"/>
      <w:numFmt w:val="bullet"/>
      <w:lvlText w:val=""/>
      <w:lvlJc w:val="left"/>
      <w:pPr>
        <w:ind w:left="5040" w:hanging="360"/>
      </w:pPr>
      <w:rPr>
        <w:rFonts w:ascii="Symbol" w:hAnsi="Symbol" w:hint="default"/>
      </w:rPr>
    </w:lvl>
    <w:lvl w:ilvl="7" w:tplc="62944088">
      <w:start w:val="1"/>
      <w:numFmt w:val="bullet"/>
      <w:lvlText w:val="o"/>
      <w:lvlJc w:val="left"/>
      <w:pPr>
        <w:ind w:left="5760" w:hanging="360"/>
      </w:pPr>
      <w:rPr>
        <w:rFonts w:ascii="Courier New" w:hAnsi="Courier New" w:hint="default"/>
      </w:rPr>
    </w:lvl>
    <w:lvl w:ilvl="8" w:tplc="0698527C">
      <w:start w:val="1"/>
      <w:numFmt w:val="bullet"/>
      <w:lvlText w:val=""/>
      <w:lvlJc w:val="left"/>
      <w:pPr>
        <w:ind w:left="6480" w:hanging="360"/>
      </w:pPr>
      <w:rPr>
        <w:rFonts w:ascii="Wingdings" w:hAnsi="Wingdings" w:hint="default"/>
      </w:rPr>
    </w:lvl>
  </w:abstractNum>
  <w:abstractNum w:abstractNumId="1" w15:restartNumberingAfterBreak="0">
    <w:nsid w:val="38A72C2C"/>
    <w:multiLevelType w:val="multilevel"/>
    <w:tmpl w:val="841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461E8"/>
    <w:multiLevelType w:val="hybridMultilevel"/>
    <w:tmpl w:val="0518A9D4"/>
    <w:lvl w:ilvl="0" w:tplc="BBE24A0C">
      <w:start w:val="1"/>
      <w:numFmt w:val="bullet"/>
      <w:lvlText w:val=""/>
      <w:lvlJc w:val="left"/>
      <w:pPr>
        <w:ind w:left="720" w:hanging="360"/>
      </w:pPr>
      <w:rPr>
        <w:rFonts w:ascii="Symbol" w:hAnsi="Symbol" w:hint="default"/>
      </w:rPr>
    </w:lvl>
    <w:lvl w:ilvl="1" w:tplc="36642C0C">
      <w:start w:val="1"/>
      <w:numFmt w:val="bullet"/>
      <w:lvlText w:val="o"/>
      <w:lvlJc w:val="left"/>
      <w:pPr>
        <w:ind w:left="1440" w:hanging="360"/>
      </w:pPr>
      <w:rPr>
        <w:rFonts w:ascii="Courier New" w:hAnsi="Courier New" w:hint="default"/>
      </w:rPr>
    </w:lvl>
    <w:lvl w:ilvl="2" w:tplc="1E38B268">
      <w:start w:val="1"/>
      <w:numFmt w:val="bullet"/>
      <w:lvlText w:val=""/>
      <w:lvlJc w:val="left"/>
      <w:pPr>
        <w:ind w:left="2160" w:hanging="360"/>
      </w:pPr>
      <w:rPr>
        <w:rFonts w:ascii="Wingdings" w:hAnsi="Wingdings" w:hint="default"/>
      </w:rPr>
    </w:lvl>
    <w:lvl w:ilvl="3" w:tplc="E4926866">
      <w:start w:val="1"/>
      <w:numFmt w:val="bullet"/>
      <w:lvlText w:val=""/>
      <w:lvlJc w:val="left"/>
      <w:pPr>
        <w:ind w:left="2880" w:hanging="360"/>
      </w:pPr>
      <w:rPr>
        <w:rFonts w:ascii="Symbol" w:hAnsi="Symbol" w:hint="default"/>
      </w:rPr>
    </w:lvl>
    <w:lvl w:ilvl="4" w:tplc="821AC144">
      <w:start w:val="1"/>
      <w:numFmt w:val="bullet"/>
      <w:lvlText w:val="o"/>
      <w:lvlJc w:val="left"/>
      <w:pPr>
        <w:ind w:left="3600" w:hanging="360"/>
      </w:pPr>
      <w:rPr>
        <w:rFonts w:ascii="Courier New" w:hAnsi="Courier New" w:hint="default"/>
      </w:rPr>
    </w:lvl>
    <w:lvl w:ilvl="5" w:tplc="D4BCAAF8">
      <w:start w:val="1"/>
      <w:numFmt w:val="bullet"/>
      <w:lvlText w:val=""/>
      <w:lvlJc w:val="left"/>
      <w:pPr>
        <w:ind w:left="4320" w:hanging="360"/>
      </w:pPr>
      <w:rPr>
        <w:rFonts w:ascii="Wingdings" w:hAnsi="Wingdings" w:hint="default"/>
      </w:rPr>
    </w:lvl>
    <w:lvl w:ilvl="6" w:tplc="5A90D550">
      <w:start w:val="1"/>
      <w:numFmt w:val="bullet"/>
      <w:lvlText w:val=""/>
      <w:lvlJc w:val="left"/>
      <w:pPr>
        <w:ind w:left="5040" w:hanging="360"/>
      </w:pPr>
      <w:rPr>
        <w:rFonts w:ascii="Symbol" w:hAnsi="Symbol" w:hint="default"/>
      </w:rPr>
    </w:lvl>
    <w:lvl w:ilvl="7" w:tplc="0B981EE2">
      <w:start w:val="1"/>
      <w:numFmt w:val="bullet"/>
      <w:lvlText w:val="o"/>
      <w:lvlJc w:val="left"/>
      <w:pPr>
        <w:ind w:left="5760" w:hanging="360"/>
      </w:pPr>
      <w:rPr>
        <w:rFonts w:ascii="Courier New" w:hAnsi="Courier New" w:hint="default"/>
      </w:rPr>
    </w:lvl>
    <w:lvl w:ilvl="8" w:tplc="10D4FEF0">
      <w:start w:val="1"/>
      <w:numFmt w:val="bullet"/>
      <w:lvlText w:val=""/>
      <w:lvlJc w:val="left"/>
      <w:pPr>
        <w:ind w:left="6480" w:hanging="360"/>
      </w:pPr>
      <w:rPr>
        <w:rFonts w:ascii="Wingdings" w:hAnsi="Wingdings" w:hint="default"/>
      </w:rPr>
    </w:lvl>
  </w:abstractNum>
  <w:abstractNum w:abstractNumId="3" w15:restartNumberingAfterBreak="0">
    <w:nsid w:val="7ABA73F7"/>
    <w:multiLevelType w:val="hybridMultilevel"/>
    <w:tmpl w:val="3E1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227236">
    <w:abstractNumId w:val="2"/>
  </w:num>
  <w:num w:numId="2" w16cid:durableId="1238133113">
    <w:abstractNumId w:val="0"/>
  </w:num>
  <w:num w:numId="3" w16cid:durableId="338965202">
    <w:abstractNumId w:val="1"/>
    <w:lvlOverride w:ilvl="0">
      <w:startOverride w:val="1"/>
    </w:lvlOverride>
  </w:num>
  <w:num w:numId="4" w16cid:durableId="531571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2D"/>
    <w:rsid w:val="00002DA3"/>
    <w:rsid w:val="000858F9"/>
    <w:rsid w:val="000C20C5"/>
    <w:rsid w:val="000C4D1F"/>
    <w:rsid w:val="00123E53"/>
    <w:rsid w:val="001522A0"/>
    <w:rsid w:val="00225A7F"/>
    <w:rsid w:val="002A724C"/>
    <w:rsid w:val="00392CA2"/>
    <w:rsid w:val="003E22C7"/>
    <w:rsid w:val="004104C9"/>
    <w:rsid w:val="00430824"/>
    <w:rsid w:val="00430FB9"/>
    <w:rsid w:val="0043158B"/>
    <w:rsid w:val="004408CE"/>
    <w:rsid w:val="00482CBA"/>
    <w:rsid w:val="004D0A91"/>
    <w:rsid w:val="0051262D"/>
    <w:rsid w:val="00574DFC"/>
    <w:rsid w:val="005A6D03"/>
    <w:rsid w:val="005E7F9A"/>
    <w:rsid w:val="00602695"/>
    <w:rsid w:val="0065184F"/>
    <w:rsid w:val="00683476"/>
    <w:rsid w:val="006C25B7"/>
    <w:rsid w:val="006C4C1A"/>
    <w:rsid w:val="00735367"/>
    <w:rsid w:val="00773E28"/>
    <w:rsid w:val="009618D8"/>
    <w:rsid w:val="009A2C3D"/>
    <w:rsid w:val="00A0689C"/>
    <w:rsid w:val="00A93706"/>
    <w:rsid w:val="00AD4083"/>
    <w:rsid w:val="00AE5EE5"/>
    <w:rsid w:val="00B006FC"/>
    <w:rsid w:val="00B1016F"/>
    <w:rsid w:val="00B170B4"/>
    <w:rsid w:val="00B2527C"/>
    <w:rsid w:val="00B77F85"/>
    <w:rsid w:val="00B90862"/>
    <w:rsid w:val="00BF4326"/>
    <w:rsid w:val="00C84E0D"/>
    <w:rsid w:val="00CA0ACA"/>
    <w:rsid w:val="00D16B21"/>
    <w:rsid w:val="00D51B63"/>
    <w:rsid w:val="00DC20E8"/>
    <w:rsid w:val="00DDB65E"/>
    <w:rsid w:val="00E6268C"/>
    <w:rsid w:val="00E7457C"/>
    <w:rsid w:val="00EE5FFA"/>
    <w:rsid w:val="00F1775D"/>
    <w:rsid w:val="00FD2F9B"/>
    <w:rsid w:val="01E3C338"/>
    <w:rsid w:val="02719939"/>
    <w:rsid w:val="02C941A3"/>
    <w:rsid w:val="02E7F0A5"/>
    <w:rsid w:val="0425219C"/>
    <w:rsid w:val="04B58A22"/>
    <w:rsid w:val="06175D38"/>
    <w:rsid w:val="081FA4F2"/>
    <w:rsid w:val="0831A471"/>
    <w:rsid w:val="08CB3265"/>
    <w:rsid w:val="096ED45E"/>
    <w:rsid w:val="09969541"/>
    <w:rsid w:val="09E71849"/>
    <w:rsid w:val="0ABAEDE6"/>
    <w:rsid w:val="0BED5B2D"/>
    <w:rsid w:val="0C57FE40"/>
    <w:rsid w:val="0CA6A2E1"/>
    <w:rsid w:val="0CF31615"/>
    <w:rsid w:val="0F603624"/>
    <w:rsid w:val="0FE34C44"/>
    <w:rsid w:val="10085F07"/>
    <w:rsid w:val="10C5F2C1"/>
    <w:rsid w:val="1185282C"/>
    <w:rsid w:val="119043FA"/>
    <w:rsid w:val="119C2A6F"/>
    <w:rsid w:val="11C68738"/>
    <w:rsid w:val="120FB757"/>
    <w:rsid w:val="131DC64C"/>
    <w:rsid w:val="14AAEDBE"/>
    <w:rsid w:val="14B4F584"/>
    <w:rsid w:val="1611C64D"/>
    <w:rsid w:val="16890706"/>
    <w:rsid w:val="16A1E5E1"/>
    <w:rsid w:val="172892D9"/>
    <w:rsid w:val="1760E50A"/>
    <w:rsid w:val="178393AD"/>
    <w:rsid w:val="17CF6156"/>
    <w:rsid w:val="1835C8BC"/>
    <w:rsid w:val="18C7BF7D"/>
    <w:rsid w:val="1A126264"/>
    <w:rsid w:val="1AE53770"/>
    <w:rsid w:val="1B3F3274"/>
    <w:rsid w:val="1B54F1F6"/>
    <w:rsid w:val="1CDFC959"/>
    <w:rsid w:val="1D4B903C"/>
    <w:rsid w:val="1E607403"/>
    <w:rsid w:val="1FF51876"/>
    <w:rsid w:val="2032DC6E"/>
    <w:rsid w:val="212218F0"/>
    <w:rsid w:val="21558F23"/>
    <w:rsid w:val="22759B24"/>
    <w:rsid w:val="22EBCBAE"/>
    <w:rsid w:val="2342D541"/>
    <w:rsid w:val="23A7559B"/>
    <w:rsid w:val="2480D173"/>
    <w:rsid w:val="25548B04"/>
    <w:rsid w:val="257499D1"/>
    <w:rsid w:val="2754A043"/>
    <w:rsid w:val="2762F16E"/>
    <w:rsid w:val="2783E2BB"/>
    <w:rsid w:val="279271DE"/>
    <w:rsid w:val="27A3DF18"/>
    <w:rsid w:val="2837C72D"/>
    <w:rsid w:val="2853DA0C"/>
    <w:rsid w:val="29D1384A"/>
    <w:rsid w:val="2AC6CD01"/>
    <w:rsid w:val="2AC80654"/>
    <w:rsid w:val="2B8B7ACE"/>
    <w:rsid w:val="2B926725"/>
    <w:rsid w:val="2BCAA663"/>
    <w:rsid w:val="2DFD8B31"/>
    <w:rsid w:val="2E22AE1D"/>
    <w:rsid w:val="2E94E486"/>
    <w:rsid w:val="2EC1327B"/>
    <w:rsid w:val="2F93C297"/>
    <w:rsid w:val="2FD83E1D"/>
    <w:rsid w:val="310361F7"/>
    <w:rsid w:val="31367A88"/>
    <w:rsid w:val="31C7F9C1"/>
    <w:rsid w:val="31F8FD89"/>
    <w:rsid w:val="340DAA58"/>
    <w:rsid w:val="34472B18"/>
    <w:rsid w:val="349A82F2"/>
    <w:rsid w:val="351237DA"/>
    <w:rsid w:val="351D30FC"/>
    <w:rsid w:val="35CAEFEC"/>
    <w:rsid w:val="35D6D31A"/>
    <w:rsid w:val="35FCD2FB"/>
    <w:rsid w:val="36A2D024"/>
    <w:rsid w:val="36CDBBB0"/>
    <w:rsid w:val="3785279C"/>
    <w:rsid w:val="37933A57"/>
    <w:rsid w:val="38545B23"/>
    <w:rsid w:val="38B6AB29"/>
    <w:rsid w:val="38D93EBB"/>
    <w:rsid w:val="3944986C"/>
    <w:rsid w:val="3A8A8EAC"/>
    <w:rsid w:val="3B077D3A"/>
    <w:rsid w:val="3B8654EE"/>
    <w:rsid w:val="3BE42DA6"/>
    <w:rsid w:val="3C04BBEA"/>
    <w:rsid w:val="3D2B94A8"/>
    <w:rsid w:val="3D41F4CC"/>
    <w:rsid w:val="3EA021D6"/>
    <w:rsid w:val="410E9712"/>
    <w:rsid w:val="4146C8BD"/>
    <w:rsid w:val="419D59D5"/>
    <w:rsid w:val="425D1934"/>
    <w:rsid w:val="426B524E"/>
    <w:rsid w:val="4341374E"/>
    <w:rsid w:val="438449A7"/>
    <w:rsid w:val="444CF720"/>
    <w:rsid w:val="4509143E"/>
    <w:rsid w:val="4572FB76"/>
    <w:rsid w:val="462F0C4B"/>
    <w:rsid w:val="46759A50"/>
    <w:rsid w:val="46E24B84"/>
    <w:rsid w:val="46E70D2C"/>
    <w:rsid w:val="48D3903A"/>
    <w:rsid w:val="490E0CD5"/>
    <w:rsid w:val="49DE0C59"/>
    <w:rsid w:val="4AEA3B27"/>
    <w:rsid w:val="4AFCE371"/>
    <w:rsid w:val="4C2A4EF6"/>
    <w:rsid w:val="4C6425EE"/>
    <w:rsid w:val="4D31A98F"/>
    <w:rsid w:val="4D527BD8"/>
    <w:rsid w:val="4F829E53"/>
    <w:rsid w:val="501D91A0"/>
    <w:rsid w:val="50A49850"/>
    <w:rsid w:val="50BDC0AD"/>
    <w:rsid w:val="50E9C727"/>
    <w:rsid w:val="53B53172"/>
    <w:rsid w:val="545166F9"/>
    <w:rsid w:val="554B332F"/>
    <w:rsid w:val="56CE5470"/>
    <w:rsid w:val="5713D9D4"/>
    <w:rsid w:val="578E0FDE"/>
    <w:rsid w:val="57B33A16"/>
    <w:rsid w:val="57DA5069"/>
    <w:rsid w:val="5820C524"/>
    <w:rsid w:val="5845F231"/>
    <w:rsid w:val="5879F056"/>
    <w:rsid w:val="588C30A6"/>
    <w:rsid w:val="58DBE88C"/>
    <w:rsid w:val="594CA1F3"/>
    <w:rsid w:val="59894DAD"/>
    <w:rsid w:val="5A1C9044"/>
    <w:rsid w:val="5A5564A9"/>
    <w:rsid w:val="5ACE9F46"/>
    <w:rsid w:val="5AF3E74D"/>
    <w:rsid w:val="5BE2CC63"/>
    <w:rsid w:val="5DAC747B"/>
    <w:rsid w:val="5ECE1FFB"/>
    <w:rsid w:val="5F25D8E9"/>
    <w:rsid w:val="5F26D93F"/>
    <w:rsid w:val="5FE5D868"/>
    <w:rsid w:val="625E7A01"/>
    <w:rsid w:val="62CDE9AF"/>
    <w:rsid w:val="62E29168"/>
    <w:rsid w:val="62F2FDCC"/>
    <w:rsid w:val="62F407C5"/>
    <w:rsid w:val="635F5E62"/>
    <w:rsid w:val="63B975D1"/>
    <w:rsid w:val="646433EE"/>
    <w:rsid w:val="64747494"/>
    <w:rsid w:val="64C807DA"/>
    <w:rsid w:val="656EE2DD"/>
    <w:rsid w:val="6636BFFC"/>
    <w:rsid w:val="67014301"/>
    <w:rsid w:val="67C0EE7D"/>
    <w:rsid w:val="67DA5D18"/>
    <w:rsid w:val="6832D13C"/>
    <w:rsid w:val="69242474"/>
    <w:rsid w:val="69463481"/>
    <w:rsid w:val="6A035A8F"/>
    <w:rsid w:val="6B5C1456"/>
    <w:rsid w:val="6B6B8D58"/>
    <w:rsid w:val="6BA8039B"/>
    <w:rsid w:val="6C5561C7"/>
    <w:rsid w:val="6CD32DC7"/>
    <w:rsid w:val="6CE4BB03"/>
    <w:rsid w:val="6D921CAC"/>
    <w:rsid w:val="6E1B030C"/>
    <w:rsid w:val="6E44B63C"/>
    <w:rsid w:val="6FC0981E"/>
    <w:rsid w:val="6FEE59FF"/>
    <w:rsid w:val="743EEE2C"/>
    <w:rsid w:val="7441D35A"/>
    <w:rsid w:val="755841FD"/>
    <w:rsid w:val="76744B36"/>
    <w:rsid w:val="76DAFE34"/>
    <w:rsid w:val="76F94054"/>
    <w:rsid w:val="771C5110"/>
    <w:rsid w:val="77360EDE"/>
    <w:rsid w:val="773F8132"/>
    <w:rsid w:val="779A232D"/>
    <w:rsid w:val="77DFAB62"/>
    <w:rsid w:val="7822A757"/>
    <w:rsid w:val="788571B6"/>
    <w:rsid w:val="796B8743"/>
    <w:rsid w:val="79FC2A8F"/>
    <w:rsid w:val="7A113EC6"/>
    <w:rsid w:val="7AA8111A"/>
    <w:rsid w:val="7BD420AA"/>
    <w:rsid w:val="7C0A453A"/>
    <w:rsid w:val="7D5E6F85"/>
    <w:rsid w:val="7D66F31A"/>
    <w:rsid w:val="7E5AA9EE"/>
    <w:rsid w:val="7F0BE710"/>
    <w:rsid w:val="7F105D7A"/>
    <w:rsid w:val="7F6E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D4B6"/>
  <w15:chartTrackingRefBased/>
  <w15:docId w15:val="{C76EDA9A-19C0-4B09-8000-9B9BF02F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62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1262D"/>
    <w:rPr>
      <w:i/>
      <w:iCs/>
    </w:rPr>
  </w:style>
  <w:style w:type="character" w:styleId="Hyperlink">
    <w:name w:val="Hyperlink"/>
    <w:basedOn w:val="DefaultParagraphFont"/>
    <w:uiPriority w:val="99"/>
    <w:semiHidden/>
    <w:unhideWhenUsed/>
    <w:rsid w:val="0051262D"/>
    <w:rPr>
      <w:color w:val="0000FF"/>
      <w:u w:val="single"/>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574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5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4127">
      <w:bodyDiv w:val="1"/>
      <w:marLeft w:val="0"/>
      <w:marRight w:val="0"/>
      <w:marTop w:val="0"/>
      <w:marBottom w:val="0"/>
      <w:divBdr>
        <w:top w:val="none" w:sz="0" w:space="0" w:color="auto"/>
        <w:left w:val="none" w:sz="0" w:space="0" w:color="auto"/>
        <w:bottom w:val="none" w:sz="0" w:space="0" w:color="auto"/>
        <w:right w:val="none" w:sz="0" w:space="0" w:color="auto"/>
      </w:divBdr>
    </w:div>
    <w:div w:id="575625025">
      <w:bodyDiv w:val="1"/>
      <w:marLeft w:val="0"/>
      <w:marRight w:val="0"/>
      <w:marTop w:val="0"/>
      <w:marBottom w:val="0"/>
      <w:divBdr>
        <w:top w:val="none" w:sz="0" w:space="0" w:color="auto"/>
        <w:left w:val="none" w:sz="0" w:space="0" w:color="auto"/>
        <w:bottom w:val="none" w:sz="0" w:space="0" w:color="auto"/>
        <w:right w:val="none" w:sz="0" w:space="0" w:color="auto"/>
      </w:divBdr>
    </w:div>
    <w:div w:id="1116485219">
      <w:bodyDiv w:val="1"/>
      <w:marLeft w:val="0"/>
      <w:marRight w:val="0"/>
      <w:marTop w:val="0"/>
      <w:marBottom w:val="0"/>
      <w:divBdr>
        <w:top w:val="none" w:sz="0" w:space="0" w:color="auto"/>
        <w:left w:val="none" w:sz="0" w:space="0" w:color="auto"/>
        <w:bottom w:val="none" w:sz="0" w:space="0" w:color="auto"/>
        <w:right w:val="none" w:sz="0" w:space="0" w:color="auto"/>
      </w:divBdr>
    </w:div>
    <w:div w:id="1128550577">
      <w:bodyDiv w:val="1"/>
      <w:marLeft w:val="0"/>
      <w:marRight w:val="0"/>
      <w:marTop w:val="0"/>
      <w:marBottom w:val="0"/>
      <w:divBdr>
        <w:top w:val="none" w:sz="0" w:space="0" w:color="auto"/>
        <w:left w:val="none" w:sz="0" w:space="0" w:color="auto"/>
        <w:bottom w:val="none" w:sz="0" w:space="0" w:color="auto"/>
        <w:right w:val="none" w:sz="0" w:space="0" w:color="auto"/>
      </w:divBdr>
    </w:div>
    <w:div w:id="1404914505">
      <w:bodyDiv w:val="1"/>
      <w:marLeft w:val="0"/>
      <w:marRight w:val="0"/>
      <w:marTop w:val="0"/>
      <w:marBottom w:val="0"/>
      <w:divBdr>
        <w:top w:val="none" w:sz="0" w:space="0" w:color="auto"/>
        <w:left w:val="none" w:sz="0" w:space="0" w:color="auto"/>
        <w:bottom w:val="none" w:sz="0" w:space="0" w:color="auto"/>
        <w:right w:val="none" w:sz="0" w:space="0" w:color="auto"/>
      </w:divBdr>
    </w:div>
    <w:div w:id="1542786247">
      <w:bodyDiv w:val="1"/>
      <w:marLeft w:val="0"/>
      <w:marRight w:val="0"/>
      <w:marTop w:val="0"/>
      <w:marBottom w:val="0"/>
      <w:divBdr>
        <w:top w:val="none" w:sz="0" w:space="0" w:color="auto"/>
        <w:left w:val="none" w:sz="0" w:space="0" w:color="auto"/>
        <w:bottom w:val="none" w:sz="0" w:space="0" w:color="auto"/>
        <w:right w:val="none" w:sz="0" w:space="0" w:color="auto"/>
      </w:divBdr>
    </w:div>
    <w:div w:id="1606304400">
      <w:bodyDiv w:val="1"/>
      <w:marLeft w:val="0"/>
      <w:marRight w:val="0"/>
      <w:marTop w:val="0"/>
      <w:marBottom w:val="0"/>
      <w:divBdr>
        <w:top w:val="none" w:sz="0" w:space="0" w:color="auto"/>
        <w:left w:val="none" w:sz="0" w:space="0" w:color="auto"/>
        <w:bottom w:val="none" w:sz="0" w:space="0" w:color="auto"/>
        <w:right w:val="none" w:sz="0" w:space="0" w:color="auto"/>
      </w:divBdr>
      <w:divsChild>
        <w:div w:id="451441211">
          <w:marLeft w:val="0"/>
          <w:marRight w:val="0"/>
          <w:marTop w:val="0"/>
          <w:marBottom w:val="0"/>
          <w:divBdr>
            <w:top w:val="none" w:sz="0" w:space="0" w:color="auto"/>
            <w:left w:val="none" w:sz="0" w:space="0" w:color="auto"/>
            <w:bottom w:val="none" w:sz="0" w:space="0" w:color="auto"/>
            <w:right w:val="none" w:sz="0" w:space="0" w:color="auto"/>
          </w:divBdr>
          <w:divsChild>
            <w:div w:id="1081022613">
              <w:marLeft w:val="0"/>
              <w:marRight w:val="0"/>
              <w:marTop w:val="0"/>
              <w:marBottom w:val="0"/>
              <w:divBdr>
                <w:top w:val="none" w:sz="0" w:space="0" w:color="auto"/>
                <w:left w:val="none" w:sz="0" w:space="0" w:color="auto"/>
                <w:bottom w:val="none" w:sz="0" w:space="0" w:color="auto"/>
                <w:right w:val="none" w:sz="0" w:space="0" w:color="auto"/>
              </w:divBdr>
              <w:divsChild>
                <w:div w:id="358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ci/tree/gsrs3-main-deployment/docs/how-configuration-works.m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spring.io/spring-framework/docs/current/reference/html/core.html" TargetMode="External"/><Relationship Id="rId4" Type="http://schemas.openxmlformats.org/officeDocument/2006/relationships/numbering" Target="numbering.xml"/><Relationship Id="rId9" Type="http://schemas.openxmlformats.org/officeDocument/2006/relationships/hyperlink" Target="https://github.com/zeldigas/spring-hocon-property-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94D025DF-F282-4A14-A056-9B16EC7E8DAE}">
  <ds:schemaRefs>
    <ds:schemaRef ds:uri="http://schemas.microsoft.com/sharepoint/v3/contenttype/forms"/>
  </ds:schemaRefs>
</ds:datastoreItem>
</file>

<file path=customXml/itemProps2.xml><?xml version="1.0" encoding="utf-8"?>
<ds:datastoreItem xmlns:ds="http://schemas.openxmlformats.org/officeDocument/2006/customXml" ds:itemID="{17D8BCEE-93EE-44B1-BE5A-090A60D9C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0CD81-0CB9-40E9-AE19-65D92C3A529A}">
  <ds:schemaRefs>
    <ds:schemaRef ds:uri="http://schemas.microsoft.com/office/2006/metadata/properties"/>
    <ds:schemaRef ds:uri="http://schemas.microsoft.com/office/infopath/2007/PartnerControls"/>
    <ds:schemaRef ds:uri="3d22724a-222b-4850-b57c-0ee7c2cb5a5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Callahan</dc:creator>
  <cp:keywords/>
  <dc:description/>
  <cp:lastModifiedBy>Welsch, Alexander (NIH/NCATS) [C]</cp:lastModifiedBy>
  <cp:revision>52</cp:revision>
  <dcterms:created xsi:type="dcterms:W3CDTF">2021-10-27T19:56:00Z</dcterms:created>
  <dcterms:modified xsi:type="dcterms:W3CDTF">2024-10-04T21:46:00Z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