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19A" w:rsidRPr="00917032" w:rsidRDefault="007F3F0E">
      <w:pPr>
        <w:rPr>
          <w:rFonts w:ascii="Times New Roman" w:hAnsi="Times New Roman" w:cs="Times New Roman"/>
          <w:b/>
          <w:sz w:val="24"/>
          <w:szCs w:val="24"/>
        </w:rPr>
      </w:pPr>
      <w:r w:rsidRPr="00917032">
        <w:rPr>
          <w:rFonts w:ascii="Times New Roman" w:hAnsi="Times New Roman" w:cs="Times New Roman"/>
          <w:b/>
          <w:sz w:val="24"/>
          <w:szCs w:val="24"/>
        </w:rPr>
        <w:t>Bachman’s sparrow state-wide status assessment</w:t>
      </w:r>
    </w:p>
    <w:p w:rsidR="0076685F" w:rsidRPr="007F3F0E" w:rsidRDefault="0076685F">
      <w:pPr>
        <w:rPr>
          <w:rFonts w:ascii="Times New Roman" w:hAnsi="Times New Roman" w:cs="Times New Roman"/>
          <w:sz w:val="24"/>
          <w:szCs w:val="24"/>
        </w:rPr>
      </w:pPr>
    </w:p>
    <w:p w:rsidR="007F3F0E" w:rsidRPr="001901F3" w:rsidRDefault="007F3F0E">
      <w:pPr>
        <w:rPr>
          <w:rFonts w:ascii="Times New Roman" w:hAnsi="Times New Roman" w:cs="Times New Roman"/>
          <w:sz w:val="24"/>
          <w:szCs w:val="24"/>
          <w:u w:val="single"/>
        </w:rPr>
      </w:pPr>
      <w:r w:rsidRPr="001901F3">
        <w:rPr>
          <w:rFonts w:ascii="Times New Roman" w:hAnsi="Times New Roman" w:cs="Times New Roman"/>
          <w:sz w:val="24"/>
          <w:szCs w:val="24"/>
          <w:u w:val="single"/>
        </w:rPr>
        <w:t>Introduction</w:t>
      </w:r>
    </w:p>
    <w:p w:rsidR="007F3F0E" w:rsidRDefault="007F3F0E">
      <w:pPr>
        <w:rPr>
          <w:rStyle w:val="st1"/>
          <w:rFonts w:ascii="Times New Roman" w:hAnsi="Times New Roman" w:cs="Times New Roman"/>
          <w:sz w:val="24"/>
          <w:szCs w:val="24"/>
          <w:lang w:val="en"/>
        </w:rPr>
      </w:pPr>
      <w:r w:rsidRPr="007F3F0E">
        <w:rPr>
          <w:rFonts w:ascii="Times New Roman" w:hAnsi="Times New Roman" w:cs="Times New Roman"/>
          <w:sz w:val="24"/>
          <w:szCs w:val="24"/>
        </w:rPr>
        <w:t xml:space="preserve"> </w:t>
      </w:r>
      <w:r w:rsidR="001901F3">
        <w:rPr>
          <w:rFonts w:ascii="Times New Roman" w:hAnsi="Times New Roman" w:cs="Times New Roman"/>
          <w:sz w:val="24"/>
          <w:szCs w:val="24"/>
        </w:rPr>
        <w:tab/>
      </w:r>
      <w:r w:rsidRPr="007F3F0E">
        <w:rPr>
          <w:rFonts w:ascii="Times New Roman" w:hAnsi="Times New Roman" w:cs="Times New Roman"/>
          <w:sz w:val="24"/>
          <w:szCs w:val="24"/>
        </w:rPr>
        <w:t>The Bachman’s sparrow (</w:t>
      </w:r>
      <w:proofErr w:type="spellStart"/>
      <w:r w:rsidRPr="007F3F0E">
        <w:rPr>
          <w:rStyle w:val="st1"/>
          <w:rFonts w:ascii="Times New Roman" w:hAnsi="Times New Roman" w:cs="Times New Roman"/>
          <w:i/>
          <w:sz w:val="24"/>
          <w:szCs w:val="24"/>
          <w:lang w:val="en"/>
        </w:rPr>
        <w:t>Peucaea</w:t>
      </w:r>
      <w:proofErr w:type="spellEnd"/>
      <w:r w:rsidRPr="007F3F0E">
        <w:rPr>
          <w:rStyle w:val="st1"/>
          <w:rFonts w:ascii="Times New Roman" w:hAnsi="Times New Roman" w:cs="Times New Roman"/>
          <w:i/>
          <w:sz w:val="24"/>
          <w:szCs w:val="24"/>
          <w:lang w:val="en"/>
        </w:rPr>
        <w:t xml:space="preserve"> </w:t>
      </w:r>
      <w:proofErr w:type="spellStart"/>
      <w:r w:rsidRPr="007F3F0E">
        <w:rPr>
          <w:rStyle w:val="st1"/>
          <w:rFonts w:ascii="Times New Roman" w:hAnsi="Times New Roman" w:cs="Times New Roman"/>
          <w:i/>
          <w:sz w:val="24"/>
          <w:szCs w:val="24"/>
          <w:lang w:val="en"/>
        </w:rPr>
        <w:t>aestivalis</w:t>
      </w:r>
      <w:proofErr w:type="spellEnd"/>
      <w:r>
        <w:rPr>
          <w:rStyle w:val="st1"/>
          <w:rFonts w:ascii="Times New Roman" w:hAnsi="Times New Roman" w:cs="Times New Roman"/>
          <w:sz w:val="24"/>
          <w:szCs w:val="24"/>
          <w:lang w:val="en"/>
        </w:rPr>
        <w:t>)</w:t>
      </w:r>
      <w:r w:rsidR="001901F3">
        <w:rPr>
          <w:rStyle w:val="st1"/>
          <w:rFonts w:ascii="Times New Roman" w:hAnsi="Times New Roman" w:cs="Times New Roman"/>
          <w:sz w:val="24"/>
          <w:szCs w:val="24"/>
          <w:lang w:val="en"/>
        </w:rPr>
        <w:t xml:space="preserve"> is a NC Wildlife Action Plan priority species, is state-listed as Special Concern in NC, and is a high priority in</w:t>
      </w:r>
      <w:r w:rsidR="006B5DCE">
        <w:rPr>
          <w:rStyle w:val="st1"/>
          <w:rFonts w:ascii="Times New Roman" w:hAnsi="Times New Roman" w:cs="Times New Roman"/>
          <w:sz w:val="24"/>
          <w:szCs w:val="24"/>
          <w:lang w:val="en"/>
        </w:rPr>
        <w:t xml:space="preserve"> SE</w:t>
      </w:r>
      <w:r w:rsidR="001901F3">
        <w:rPr>
          <w:rStyle w:val="st1"/>
          <w:rFonts w:ascii="Times New Roman" w:hAnsi="Times New Roman" w:cs="Times New Roman"/>
          <w:sz w:val="24"/>
          <w:szCs w:val="24"/>
          <w:lang w:val="en"/>
        </w:rPr>
        <w:t xml:space="preserve"> Partners in Flight plans.  According to the </w:t>
      </w:r>
      <w:r w:rsidR="006B5DCE">
        <w:rPr>
          <w:rStyle w:val="st1"/>
          <w:rFonts w:ascii="Times New Roman" w:hAnsi="Times New Roman" w:cs="Times New Roman"/>
          <w:sz w:val="24"/>
          <w:szCs w:val="24"/>
          <w:lang w:val="en"/>
        </w:rPr>
        <w:t xml:space="preserve">USGS </w:t>
      </w:r>
      <w:r w:rsidR="001901F3">
        <w:rPr>
          <w:rStyle w:val="st1"/>
          <w:rFonts w:ascii="Times New Roman" w:hAnsi="Times New Roman" w:cs="Times New Roman"/>
          <w:sz w:val="24"/>
          <w:szCs w:val="24"/>
          <w:lang w:val="en"/>
        </w:rPr>
        <w:t>Breeding Bird Survey, this species has experienced a</w:t>
      </w:r>
      <w:r w:rsidR="00D25C9E">
        <w:rPr>
          <w:rStyle w:val="st1"/>
          <w:rFonts w:ascii="Times New Roman" w:hAnsi="Times New Roman" w:cs="Times New Roman"/>
          <w:sz w:val="24"/>
          <w:szCs w:val="24"/>
          <w:lang w:val="en"/>
        </w:rPr>
        <w:t xml:space="preserve"> range-wide</w:t>
      </w:r>
      <w:r w:rsidR="006B5DCE">
        <w:rPr>
          <w:rStyle w:val="st1"/>
          <w:rFonts w:ascii="Times New Roman" w:hAnsi="Times New Roman" w:cs="Times New Roman"/>
          <w:sz w:val="24"/>
          <w:szCs w:val="24"/>
          <w:lang w:val="en"/>
        </w:rPr>
        <w:t xml:space="preserve"> annual</w:t>
      </w:r>
      <w:r w:rsidR="001901F3">
        <w:rPr>
          <w:rStyle w:val="st1"/>
          <w:rFonts w:ascii="Times New Roman" w:hAnsi="Times New Roman" w:cs="Times New Roman"/>
          <w:sz w:val="24"/>
          <w:szCs w:val="24"/>
          <w:lang w:val="en"/>
        </w:rPr>
        <w:t xml:space="preserve"> decline of </w:t>
      </w:r>
      <w:r w:rsidR="00D25C9E">
        <w:rPr>
          <w:rStyle w:val="st1"/>
          <w:rFonts w:ascii="Times New Roman" w:hAnsi="Times New Roman" w:cs="Times New Roman"/>
          <w:sz w:val="24"/>
          <w:szCs w:val="24"/>
          <w:lang w:val="en"/>
        </w:rPr>
        <w:t>-3.1</w:t>
      </w:r>
      <w:r w:rsidR="001901F3">
        <w:rPr>
          <w:rStyle w:val="st1"/>
          <w:rFonts w:ascii="Times New Roman" w:hAnsi="Times New Roman" w:cs="Times New Roman"/>
          <w:sz w:val="24"/>
          <w:szCs w:val="24"/>
          <w:lang w:val="en"/>
        </w:rPr>
        <w:t>%</w:t>
      </w:r>
      <w:r w:rsidR="006B5DCE">
        <w:rPr>
          <w:rStyle w:val="st1"/>
          <w:rFonts w:ascii="Times New Roman" w:hAnsi="Times New Roman" w:cs="Times New Roman"/>
          <w:sz w:val="24"/>
          <w:szCs w:val="24"/>
          <w:lang w:val="en"/>
        </w:rPr>
        <w:t xml:space="preserve"> (95%CI: -4.1</w:t>
      </w:r>
      <w:r w:rsidR="00D25C9E">
        <w:rPr>
          <w:rStyle w:val="st1"/>
          <w:rFonts w:ascii="Times New Roman" w:hAnsi="Times New Roman" w:cs="Times New Roman"/>
          <w:sz w:val="24"/>
          <w:szCs w:val="24"/>
          <w:lang w:val="en"/>
        </w:rPr>
        <w:t xml:space="preserve">, </w:t>
      </w:r>
      <w:r w:rsidR="006B5DCE">
        <w:rPr>
          <w:rStyle w:val="st1"/>
          <w:rFonts w:ascii="Times New Roman" w:hAnsi="Times New Roman" w:cs="Times New Roman"/>
          <w:sz w:val="24"/>
          <w:szCs w:val="24"/>
          <w:lang w:val="en"/>
        </w:rPr>
        <w:t>-</w:t>
      </w:r>
      <w:r w:rsidR="00D25C9E">
        <w:rPr>
          <w:rStyle w:val="st1"/>
          <w:rFonts w:ascii="Times New Roman" w:hAnsi="Times New Roman" w:cs="Times New Roman"/>
          <w:sz w:val="24"/>
          <w:szCs w:val="24"/>
          <w:lang w:val="en"/>
        </w:rPr>
        <w:t>2</w:t>
      </w:r>
      <w:r w:rsidR="006B5DCE">
        <w:rPr>
          <w:rStyle w:val="st1"/>
          <w:rFonts w:ascii="Times New Roman" w:hAnsi="Times New Roman" w:cs="Times New Roman"/>
          <w:sz w:val="24"/>
          <w:szCs w:val="24"/>
          <w:lang w:val="en"/>
        </w:rPr>
        <w:t>.1</w:t>
      </w:r>
      <w:r w:rsidR="00D25C9E">
        <w:rPr>
          <w:rStyle w:val="st1"/>
          <w:rFonts w:ascii="Times New Roman" w:hAnsi="Times New Roman" w:cs="Times New Roman"/>
          <w:sz w:val="24"/>
          <w:szCs w:val="24"/>
          <w:lang w:val="en"/>
        </w:rPr>
        <w:t>)</w:t>
      </w:r>
      <w:r w:rsidR="001901F3">
        <w:rPr>
          <w:rStyle w:val="st1"/>
          <w:rFonts w:ascii="Times New Roman" w:hAnsi="Times New Roman" w:cs="Times New Roman"/>
          <w:sz w:val="24"/>
          <w:szCs w:val="24"/>
          <w:lang w:val="en"/>
        </w:rPr>
        <w:t xml:space="preserve"> </w:t>
      </w:r>
      <w:r w:rsidR="00D25C9E">
        <w:rPr>
          <w:rStyle w:val="st1"/>
          <w:rFonts w:ascii="Times New Roman" w:hAnsi="Times New Roman" w:cs="Times New Roman"/>
          <w:sz w:val="24"/>
          <w:szCs w:val="24"/>
          <w:lang w:val="en"/>
        </w:rPr>
        <w:t>since 1966</w:t>
      </w:r>
      <w:r w:rsidR="00917032">
        <w:rPr>
          <w:rStyle w:val="st1"/>
          <w:rFonts w:ascii="Times New Roman" w:hAnsi="Times New Roman" w:cs="Times New Roman"/>
          <w:sz w:val="24"/>
          <w:szCs w:val="24"/>
          <w:lang w:val="en"/>
        </w:rPr>
        <w:t xml:space="preserve"> (Sauer et al. 2012)</w:t>
      </w:r>
      <w:r w:rsidR="001901F3">
        <w:rPr>
          <w:rStyle w:val="st1"/>
          <w:rFonts w:ascii="Times New Roman" w:hAnsi="Times New Roman" w:cs="Times New Roman"/>
          <w:sz w:val="24"/>
          <w:szCs w:val="24"/>
          <w:lang w:val="en"/>
        </w:rPr>
        <w:t>.  Anecdotal evidence has suggested a range contraction in NC.  A state-wide status assessment has not</w:t>
      </w:r>
      <w:r w:rsidR="00D25C9E">
        <w:rPr>
          <w:rStyle w:val="st1"/>
          <w:rFonts w:ascii="Times New Roman" w:hAnsi="Times New Roman" w:cs="Times New Roman"/>
          <w:sz w:val="24"/>
          <w:szCs w:val="24"/>
          <w:lang w:val="en"/>
        </w:rPr>
        <w:t xml:space="preserve"> previously</w:t>
      </w:r>
      <w:r w:rsidR="001901F3">
        <w:rPr>
          <w:rStyle w:val="st1"/>
          <w:rFonts w:ascii="Times New Roman" w:hAnsi="Times New Roman" w:cs="Times New Roman"/>
          <w:sz w:val="24"/>
          <w:szCs w:val="24"/>
          <w:lang w:val="en"/>
        </w:rPr>
        <w:t xml:space="preserve"> been conducted for this species.</w:t>
      </w:r>
    </w:p>
    <w:p w:rsidR="00D25C9E" w:rsidRDefault="001901F3">
      <w:pPr>
        <w:rPr>
          <w:rStyle w:val="st1"/>
          <w:rFonts w:ascii="Times New Roman" w:hAnsi="Times New Roman" w:cs="Times New Roman"/>
          <w:sz w:val="24"/>
          <w:szCs w:val="24"/>
          <w:lang w:val="en"/>
        </w:rPr>
      </w:pPr>
      <w:r>
        <w:rPr>
          <w:rStyle w:val="st1"/>
          <w:rFonts w:ascii="Times New Roman" w:hAnsi="Times New Roman" w:cs="Times New Roman"/>
          <w:sz w:val="24"/>
          <w:szCs w:val="24"/>
          <w:lang w:val="en"/>
        </w:rPr>
        <w:tab/>
        <w:t xml:space="preserve">In the mid-1900s, Bachman’s sparrows ranged as far north as Illinois, </w:t>
      </w:r>
      <w:r w:rsidR="00EF7C6D">
        <w:rPr>
          <w:rStyle w:val="st1"/>
          <w:rFonts w:ascii="Times New Roman" w:hAnsi="Times New Roman" w:cs="Times New Roman"/>
          <w:sz w:val="24"/>
          <w:szCs w:val="24"/>
          <w:lang w:val="en"/>
        </w:rPr>
        <w:t xml:space="preserve">Indiana, </w:t>
      </w:r>
      <w:r>
        <w:rPr>
          <w:rStyle w:val="st1"/>
          <w:rFonts w:ascii="Times New Roman" w:hAnsi="Times New Roman" w:cs="Times New Roman"/>
          <w:sz w:val="24"/>
          <w:szCs w:val="24"/>
          <w:lang w:val="en"/>
        </w:rPr>
        <w:t>Ohio, and Pennsylvania</w:t>
      </w:r>
      <w:r w:rsidR="00D25C9E">
        <w:rPr>
          <w:rStyle w:val="st1"/>
          <w:rFonts w:ascii="Times New Roman" w:hAnsi="Times New Roman" w:cs="Times New Roman"/>
          <w:sz w:val="24"/>
          <w:szCs w:val="24"/>
          <w:lang w:val="en"/>
        </w:rPr>
        <w:t xml:space="preserve"> (</w:t>
      </w:r>
      <w:r w:rsidR="00EF7C6D">
        <w:rPr>
          <w:rStyle w:val="st1"/>
          <w:rFonts w:ascii="Times New Roman" w:hAnsi="Times New Roman" w:cs="Times New Roman"/>
          <w:sz w:val="24"/>
          <w:szCs w:val="24"/>
          <w:lang w:val="en"/>
        </w:rPr>
        <w:t>Dunning 2006</w:t>
      </w:r>
      <w:r w:rsidR="00D25C9E">
        <w:rPr>
          <w:rStyle w:val="st1"/>
          <w:rFonts w:ascii="Times New Roman" w:hAnsi="Times New Roman" w:cs="Times New Roman"/>
          <w:sz w:val="24"/>
          <w:szCs w:val="24"/>
          <w:lang w:val="en"/>
        </w:rPr>
        <w:t>).  The species has been extirpated from the northern third of its range in recent decades, and North Carolina likely represents the current northernmost extent of the range on the east coast.</w:t>
      </w:r>
    </w:p>
    <w:p w:rsidR="001901F3" w:rsidRDefault="001901F3" w:rsidP="00D25C9E">
      <w:pPr>
        <w:ind w:firstLine="720"/>
        <w:rPr>
          <w:rStyle w:val="st1"/>
          <w:rFonts w:ascii="Times New Roman" w:hAnsi="Times New Roman" w:cs="Times New Roman"/>
          <w:sz w:val="24"/>
          <w:szCs w:val="24"/>
          <w:lang w:val="en"/>
        </w:rPr>
      </w:pPr>
      <w:r>
        <w:rPr>
          <w:rStyle w:val="st1"/>
          <w:rFonts w:ascii="Times New Roman" w:hAnsi="Times New Roman" w:cs="Times New Roman"/>
          <w:sz w:val="24"/>
          <w:szCs w:val="24"/>
          <w:lang w:val="en"/>
        </w:rPr>
        <w:t xml:space="preserve">The species was </w:t>
      </w:r>
      <w:r w:rsidR="00D25C9E">
        <w:rPr>
          <w:rStyle w:val="st1"/>
          <w:rFonts w:ascii="Times New Roman" w:hAnsi="Times New Roman" w:cs="Times New Roman"/>
          <w:sz w:val="24"/>
          <w:szCs w:val="24"/>
          <w:lang w:val="en"/>
        </w:rPr>
        <w:t xml:space="preserve">historically </w:t>
      </w:r>
      <w:r>
        <w:rPr>
          <w:rStyle w:val="st1"/>
          <w:rFonts w:ascii="Times New Roman" w:hAnsi="Times New Roman" w:cs="Times New Roman"/>
          <w:sz w:val="24"/>
          <w:szCs w:val="24"/>
          <w:lang w:val="en"/>
        </w:rPr>
        <w:t xml:space="preserve">reported as utilizing a variety of early successional habitats with a lush herbaceous understory, including open pine woodlands, </w:t>
      </w:r>
      <w:proofErr w:type="spellStart"/>
      <w:r>
        <w:rPr>
          <w:rStyle w:val="st1"/>
          <w:rFonts w:ascii="Times New Roman" w:hAnsi="Times New Roman" w:cs="Times New Roman"/>
          <w:sz w:val="24"/>
          <w:szCs w:val="24"/>
          <w:lang w:val="en"/>
        </w:rPr>
        <w:t>clearcuts</w:t>
      </w:r>
      <w:proofErr w:type="spellEnd"/>
      <w:r>
        <w:rPr>
          <w:rStyle w:val="st1"/>
          <w:rFonts w:ascii="Times New Roman" w:hAnsi="Times New Roman" w:cs="Times New Roman"/>
          <w:sz w:val="24"/>
          <w:szCs w:val="24"/>
          <w:lang w:val="en"/>
        </w:rPr>
        <w:t xml:space="preserve">, old fields, and power line rights of </w:t>
      </w:r>
      <w:r w:rsidRPr="00EF7C6D">
        <w:rPr>
          <w:rStyle w:val="st1"/>
          <w:rFonts w:ascii="Times New Roman" w:hAnsi="Times New Roman" w:cs="Times New Roman"/>
          <w:sz w:val="24"/>
          <w:szCs w:val="24"/>
          <w:lang w:val="en"/>
        </w:rPr>
        <w:t>way</w:t>
      </w:r>
      <w:r w:rsidR="00D25C9E" w:rsidRPr="00EF7C6D">
        <w:rPr>
          <w:rStyle w:val="st1"/>
          <w:rFonts w:ascii="Times New Roman" w:hAnsi="Times New Roman" w:cs="Times New Roman"/>
          <w:sz w:val="24"/>
          <w:szCs w:val="24"/>
          <w:lang w:val="en"/>
        </w:rPr>
        <w:t xml:space="preserve"> (</w:t>
      </w:r>
      <w:r w:rsidR="00EF7C6D" w:rsidRPr="00EF7C6D">
        <w:rPr>
          <w:rFonts w:ascii="Times New Roman" w:hAnsi="Times New Roman" w:cs="Times New Roman"/>
          <w:color w:val="000000"/>
          <w:sz w:val="24"/>
          <w:szCs w:val="24"/>
          <w:lang w:val="en"/>
        </w:rPr>
        <w:t>Haggerty 1986, Dunning and Watts 1990, 1991, and Dunning et al. 2000</w:t>
      </w:r>
      <w:r w:rsidR="00D25C9E" w:rsidRPr="00EF7C6D">
        <w:rPr>
          <w:rStyle w:val="st1"/>
          <w:rFonts w:ascii="Times New Roman" w:hAnsi="Times New Roman" w:cs="Times New Roman"/>
          <w:sz w:val="24"/>
          <w:szCs w:val="24"/>
          <w:lang w:val="en"/>
        </w:rPr>
        <w:t>)</w:t>
      </w:r>
      <w:r w:rsidRPr="00EF7C6D">
        <w:rPr>
          <w:rStyle w:val="st1"/>
          <w:rFonts w:ascii="Times New Roman" w:hAnsi="Times New Roman" w:cs="Times New Roman"/>
          <w:sz w:val="24"/>
          <w:szCs w:val="24"/>
          <w:lang w:val="en"/>
        </w:rPr>
        <w:t>.</w:t>
      </w:r>
      <w:r w:rsidR="00D25C9E" w:rsidRPr="00EF7C6D">
        <w:rPr>
          <w:rStyle w:val="st1"/>
          <w:rFonts w:ascii="Times New Roman" w:hAnsi="Times New Roman" w:cs="Times New Roman"/>
          <w:sz w:val="24"/>
          <w:szCs w:val="24"/>
          <w:lang w:val="en"/>
        </w:rPr>
        <w:t xml:space="preserve">  Recent anecdotal</w:t>
      </w:r>
      <w:r w:rsidR="00D25C9E">
        <w:rPr>
          <w:rStyle w:val="st1"/>
          <w:rFonts w:ascii="Times New Roman" w:hAnsi="Times New Roman" w:cs="Times New Roman"/>
          <w:sz w:val="24"/>
          <w:szCs w:val="24"/>
          <w:lang w:val="en"/>
        </w:rPr>
        <w:t xml:space="preserve"> evidence has suggested that Bachman’s sparrows are primarily only found presently in fire-managed longleaf pine woodlands.</w:t>
      </w:r>
    </w:p>
    <w:p w:rsidR="00172B80" w:rsidRDefault="00172B80" w:rsidP="00D25C9E">
      <w:pPr>
        <w:ind w:firstLine="720"/>
        <w:rPr>
          <w:rStyle w:val="st1"/>
          <w:rFonts w:ascii="Times New Roman" w:hAnsi="Times New Roman" w:cs="Times New Roman"/>
          <w:sz w:val="24"/>
          <w:szCs w:val="24"/>
          <w:lang w:val="en"/>
        </w:rPr>
      </w:pPr>
      <w:r>
        <w:rPr>
          <w:rStyle w:val="st1"/>
          <w:rFonts w:ascii="Times New Roman" w:hAnsi="Times New Roman" w:cs="Times New Roman"/>
          <w:sz w:val="24"/>
          <w:szCs w:val="24"/>
          <w:lang w:val="en"/>
        </w:rPr>
        <w:t>This study was initiated in 2011 with the following objectives:</w:t>
      </w:r>
    </w:p>
    <w:p w:rsidR="00917032" w:rsidRDefault="00917032" w:rsidP="00172B80">
      <w:pPr>
        <w:pStyle w:val="ListParagraph"/>
        <w:numPr>
          <w:ilvl w:val="0"/>
          <w:numId w:val="1"/>
        </w:numPr>
        <w:rPr>
          <w:rStyle w:val="st1"/>
          <w:rFonts w:ascii="Times New Roman" w:hAnsi="Times New Roman" w:cs="Times New Roman"/>
          <w:sz w:val="24"/>
          <w:szCs w:val="24"/>
          <w:lang w:val="en"/>
        </w:rPr>
      </w:pPr>
      <w:r>
        <w:rPr>
          <w:rStyle w:val="st1"/>
          <w:rFonts w:ascii="Times New Roman" w:hAnsi="Times New Roman" w:cs="Times New Roman"/>
          <w:sz w:val="24"/>
          <w:szCs w:val="24"/>
          <w:lang w:val="en"/>
        </w:rPr>
        <w:t>Determine the present distribution of potential habitat areas within the historic range of Bachman’s sparrow in North Carolina</w:t>
      </w:r>
    </w:p>
    <w:p w:rsidR="00172B80" w:rsidRDefault="00172B80" w:rsidP="00172B80">
      <w:pPr>
        <w:pStyle w:val="ListParagraph"/>
        <w:numPr>
          <w:ilvl w:val="0"/>
          <w:numId w:val="1"/>
        </w:numPr>
        <w:rPr>
          <w:rStyle w:val="st1"/>
          <w:rFonts w:ascii="Times New Roman" w:hAnsi="Times New Roman" w:cs="Times New Roman"/>
          <w:sz w:val="24"/>
          <w:szCs w:val="24"/>
          <w:lang w:val="en"/>
        </w:rPr>
      </w:pPr>
      <w:r>
        <w:rPr>
          <w:rStyle w:val="st1"/>
          <w:rFonts w:ascii="Times New Roman" w:hAnsi="Times New Roman" w:cs="Times New Roman"/>
          <w:sz w:val="24"/>
          <w:szCs w:val="24"/>
          <w:lang w:val="en"/>
        </w:rPr>
        <w:t>Determine the present state-wide breeding distribution and relative abundance of Bachman’s sparrow in North Carolina</w:t>
      </w:r>
    </w:p>
    <w:p w:rsidR="00172B80" w:rsidRDefault="00172B80" w:rsidP="00172B80">
      <w:pPr>
        <w:pStyle w:val="ListParagraph"/>
        <w:numPr>
          <w:ilvl w:val="0"/>
          <w:numId w:val="1"/>
        </w:numPr>
        <w:rPr>
          <w:rStyle w:val="st1"/>
          <w:rFonts w:ascii="Times New Roman" w:hAnsi="Times New Roman" w:cs="Times New Roman"/>
          <w:sz w:val="24"/>
          <w:szCs w:val="24"/>
          <w:lang w:val="en"/>
        </w:rPr>
      </w:pPr>
      <w:r>
        <w:rPr>
          <w:rStyle w:val="st1"/>
          <w:rFonts w:ascii="Times New Roman" w:hAnsi="Times New Roman" w:cs="Times New Roman"/>
          <w:sz w:val="24"/>
          <w:szCs w:val="24"/>
          <w:lang w:val="en"/>
        </w:rPr>
        <w:t>Document habitat associations</w:t>
      </w:r>
      <w:r w:rsidR="00917032">
        <w:rPr>
          <w:rStyle w:val="st1"/>
          <w:rFonts w:ascii="Times New Roman" w:hAnsi="Times New Roman" w:cs="Times New Roman"/>
          <w:sz w:val="24"/>
          <w:szCs w:val="24"/>
          <w:lang w:val="en"/>
        </w:rPr>
        <w:t xml:space="preserve"> of Bachman’s sparrow in NC</w:t>
      </w:r>
    </w:p>
    <w:p w:rsidR="00917032" w:rsidRDefault="00917032" w:rsidP="00172B80">
      <w:pPr>
        <w:pStyle w:val="ListParagraph"/>
        <w:numPr>
          <w:ilvl w:val="0"/>
          <w:numId w:val="1"/>
        </w:numPr>
        <w:rPr>
          <w:rStyle w:val="st1"/>
          <w:rFonts w:ascii="Times New Roman" w:hAnsi="Times New Roman" w:cs="Times New Roman"/>
          <w:sz w:val="24"/>
          <w:szCs w:val="24"/>
          <w:lang w:val="en"/>
        </w:rPr>
      </w:pPr>
      <w:r>
        <w:rPr>
          <w:rStyle w:val="st1"/>
          <w:rFonts w:ascii="Times New Roman" w:hAnsi="Times New Roman" w:cs="Times New Roman"/>
          <w:sz w:val="24"/>
          <w:szCs w:val="24"/>
          <w:lang w:val="en"/>
        </w:rPr>
        <w:t>Provide technical guidance to landowners and land managers with potential to support Bachman’s sparrow</w:t>
      </w:r>
    </w:p>
    <w:p w:rsidR="00917032" w:rsidRDefault="00917032" w:rsidP="00172B80">
      <w:pPr>
        <w:pStyle w:val="ListParagraph"/>
        <w:numPr>
          <w:ilvl w:val="0"/>
          <w:numId w:val="1"/>
        </w:numPr>
        <w:rPr>
          <w:rStyle w:val="st1"/>
          <w:rFonts w:ascii="Times New Roman" w:hAnsi="Times New Roman" w:cs="Times New Roman"/>
          <w:sz w:val="24"/>
          <w:szCs w:val="24"/>
          <w:lang w:val="en"/>
        </w:rPr>
      </w:pPr>
      <w:r>
        <w:rPr>
          <w:rStyle w:val="st1"/>
          <w:rFonts w:ascii="Times New Roman" w:hAnsi="Times New Roman" w:cs="Times New Roman"/>
          <w:sz w:val="24"/>
          <w:szCs w:val="24"/>
          <w:lang w:val="en"/>
        </w:rPr>
        <w:t>Develop a state-wide conservation plan for Bachman’s sparrow</w:t>
      </w:r>
    </w:p>
    <w:p w:rsidR="00917032" w:rsidRDefault="00917032" w:rsidP="00917032">
      <w:pPr>
        <w:rPr>
          <w:rStyle w:val="st1"/>
          <w:rFonts w:ascii="Times New Roman" w:hAnsi="Times New Roman" w:cs="Times New Roman"/>
          <w:sz w:val="24"/>
          <w:szCs w:val="24"/>
          <w:lang w:val="en"/>
        </w:rPr>
      </w:pPr>
    </w:p>
    <w:p w:rsidR="00917032" w:rsidRPr="00917032" w:rsidRDefault="00917032" w:rsidP="00917032">
      <w:pPr>
        <w:rPr>
          <w:rStyle w:val="st1"/>
          <w:rFonts w:ascii="Times New Roman" w:hAnsi="Times New Roman" w:cs="Times New Roman"/>
          <w:sz w:val="24"/>
          <w:szCs w:val="24"/>
          <w:u w:val="single"/>
          <w:lang w:val="en"/>
        </w:rPr>
      </w:pPr>
      <w:r w:rsidRPr="00917032">
        <w:rPr>
          <w:rStyle w:val="st1"/>
          <w:rFonts w:ascii="Times New Roman" w:hAnsi="Times New Roman" w:cs="Times New Roman"/>
          <w:sz w:val="24"/>
          <w:szCs w:val="24"/>
          <w:u w:val="single"/>
          <w:lang w:val="en"/>
        </w:rPr>
        <w:t>Methods</w:t>
      </w:r>
    </w:p>
    <w:p w:rsidR="007F3F0E" w:rsidRPr="007F3F0E" w:rsidRDefault="00F232B0" w:rsidP="007F3F0E">
      <w:pPr>
        <w:ind w:firstLine="720"/>
        <w:rPr>
          <w:rFonts w:ascii="Times New Roman" w:hAnsi="Times New Roman" w:cs="Times New Roman"/>
          <w:sz w:val="24"/>
          <w:szCs w:val="24"/>
        </w:rPr>
      </w:pPr>
      <w:r>
        <w:rPr>
          <w:rFonts w:ascii="Times New Roman" w:hAnsi="Times New Roman" w:cs="Times New Roman"/>
          <w:sz w:val="24"/>
          <w:szCs w:val="24"/>
        </w:rPr>
        <w:t>The c</w:t>
      </w:r>
      <w:r w:rsidR="007F3F0E" w:rsidRPr="007F3F0E">
        <w:rPr>
          <w:rFonts w:ascii="Times New Roman" w:hAnsi="Times New Roman" w:cs="Times New Roman"/>
          <w:sz w:val="24"/>
          <w:szCs w:val="24"/>
        </w:rPr>
        <w:t>urrent Bachman’s sparrow distribution and status is being assessed across the historic range</w:t>
      </w:r>
      <w:r>
        <w:rPr>
          <w:rFonts w:ascii="Times New Roman" w:hAnsi="Times New Roman" w:cs="Times New Roman"/>
          <w:sz w:val="24"/>
          <w:szCs w:val="24"/>
        </w:rPr>
        <w:t xml:space="preserve"> in North Carolina</w:t>
      </w:r>
      <w:r w:rsidR="007F3F0E" w:rsidRPr="007F3F0E">
        <w:rPr>
          <w:rFonts w:ascii="Times New Roman" w:hAnsi="Times New Roman" w:cs="Times New Roman"/>
          <w:sz w:val="24"/>
          <w:szCs w:val="24"/>
        </w:rPr>
        <w:t xml:space="preserve">.  This range was defined by the GAP predicted distribution and historic records.  Historic records were compiled from </w:t>
      </w:r>
      <w:r>
        <w:rPr>
          <w:rFonts w:ascii="Times New Roman" w:hAnsi="Times New Roman" w:cs="Times New Roman"/>
          <w:sz w:val="24"/>
          <w:szCs w:val="24"/>
        </w:rPr>
        <w:t xml:space="preserve">the </w:t>
      </w:r>
      <w:r w:rsidR="007F3F0E" w:rsidRPr="007F3F0E">
        <w:rPr>
          <w:rFonts w:ascii="Times New Roman" w:hAnsi="Times New Roman" w:cs="Times New Roman"/>
          <w:sz w:val="24"/>
          <w:szCs w:val="24"/>
        </w:rPr>
        <w:t>NC Natural Heritage Program, NC Museum of Natural Sciences, NC</w:t>
      </w:r>
      <w:r w:rsidR="001524A7">
        <w:rPr>
          <w:rFonts w:ascii="Times New Roman" w:hAnsi="Times New Roman" w:cs="Times New Roman"/>
          <w:sz w:val="24"/>
          <w:szCs w:val="24"/>
        </w:rPr>
        <w:t xml:space="preserve"> </w:t>
      </w:r>
      <w:r w:rsidR="007F3F0E" w:rsidRPr="007F3F0E">
        <w:rPr>
          <w:rFonts w:ascii="Times New Roman" w:hAnsi="Times New Roman" w:cs="Times New Roman"/>
          <w:sz w:val="24"/>
          <w:szCs w:val="24"/>
        </w:rPr>
        <w:t>W</w:t>
      </w:r>
      <w:r w:rsidR="001524A7">
        <w:rPr>
          <w:rFonts w:ascii="Times New Roman" w:hAnsi="Times New Roman" w:cs="Times New Roman"/>
          <w:sz w:val="24"/>
          <w:szCs w:val="24"/>
        </w:rPr>
        <w:t xml:space="preserve">ildlife </w:t>
      </w:r>
      <w:r w:rsidR="007F3F0E" w:rsidRPr="007F3F0E">
        <w:rPr>
          <w:rFonts w:ascii="Times New Roman" w:hAnsi="Times New Roman" w:cs="Times New Roman"/>
          <w:sz w:val="24"/>
          <w:szCs w:val="24"/>
        </w:rPr>
        <w:t>R</w:t>
      </w:r>
      <w:r w:rsidR="001524A7">
        <w:rPr>
          <w:rFonts w:ascii="Times New Roman" w:hAnsi="Times New Roman" w:cs="Times New Roman"/>
          <w:sz w:val="24"/>
          <w:szCs w:val="24"/>
        </w:rPr>
        <w:t xml:space="preserve">esources </w:t>
      </w:r>
      <w:r w:rsidR="007F3F0E" w:rsidRPr="007F3F0E">
        <w:rPr>
          <w:rFonts w:ascii="Times New Roman" w:hAnsi="Times New Roman" w:cs="Times New Roman"/>
          <w:sz w:val="24"/>
          <w:szCs w:val="24"/>
        </w:rPr>
        <w:t>C</w:t>
      </w:r>
      <w:r w:rsidR="001524A7">
        <w:rPr>
          <w:rFonts w:ascii="Times New Roman" w:hAnsi="Times New Roman" w:cs="Times New Roman"/>
          <w:sz w:val="24"/>
          <w:szCs w:val="24"/>
        </w:rPr>
        <w:t>ommission</w:t>
      </w:r>
      <w:r w:rsidR="00F1791B">
        <w:rPr>
          <w:rFonts w:ascii="Times New Roman" w:hAnsi="Times New Roman" w:cs="Times New Roman"/>
          <w:sz w:val="24"/>
          <w:szCs w:val="24"/>
        </w:rPr>
        <w:t xml:space="preserve"> (NCWRC)</w:t>
      </w:r>
      <w:r w:rsidR="007F3F0E" w:rsidRPr="007F3F0E">
        <w:rPr>
          <w:rFonts w:ascii="Times New Roman" w:hAnsi="Times New Roman" w:cs="Times New Roman"/>
          <w:sz w:val="24"/>
          <w:szCs w:val="24"/>
        </w:rPr>
        <w:t xml:space="preserve">, US Forest Service, US Fish and Wildlife Service, US Geological Survey Breeding Bird Survey, North Carolina State University, and </w:t>
      </w:r>
      <w:proofErr w:type="spellStart"/>
      <w:r w:rsidR="007F3F0E" w:rsidRPr="007F3F0E">
        <w:rPr>
          <w:rFonts w:ascii="Times New Roman" w:hAnsi="Times New Roman" w:cs="Times New Roman"/>
          <w:sz w:val="24"/>
          <w:szCs w:val="24"/>
        </w:rPr>
        <w:t>ebird</w:t>
      </w:r>
      <w:proofErr w:type="spellEnd"/>
      <w:r w:rsidR="007F3F0E" w:rsidRPr="007F3F0E">
        <w:rPr>
          <w:rFonts w:ascii="Times New Roman" w:hAnsi="Times New Roman" w:cs="Times New Roman"/>
          <w:sz w:val="24"/>
          <w:szCs w:val="24"/>
        </w:rPr>
        <w:t xml:space="preserve">.  </w:t>
      </w: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 xml:space="preserve">Surveys are conducted at 3 types of points.  One is historic Bachman’s sparrow observations from 2005 or before (records from 2006 to present are assumed to still be extant).  The second is potential Bachman’s sparrow habitat areas identified in GIS.  The third is locations with high potential habitat identified in the field and not otherwise selected by GIS or historic records.  </w:t>
      </w:r>
    </w:p>
    <w:p w:rsidR="00B82141"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lastRenderedPageBreak/>
        <w:t xml:space="preserve">To select survey points in GIS, the historic range was divided into 1,482 grids using 3,952 ha (9,765 ac) US Geological Survey quarter quads.  These </w:t>
      </w:r>
      <w:r w:rsidR="00B82141">
        <w:rPr>
          <w:rFonts w:ascii="Times New Roman" w:hAnsi="Times New Roman" w:cs="Times New Roman"/>
          <w:sz w:val="24"/>
          <w:szCs w:val="24"/>
        </w:rPr>
        <w:t>grids</w:t>
      </w:r>
      <w:r w:rsidRPr="007F3F0E">
        <w:rPr>
          <w:rFonts w:ascii="Times New Roman" w:hAnsi="Times New Roman" w:cs="Times New Roman"/>
          <w:sz w:val="24"/>
          <w:szCs w:val="24"/>
        </w:rPr>
        <w:t xml:space="preserve"> were examined in GIS using 2011 aerial photography and data layers which may indicate the presence of Bachman’s sparrow habitat.  One layer was the NC Natural Heritage Program’s Wet-Xeric Longleaf-Wiregrass Woodland landscape habitat indicator guild.  This layer represents areas where there are records of indicator species closely associated with longleaf woodland habitat as well as contiguous areas with suitable habitat.  We also used the Potential Upland Habitats layer created by the NC Sandhills Conservation Partnership which indicates areas identified by aerial photographs which appear to have longleaf pine trees and no evidence of ground disturbance, such as bedding, but those sites had not been ground-</w:t>
      </w:r>
      <w:proofErr w:type="spellStart"/>
      <w:r w:rsidRPr="007F3F0E">
        <w:rPr>
          <w:rFonts w:ascii="Times New Roman" w:hAnsi="Times New Roman" w:cs="Times New Roman"/>
          <w:sz w:val="24"/>
          <w:szCs w:val="24"/>
        </w:rPr>
        <w:t>truthed</w:t>
      </w:r>
      <w:proofErr w:type="spellEnd"/>
      <w:r w:rsidRPr="007F3F0E">
        <w:rPr>
          <w:rFonts w:ascii="Times New Roman" w:hAnsi="Times New Roman" w:cs="Times New Roman"/>
          <w:sz w:val="24"/>
          <w:szCs w:val="24"/>
        </w:rPr>
        <w:t>.</w:t>
      </w:r>
      <w:r w:rsidR="00B82141">
        <w:rPr>
          <w:rFonts w:ascii="Times New Roman" w:hAnsi="Times New Roman" w:cs="Times New Roman"/>
          <w:sz w:val="24"/>
          <w:szCs w:val="24"/>
        </w:rPr>
        <w:t xml:space="preserve">  </w:t>
      </w:r>
      <w:r w:rsidRPr="007F3F0E">
        <w:rPr>
          <w:rFonts w:ascii="Times New Roman" w:hAnsi="Times New Roman" w:cs="Times New Roman"/>
          <w:sz w:val="24"/>
          <w:szCs w:val="24"/>
        </w:rPr>
        <w:t xml:space="preserve">Finally, we used the GAP predicted distribution for Bachman’s sparrow.  </w:t>
      </w:r>
      <w:r w:rsidR="00B82141">
        <w:rPr>
          <w:rFonts w:ascii="Times New Roman" w:hAnsi="Times New Roman" w:cs="Times New Roman"/>
          <w:sz w:val="24"/>
          <w:szCs w:val="24"/>
        </w:rPr>
        <w:t>We used the NC Natural Heritage Program’s Managed Areas layer to indicate which properties (both public and private) may be more likely to be managed for wildlife habitat.</w:t>
      </w:r>
      <w:r w:rsidR="00B82141" w:rsidRPr="007F3F0E">
        <w:rPr>
          <w:rFonts w:ascii="Times New Roman" w:hAnsi="Times New Roman" w:cs="Times New Roman"/>
          <w:sz w:val="24"/>
          <w:szCs w:val="24"/>
        </w:rPr>
        <w:t xml:space="preserve">  </w:t>
      </w: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For all these data layers and for other areas within the selected grids, we examined the aerial photograph</w:t>
      </w:r>
      <w:r w:rsidR="00B82141">
        <w:rPr>
          <w:rFonts w:ascii="Times New Roman" w:hAnsi="Times New Roman" w:cs="Times New Roman"/>
          <w:sz w:val="24"/>
          <w:szCs w:val="24"/>
        </w:rPr>
        <w:t xml:space="preserve"> at approximately a 1:12,000 to 1:16,000 scale</w:t>
      </w:r>
      <w:r w:rsidRPr="007F3F0E">
        <w:rPr>
          <w:rFonts w:ascii="Times New Roman" w:hAnsi="Times New Roman" w:cs="Times New Roman"/>
          <w:sz w:val="24"/>
          <w:szCs w:val="24"/>
        </w:rPr>
        <w:t xml:space="preserve"> and assessed whether there appeared to be open pine woodland, clearcut, old field, or </w:t>
      </w:r>
      <w:proofErr w:type="spellStart"/>
      <w:r w:rsidRPr="007F3F0E">
        <w:rPr>
          <w:rFonts w:ascii="Times New Roman" w:hAnsi="Times New Roman" w:cs="Times New Roman"/>
          <w:sz w:val="24"/>
          <w:szCs w:val="24"/>
        </w:rPr>
        <w:t>powerline</w:t>
      </w:r>
      <w:proofErr w:type="spellEnd"/>
      <w:r w:rsidRPr="007F3F0E">
        <w:rPr>
          <w:rFonts w:ascii="Times New Roman" w:hAnsi="Times New Roman" w:cs="Times New Roman"/>
          <w:sz w:val="24"/>
          <w:szCs w:val="24"/>
        </w:rPr>
        <w:t xml:space="preserve"> right-of-way habitat.  In locations where there appeared to be potential habitat in a patch of at least ~50 acres (we adjusted the patch size threshold depending on landscape context), we placed a survey point, regardless of land ownership.  We attempted to place points in locations where we could maximize detection of birds in the patch, and also to facilitate access.  Points were placed at least 500m apart, up to a maximum of 16 points per grid.</w:t>
      </w:r>
    </w:p>
    <w:p w:rsidR="00B82141" w:rsidRDefault="00B82141" w:rsidP="007F3F0E">
      <w:pPr>
        <w:ind w:firstLine="720"/>
        <w:rPr>
          <w:rFonts w:ascii="Times New Roman" w:hAnsi="Times New Roman" w:cs="Times New Roman"/>
          <w:sz w:val="24"/>
          <w:szCs w:val="24"/>
        </w:rPr>
      </w:pPr>
      <w:r>
        <w:rPr>
          <w:rFonts w:ascii="Times New Roman" w:hAnsi="Times New Roman" w:cs="Times New Roman"/>
          <w:sz w:val="24"/>
          <w:szCs w:val="24"/>
        </w:rPr>
        <w:t>We randomly selected 25% of the grids</w:t>
      </w:r>
      <w:r w:rsidRPr="007F3F0E">
        <w:rPr>
          <w:rFonts w:ascii="Times New Roman" w:hAnsi="Times New Roman" w:cs="Times New Roman"/>
          <w:sz w:val="24"/>
          <w:szCs w:val="24"/>
        </w:rPr>
        <w:t xml:space="preserve"> </w:t>
      </w:r>
      <w:r>
        <w:rPr>
          <w:rFonts w:ascii="Times New Roman" w:hAnsi="Times New Roman" w:cs="Times New Roman"/>
          <w:sz w:val="24"/>
          <w:szCs w:val="24"/>
        </w:rPr>
        <w:t xml:space="preserve">in the eastern Piedmont, </w:t>
      </w:r>
      <w:proofErr w:type="spellStart"/>
      <w:r w:rsidRPr="007F3F0E">
        <w:rPr>
          <w:rFonts w:ascii="Times New Roman" w:hAnsi="Times New Roman" w:cs="Times New Roman"/>
          <w:sz w:val="24"/>
          <w:szCs w:val="24"/>
        </w:rPr>
        <w:t>Sandhills</w:t>
      </w:r>
      <w:proofErr w:type="spellEnd"/>
      <w:r>
        <w:rPr>
          <w:rFonts w:ascii="Times New Roman" w:hAnsi="Times New Roman" w:cs="Times New Roman"/>
          <w:sz w:val="24"/>
          <w:szCs w:val="24"/>
        </w:rPr>
        <w:t xml:space="preserve"> and</w:t>
      </w:r>
      <w:r w:rsidRPr="007F3F0E">
        <w:rPr>
          <w:rFonts w:ascii="Times New Roman" w:hAnsi="Times New Roman" w:cs="Times New Roman"/>
          <w:sz w:val="24"/>
          <w:szCs w:val="24"/>
        </w:rPr>
        <w:t xml:space="preserve"> southern Coastal Plain</w:t>
      </w:r>
      <w:r>
        <w:rPr>
          <w:rFonts w:ascii="Times New Roman" w:hAnsi="Times New Roman" w:cs="Times New Roman"/>
          <w:sz w:val="24"/>
          <w:szCs w:val="24"/>
        </w:rPr>
        <w:t xml:space="preserve"> to initially assess for potential habitat.  We later assessed all the remaining grids in the </w:t>
      </w:r>
      <w:proofErr w:type="spellStart"/>
      <w:r>
        <w:rPr>
          <w:rFonts w:ascii="Times New Roman" w:hAnsi="Times New Roman" w:cs="Times New Roman"/>
          <w:sz w:val="24"/>
          <w:szCs w:val="24"/>
        </w:rPr>
        <w:t>Sandhills</w:t>
      </w:r>
      <w:proofErr w:type="spellEnd"/>
      <w:r>
        <w:rPr>
          <w:rFonts w:ascii="Times New Roman" w:hAnsi="Times New Roman" w:cs="Times New Roman"/>
          <w:sz w:val="24"/>
          <w:szCs w:val="24"/>
        </w:rPr>
        <w:t xml:space="preserve"> and Southern Coastal Plain plus some additional grids in the eastern Piedmont that had the highest potential for habitat.  The later assessment was informed</w:t>
      </w:r>
      <w:r w:rsidR="00F1791B">
        <w:rPr>
          <w:rFonts w:ascii="Times New Roman" w:hAnsi="Times New Roman" w:cs="Times New Roman"/>
          <w:sz w:val="24"/>
          <w:szCs w:val="24"/>
        </w:rPr>
        <w:t xml:space="preserve"> by the results of our initial survey work.  The earlier assessment of randomly selected grids was more inclusive of potential habitat areas while the later assessment was more discriminatory and avoided smaller habitat patches and those that were more likely to have marginal habitat.</w:t>
      </w:r>
    </w:p>
    <w:p w:rsidR="00CC39D0" w:rsidRDefault="00CC39D0" w:rsidP="00F1791B">
      <w:pPr>
        <w:ind w:firstLine="720"/>
        <w:rPr>
          <w:rFonts w:ascii="Times New Roman" w:hAnsi="Times New Roman" w:cs="Times New Roman"/>
          <w:sz w:val="24"/>
          <w:szCs w:val="24"/>
        </w:rPr>
      </w:pPr>
      <w:r>
        <w:rPr>
          <w:rFonts w:ascii="Times New Roman" w:hAnsi="Times New Roman" w:cs="Times New Roman"/>
          <w:sz w:val="24"/>
          <w:szCs w:val="24"/>
        </w:rPr>
        <w:t>As of January 2014</w:t>
      </w:r>
      <w:r w:rsidRPr="007F3F0E">
        <w:rPr>
          <w:rFonts w:ascii="Times New Roman" w:hAnsi="Times New Roman" w:cs="Times New Roman"/>
          <w:sz w:val="24"/>
          <w:szCs w:val="24"/>
        </w:rPr>
        <w:t xml:space="preserve"> we </w:t>
      </w:r>
      <w:r>
        <w:rPr>
          <w:rFonts w:ascii="Times New Roman" w:hAnsi="Times New Roman" w:cs="Times New Roman"/>
          <w:sz w:val="24"/>
          <w:szCs w:val="24"/>
        </w:rPr>
        <w:t xml:space="preserve">identified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potential survey points</w:t>
      </w:r>
      <w:r w:rsidRPr="007F3F0E">
        <w:rPr>
          <w:rFonts w:ascii="Times New Roman" w:hAnsi="Times New Roman" w:cs="Times New Roman"/>
          <w:sz w:val="24"/>
          <w:szCs w:val="24"/>
        </w:rPr>
        <w:t xml:space="preserve">.  </w:t>
      </w:r>
      <w:r>
        <w:rPr>
          <w:rFonts w:ascii="Times New Roman" w:hAnsi="Times New Roman" w:cs="Times New Roman"/>
          <w:sz w:val="24"/>
          <w:szCs w:val="24"/>
        </w:rPr>
        <w:t xml:space="preserve">X points had </w:t>
      </w:r>
      <w:proofErr w:type="spellStart"/>
      <w:r>
        <w:rPr>
          <w:rFonts w:ascii="Times New Roman" w:hAnsi="Times New Roman" w:cs="Times New Roman"/>
          <w:sz w:val="24"/>
          <w:szCs w:val="24"/>
        </w:rPr>
        <w:t>clearcut</w:t>
      </w:r>
      <w:proofErr w:type="spellEnd"/>
      <w:r>
        <w:rPr>
          <w:rFonts w:ascii="Times New Roman" w:hAnsi="Times New Roman" w:cs="Times New Roman"/>
          <w:sz w:val="24"/>
          <w:szCs w:val="24"/>
        </w:rPr>
        <w:t xml:space="preserve"> habitat within 200m, x points had </w:t>
      </w:r>
      <w:proofErr w:type="spellStart"/>
      <w:r>
        <w:rPr>
          <w:rFonts w:ascii="Times New Roman" w:hAnsi="Times New Roman" w:cs="Times New Roman"/>
          <w:sz w:val="24"/>
          <w:szCs w:val="24"/>
        </w:rPr>
        <w:t>powerline</w:t>
      </w:r>
      <w:proofErr w:type="spellEnd"/>
      <w:r>
        <w:rPr>
          <w:rFonts w:ascii="Times New Roman" w:hAnsi="Times New Roman" w:cs="Times New Roman"/>
          <w:sz w:val="24"/>
          <w:szCs w:val="24"/>
        </w:rPr>
        <w:t xml:space="preserve"> habitat, and x points had open pine woodland habitat.  A point could have more than one habitat type within 200m.</w:t>
      </w:r>
    </w:p>
    <w:p w:rsidR="00F1791B" w:rsidRPr="007F3F0E" w:rsidRDefault="00F1791B" w:rsidP="00F1791B">
      <w:pPr>
        <w:ind w:firstLine="720"/>
        <w:rPr>
          <w:rFonts w:ascii="Times New Roman" w:hAnsi="Times New Roman" w:cs="Times New Roman"/>
          <w:sz w:val="24"/>
          <w:szCs w:val="24"/>
        </w:rPr>
      </w:pPr>
      <w:r w:rsidRPr="007F3F0E">
        <w:rPr>
          <w:rFonts w:ascii="Times New Roman" w:hAnsi="Times New Roman" w:cs="Times New Roman"/>
          <w:sz w:val="24"/>
          <w:szCs w:val="24"/>
        </w:rPr>
        <w:t xml:space="preserve">We </w:t>
      </w:r>
      <w:r>
        <w:rPr>
          <w:rFonts w:ascii="Times New Roman" w:hAnsi="Times New Roman" w:cs="Times New Roman"/>
          <w:sz w:val="24"/>
          <w:szCs w:val="24"/>
        </w:rPr>
        <w:t xml:space="preserve">secured permission to survey from public land managers and </w:t>
      </w:r>
      <w:r w:rsidRPr="007F3F0E">
        <w:rPr>
          <w:rFonts w:ascii="Times New Roman" w:hAnsi="Times New Roman" w:cs="Times New Roman"/>
          <w:sz w:val="24"/>
          <w:szCs w:val="24"/>
        </w:rPr>
        <w:t xml:space="preserve">reached out to a total of 270 private landowners via letters and personal contacts.  Overall, 139 </w:t>
      </w:r>
      <w:r>
        <w:rPr>
          <w:rFonts w:ascii="Times New Roman" w:hAnsi="Times New Roman" w:cs="Times New Roman"/>
          <w:sz w:val="24"/>
          <w:szCs w:val="24"/>
        </w:rPr>
        <w:t xml:space="preserve">private </w:t>
      </w:r>
      <w:r w:rsidRPr="007F3F0E">
        <w:rPr>
          <w:rFonts w:ascii="Times New Roman" w:hAnsi="Times New Roman" w:cs="Times New Roman"/>
          <w:sz w:val="24"/>
          <w:szCs w:val="24"/>
        </w:rPr>
        <w:t xml:space="preserve">landowners granted permission, 29 denied permission, and we got no response from 102. </w:t>
      </w:r>
    </w:p>
    <w:p w:rsidR="00F1791B" w:rsidRPr="007F3F0E" w:rsidRDefault="00F1791B" w:rsidP="00F1791B">
      <w:pPr>
        <w:ind w:firstLine="720"/>
        <w:rPr>
          <w:rFonts w:ascii="Times New Roman" w:hAnsi="Times New Roman" w:cs="Times New Roman"/>
          <w:sz w:val="24"/>
          <w:szCs w:val="24"/>
        </w:rPr>
      </w:pPr>
      <w:r>
        <w:rPr>
          <w:rFonts w:ascii="Times New Roman" w:hAnsi="Times New Roman" w:cs="Times New Roman"/>
          <w:sz w:val="24"/>
          <w:szCs w:val="24"/>
        </w:rPr>
        <w:t xml:space="preserve">Personal contacts was the most effective way of securing private landowner permission.  </w:t>
      </w:r>
      <w:r w:rsidRPr="007F3F0E">
        <w:rPr>
          <w:rFonts w:ascii="Times New Roman" w:hAnsi="Times New Roman" w:cs="Times New Roman"/>
          <w:sz w:val="24"/>
          <w:szCs w:val="24"/>
        </w:rPr>
        <w:t xml:space="preserve">We asked permission via phone and in person </w:t>
      </w:r>
      <w:r>
        <w:rPr>
          <w:rFonts w:ascii="Times New Roman" w:hAnsi="Times New Roman" w:cs="Times New Roman"/>
          <w:sz w:val="24"/>
          <w:szCs w:val="24"/>
        </w:rPr>
        <w:t>from</w:t>
      </w:r>
      <w:r w:rsidRPr="007F3F0E">
        <w:rPr>
          <w:rFonts w:ascii="Times New Roman" w:hAnsi="Times New Roman" w:cs="Times New Roman"/>
          <w:sz w:val="24"/>
          <w:szCs w:val="24"/>
        </w:rPr>
        <w:t xml:space="preserve"> landowners that we know and asked permission through other natural resource professionals with landowner relationships. We had particular success with the US Fish and Wildlife Service Safe Harbor program and the NCWRC Corporate C</w:t>
      </w:r>
      <w:r>
        <w:rPr>
          <w:rFonts w:ascii="Times New Roman" w:hAnsi="Times New Roman" w:cs="Times New Roman"/>
          <w:sz w:val="24"/>
          <w:szCs w:val="24"/>
        </w:rPr>
        <w:t xml:space="preserve">ooperative </w:t>
      </w:r>
      <w:r w:rsidRPr="007F3F0E">
        <w:rPr>
          <w:rFonts w:ascii="Times New Roman" w:hAnsi="Times New Roman" w:cs="Times New Roman"/>
          <w:sz w:val="24"/>
          <w:szCs w:val="24"/>
        </w:rPr>
        <w:t>U</w:t>
      </w:r>
      <w:r>
        <w:rPr>
          <w:rFonts w:ascii="Times New Roman" w:hAnsi="Times New Roman" w:cs="Times New Roman"/>
          <w:sz w:val="24"/>
          <w:szCs w:val="24"/>
        </w:rPr>
        <w:t xml:space="preserve">pland habitat </w:t>
      </w:r>
      <w:r w:rsidRPr="007F3F0E">
        <w:rPr>
          <w:rFonts w:ascii="Times New Roman" w:hAnsi="Times New Roman" w:cs="Times New Roman"/>
          <w:sz w:val="24"/>
          <w:szCs w:val="24"/>
        </w:rPr>
        <w:t>R</w:t>
      </w:r>
      <w:r>
        <w:rPr>
          <w:rFonts w:ascii="Times New Roman" w:hAnsi="Times New Roman" w:cs="Times New Roman"/>
          <w:sz w:val="24"/>
          <w:szCs w:val="24"/>
        </w:rPr>
        <w:t xml:space="preserve">estoration and </w:t>
      </w:r>
      <w:r w:rsidRPr="007F3F0E">
        <w:rPr>
          <w:rFonts w:ascii="Times New Roman" w:hAnsi="Times New Roman" w:cs="Times New Roman"/>
          <w:sz w:val="24"/>
          <w:szCs w:val="24"/>
        </w:rPr>
        <w:t>E</w:t>
      </w:r>
      <w:r>
        <w:rPr>
          <w:rFonts w:ascii="Times New Roman" w:hAnsi="Times New Roman" w:cs="Times New Roman"/>
          <w:sz w:val="24"/>
          <w:szCs w:val="24"/>
        </w:rPr>
        <w:t>nhancement (CURE)</w:t>
      </w:r>
      <w:r w:rsidRPr="007F3F0E">
        <w:rPr>
          <w:rFonts w:ascii="Times New Roman" w:hAnsi="Times New Roman" w:cs="Times New Roman"/>
          <w:sz w:val="24"/>
          <w:szCs w:val="24"/>
        </w:rPr>
        <w:t xml:space="preserve"> program.  These 71 personal contacts yielded 63 yes</w:t>
      </w:r>
      <w:r>
        <w:rPr>
          <w:rFonts w:ascii="Times New Roman" w:hAnsi="Times New Roman" w:cs="Times New Roman"/>
          <w:sz w:val="24"/>
          <w:szCs w:val="24"/>
        </w:rPr>
        <w:t xml:space="preserve"> (</w:t>
      </w:r>
      <w:r w:rsidR="00463943">
        <w:rPr>
          <w:rFonts w:ascii="Times New Roman" w:hAnsi="Times New Roman" w:cs="Times New Roman"/>
          <w:sz w:val="24"/>
          <w:szCs w:val="24"/>
        </w:rPr>
        <w:t>89%)</w:t>
      </w:r>
      <w:r w:rsidRPr="007F3F0E">
        <w:rPr>
          <w:rFonts w:ascii="Times New Roman" w:hAnsi="Times New Roman" w:cs="Times New Roman"/>
          <w:sz w:val="24"/>
          <w:szCs w:val="24"/>
        </w:rPr>
        <w:t>, 4 no</w:t>
      </w:r>
      <w:r w:rsidR="00463943">
        <w:rPr>
          <w:rFonts w:ascii="Times New Roman" w:hAnsi="Times New Roman" w:cs="Times New Roman"/>
          <w:sz w:val="24"/>
          <w:szCs w:val="24"/>
        </w:rPr>
        <w:t xml:space="preserve"> (6%)</w:t>
      </w:r>
      <w:r w:rsidRPr="007F3F0E">
        <w:rPr>
          <w:rFonts w:ascii="Times New Roman" w:hAnsi="Times New Roman" w:cs="Times New Roman"/>
          <w:sz w:val="24"/>
          <w:szCs w:val="24"/>
        </w:rPr>
        <w:t>, and 4 no response</w:t>
      </w:r>
      <w:r w:rsidR="00463943">
        <w:rPr>
          <w:rFonts w:ascii="Times New Roman" w:hAnsi="Times New Roman" w:cs="Times New Roman"/>
          <w:sz w:val="24"/>
          <w:szCs w:val="24"/>
        </w:rPr>
        <w:t xml:space="preserve"> (6%)</w:t>
      </w:r>
      <w:r w:rsidRPr="007F3F0E">
        <w:rPr>
          <w:rFonts w:ascii="Times New Roman" w:hAnsi="Times New Roman" w:cs="Times New Roman"/>
          <w:sz w:val="24"/>
          <w:szCs w:val="24"/>
        </w:rPr>
        <w:t>.</w:t>
      </w:r>
    </w:p>
    <w:p w:rsidR="00F1791B" w:rsidRPr="007F3F0E" w:rsidRDefault="00F1791B" w:rsidP="00F1791B">
      <w:pPr>
        <w:ind w:firstLine="720"/>
        <w:rPr>
          <w:rFonts w:ascii="Times New Roman" w:hAnsi="Times New Roman" w:cs="Times New Roman"/>
          <w:sz w:val="24"/>
          <w:szCs w:val="24"/>
        </w:rPr>
      </w:pPr>
      <w:r w:rsidRPr="007F3F0E">
        <w:rPr>
          <w:rFonts w:ascii="Times New Roman" w:hAnsi="Times New Roman" w:cs="Times New Roman"/>
          <w:sz w:val="24"/>
          <w:szCs w:val="24"/>
        </w:rPr>
        <w:lastRenderedPageBreak/>
        <w:t xml:space="preserve">We sent out letters to 199 landowners and 76 of them (38%) granted us permission to conduct a survey, 25 denied permission (13%), and 98 had no response (49%).   In the Southern Coastal Plain we followed up with email or phone calls to non-respondents, and this increased our response rate.  We sent 97 letters and had a total of 43 (44%) landowners grant permission, 18 (19%) say no, and 36 (37%) no response.  In the </w:t>
      </w:r>
      <w:proofErr w:type="spellStart"/>
      <w:r w:rsidRPr="007F3F0E">
        <w:rPr>
          <w:rFonts w:ascii="Times New Roman" w:hAnsi="Times New Roman" w:cs="Times New Roman"/>
          <w:sz w:val="24"/>
          <w:szCs w:val="24"/>
        </w:rPr>
        <w:t>Sandhills</w:t>
      </w:r>
      <w:proofErr w:type="spellEnd"/>
      <w:r w:rsidRPr="007F3F0E">
        <w:rPr>
          <w:rFonts w:ascii="Times New Roman" w:hAnsi="Times New Roman" w:cs="Times New Roman"/>
          <w:sz w:val="24"/>
          <w:szCs w:val="24"/>
        </w:rPr>
        <w:t xml:space="preserve"> we did not follow up with every non-respondent.  We sent 102 letters and 33 (32%) landowners said yes, 7 (7%) said no, and 62 (61%) no response. </w:t>
      </w:r>
    </w:p>
    <w:p w:rsidR="007F3F0E" w:rsidRPr="007F3F0E" w:rsidRDefault="001A297E" w:rsidP="003A131F">
      <w:pPr>
        <w:ind w:firstLine="720"/>
        <w:rPr>
          <w:rFonts w:ascii="Times New Roman" w:hAnsi="Times New Roman" w:cs="Times New Roman"/>
          <w:sz w:val="24"/>
          <w:szCs w:val="24"/>
        </w:rPr>
      </w:pPr>
      <w:r>
        <w:rPr>
          <w:rFonts w:ascii="Times New Roman" w:hAnsi="Times New Roman" w:cs="Times New Roman"/>
          <w:sz w:val="24"/>
          <w:szCs w:val="24"/>
        </w:rPr>
        <w:t>We ground-</w:t>
      </w:r>
      <w:proofErr w:type="spellStart"/>
      <w:r>
        <w:rPr>
          <w:rFonts w:ascii="Times New Roman" w:hAnsi="Times New Roman" w:cs="Times New Roman"/>
          <w:sz w:val="24"/>
          <w:szCs w:val="24"/>
        </w:rPr>
        <w:t>t</w:t>
      </w:r>
      <w:r w:rsidR="007F3F0E" w:rsidRPr="007F3F0E">
        <w:rPr>
          <w:rFonts w:ascii="Times New Roman" w:hAnsi="Times New Roman" w:cs="Times New Roman"/>
          <w:sz w:val="24"/>
          <w:szCs w:val="24"/>
        </w:rPr>
        <w:t>ruthed</w:t>
      </w:r>
      <w:proofErr w:type="spellEnd"/>
      <w:r w:rsidR="007F3F0E" w:rsidRPr="007F3F0E">
        <w:rPr>
          <w:rFonts w:ascii="Times New Roman" w:hAnsi="Times New Roman" w:cs="Times New Roman"/>
          <w:sz w:val="24"/>
          <w:szCs w:val="24"/>
        </w:rPr>
        <w:t xml:space="preserve"> the habitat at points for historic Bachman’s sparrow locations and GIS selected points which were publically accessible or where we </w:t>
      </w:r>
      <w:r w:rsidR="003A131F">
        <w:rPr>
          <w:rFonts w:ascii="Times New Roman" w:hAnsi="Times New Roman" w:cs="Times New Roman"/>
          <w:sz w:val="24"/>
          <w:szCs w:val="24"/>
        </w:rPr>
        <w:t>had</w:t>
      </w:r>
      <w:r w:rsidR="007F3F0E" w:rsidRPr="007F3F0E">
        <w:rPr>
          <w:rFonts w:ascii="Times New Roman" w:hAnsi="Times New Roman" w:cs="Times New Roman"/>
          <w:sz w:val="24"/>
          <w:szCs w:val="24"/>
        </w:rPr>
        <w:t xml:space="preserve"> permission.  Point count surveys were conducted at points with suitable habitat, defined as at least 4 acres </w:t>
      </w:r>
      <w:r w:rsidR="003A131F">
        <w:rPr>
          <w:rFonts w:ascii="Times New Roman" w:hAnsi="Times New Roman" w:cs="Times New Roman"/>
          <w:sz w:val="24"/>
          <w:szCs w:val="24"/>
        </w:rPr>
        <w:t xml:space="preserve">within view </w:t>
      </w:r>
      <w:r w:rsidR="007F3F0E" w:rsidRPr="007F3F0E">
        <w:rPr>
          <w:rFonts w:ascii="Times New Roman" w:hAnsi="Times New Roman" w:cs="Times New Roman"/>
          <w:sz w:val="24"/>
          <w:szCs w:val="24"/>
        </w:rPr>
        <w:t xml:space="preserve">with &gt;20% native herbaceous groundcover (“clump grasses” and forbs) &gt;10 inches tall.  If better habitat was present nearby the point could be moved up to 150m to maximize coverage of good habitat.  For points that were rejected due to insufficient habitat, we recorded the reasons (e.g. closed canopy, fire suppression, land use change, </w:t>
      </w:r>
      <w:proofErr w:type="spellStart"/>
      <w:r w:rsidR="007F3F0E" w:rsidRPr="007F3F0E">
        <w:rPr>
          <w:rFonts w:ascii="Times New Roman" w:hAnsi="Times New Roman" w:cs="Times New Roman"/>
          <w:sz w:val="24"/>
          <w:szCs w:val="24"/>
        </w:rPr>
        <w:t>etc</w:t>
      </w:r>
      <w:proofErr w:type="spellEnd"/>
      <w:r w:rsidR="007F3F0E" w:rsidRPr="007F3F0E">
        <w:rPr>
          <w:rFonts w:ascii="Times New Roman" w:hAnsi="Times New Roman" w:cs="Times New Roman"/>
          <w:sz w:val="24"/>
          <w:szCs w:val="24"/>
        </w:rPr>
        <w:t>).</w:t>
      </w: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While in the field, if we encountered a large patch of high quality habitat &gt;500m from other survey points, a point was added in the field.  We took a digital photo of each survey point (including rejected points) showing a representative image of the habitat available.</w:t>
      </w: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Point count surveys were conducted between first light and 11:00am on mornings without precipitation, and wind &lt;10mph</w:t>
      </w:r>
      <w:r w:rsidRPr="007F3F0E">
        <w:rPr>
          <w:rFonts w:ascii="Times New Roman" w:hAnsi="Times New Roman" w:cs="Times New Roman"/>
          <w:b/>
          <w:sz w:val="24"/>
          <w:szCs w:val="24"/>
        </w:rPr>
        <w:t xml:space="preserve">. </w:t>
      </w:r>
      <w:r w:rsidRPr="007F3F0E">
        <w:rPr>
          <w:rFonts w:ascii="Times New Roman" w:hAnsi="Times New Roman" w:cs="Times New Roman"/>
          <w:sz w:val="24"/>
          <w:szCs w:val="24"/>
        </w:rPr>
        <w:t>The survey consisted of 4 minutes of passive listening followed by a 4 minute period of Bachman’s sparrow song interspersed with silence, with aggressive chip notes and song played at the end.  In addition to Bachman’s sparrows, we also recorded counts of 7 other priority species associated with fire-managed longleaf pine habitat (Table 1).</w:t>
      </w:r>
    </w:p>
    <w:p w:rsidR="0065330D" w:rsidRPr="007F3F0E" w:rsidRDefault="0065330D" w:rsidP="0065330D">
      <w:pPr>
        <w:rPr>
          <w:rFonts w:ascii="Times New Roman" w:hAnsi="Times New Roman" w:cs="Times New Roman"/>
          <w:sz w:val="24"/>
          <w:szCs w:val="24"/>
        </w:rPr>
      </w:pPr>
    </w:p>
    <w:p w:rsidR="007F3F0E" w:rsidRPr="003A131F" w:rsidRDefault="003A131F" w:rsidP="0065330D">
      <w:pPr>
        <w:rPr>
          <w:rFonts w:ascii="Times New Roman" w:hAnsi="Times New Roman" w:cs="Times New Roman"/>
          <w:sz w:val="24"/>
          <w:szCs w:val="24"/>
          <w:u w:val="single"/>
        </w:rPr>
      </w:pPr>
      <w:r w:rsidRPr="003A131F">
        <w:rPr>
          <w:rFonts w:ascii="Times New Roman" w:hAnsi="Times New Roman" w:cs="Times New Roman"/>
          <w:sz w:val="24"/>
          <w:szCs w:val="24"/>
          <w:u w:val="single"/>
        </w:rPr>
        <w:t>Results</w:t>
      </w:r>
    </w:p>
    <w:p w:rsidR="007F3F0E" w:rsidRPr="007F3F0E" w:rsidRDefault="007F3F0E" w:rsidP="007F3F0E">
      <w:pPr>
        <w:rPr>
          <w:rFonts w:ascii="Times New Roman" w:hAnsi="Times New Roman" w:cs="Times New Roman"/>
          <w:sz w:val="24"/>
          <w:szCs w:val="24"/>
        </w:rPr>
      </w:pP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 xml:space="preserve">The placement of points </w:t>
      </w:r>
      <w:r w:rsidR="003A131F">
        <w:rPr>
          <w:rFonts w:ascii="Times New Roman" w:hAnsi="Times New Roman" w:cs="Times New Roman"/>
          <w:sz w:val="24"/>
          <w:szCs w:val="24"/>
        </w:rPr>
        <w:t xml:space="preserve">combined with on-the-ground habitat assessment </w:t>
      </w:r>
      <w:r w:rsidRPr="007F3F0E">
        <w:rPr>
          <w:rFonts w:ascii="Times New Roman" w:hAnsi="Times New Roman" w:cs="Times New Roman"/>
          <w:sz w:val="24"/>
          <w:szCs w:val="24"/>
        </w:rPr>
        <w:t>provides an index of potential habitat</w:t>
      </w:r>
      <w:r w:rsidR="003A131F">
        <w:rPr>
          <w:rFonts w:ascii="Times New Roman" w:hAnsi="Times New Roman" w:cs="Times New Roman"/>
          <w:sz w:val="24"/>
          <w:szCs w:val="24"/>
        </w:rPr>
        <w:t xml:space="preserve"> across the range</w:t>
      </w:r>
      <w:r w:rsidRPr="007F3F0E">
        <w:rPr>
          <w:rFonts w:ascii="Times New Roman" w:hAnsi="Times New Roman" w:cs="Times New Roman"/>
          <w:sz w:val="24"/>
          <w:szCs w:val="24"/>
        </w:rPr>
        <w:t>.  The greatest amount of potential habitat is in the Sandhills region around Fort Bragg a</w:t>
      </w:r>
      <w:r w:rsidR="003A131F">
        <w:rPr>
          <w:rFonts w:ascii="Times New Roman" w:hAnsi="Times New Roman" w:cs="Times New Roman"/>
          <w:sz w:val="24"/>
          <w:szCs w:val="24"/>
        </w:rPr>
        <w:t>nd Sandhills Game Land (Figure 1</w:t>
      </w:r>
      <w:r w:rsidRPr="007F3F0E">
        <w:rPr>
          <w:rFonts w:ascii="Times New Roman" w:hAnsi="Times New Roman" w:cs="Times New Roman"/>
          <w:sz w:val="24"/>
          <w:szCs w:val="24"/>
        </w:rPr>
        <w:t>).  A band of potential habitat goes from SE Cumberland Co to southern Pender Co where another band of potential habitat runs along the immediate inland area of the southern coast.  A scattering of potential habitat remains in the Eastern Piedmont, but most of this consists of small habitat patches with relatively low potential for Bachman’s sparrow.  This habitat mapping exercise reveals that very little potential habitat remains in southern upper coastal plain (centered around Robeson &amp; Columbus Counties) or the upper central coastal plain (Sampson and counties and north) while potential habitat is patchily distributed along the coast.  This raises concerns over habitat connectivity and the ability of remaining Bachman’s sparrow populations to disperse across the landscape</w:t>
      </w:r>
      <w:r w:rsidR="003A131F">
        <w:rPr>
          <w:rFonts w:ascii="Times New Roman" w:hAnsi="Times New Roman" w:cs="Times New Roman"/>
          <w:sz w:val="24"/>
          <w:szCs w:val="24"/>
        </w:rPr>
        <w:t xml:space="preserve"> and find</w:t>
      </w:r>
      <w:r w:rsidRPr="007F3F0E">
        <w:rPr>
          <w:rFonts w:ascii="Times New Roman" w:hAnsi="Times New Roman" w:cs="Times New Roman"/>
          <w:sz w:val="24"/>
          <w:szCs w:val="24"/>
        </w:rPr>
        <w:t xml:space="preserve"> new habitat patches.</w:t>
      </w:r>
    </w:p>
    <w:p w:rsidR="007F3F0E" w:rsidRPr="007F3F0E" w:rsidRDefault="007F3F0E" w:rsidP="007F3F0E">
      <w:pPr>
        <w:rPr>
          <w:rFonts w:ascii="Times New Roman" w:hAnsi="Times New Roman" w:cs="Times New Roman"/>
          <w:sz w:val="24"/>
          <w:szCs w:val="24"/>
        </w:rPr>
      </w:pPr>
    </w:p>
    <w:p w:rsidR="007F3F0E" w:rsidRDefault="007F3F0E" w:rsidP="007F3F0E">
      <w:pPr>
        <w:rPr>
          <w:rFonts w:ascii="Times New Roman" w:hAnsi="Times New Roman" w:cs="Times New Roman"/>
          <w:sz w:val="24"/>
          <w:szCs w:val="24"/>
        </w:rPr>
      </w:pPr>
      <w:r w:rsidRPr="007F3F0E">
        <w:rPr>
          <w:rFonts w:ascii="Times New Roman" w:hAnsi="Times New Roman" w:cs="Times New Roman"/>
          <w:sz w:val="24"/>
          <w:szCs w:val="24"/>
        </w:rPr>
        <w:t xml:space="preserve">Figure </w:t>
      </w:r>
      <w:r w:rsidR="003A131F">
        <w:rPr>
          <w:rFonts w:ascii="Times New Roman" w:hAnsi="Times New Roman" w:cs="Times New Roman"/>
          <w:sz w:val="24"/>
          <w:szCs w:val="24"/>
        </w:rPr>
        <w:t>1</w:t>
      </w:r>
      <w:r w:rsidRPr="007F3F0E">
        <w:rPr>
          <w:rFonts w:ascii="Times New Roman" w:hAnsi="Times New Roman" w:cs="Times New Roman"/>
          <w:sz w:val="24"/>
          <w:szCs w:val="24"/>
        </w:rPr>
        <w:t xml:space="preserve">.  Potential habitat assessment for Bachman’s sparrow. </w:t>
      </w:r>
    </w:p>
    <w:p w:rsidR="003A131F" w:rsidRPr="007F3F0E" w:rsidRDefault="003A131F" w:rsidP="007F3F0E">
      <w:pPr>
        <w:rPr>
          <w:rFonts w:ascii="Times New Roman" w:hAnsi="Times New Roman" w:cs="Times New Roman"/>
          <w:sz w:val="24"/>
          <w:szCs w:val="24"/>
        </w:rPr>
      </w:pPr>
    </w:p>
    <w:p w:rsidR="007F3F0E" w:rsidRPr="007F3F0E" w:rsidRDefault="007F3F0E" w:rsidP="007F3F0E">
      <w:pPr>
        <w:rPr>
          <w:rFonts w:ascii="Times New Roman" w:hAnsi="Times New Roman" w:cs="Times New Roman"/>
          <w:sz w:val="24"/>
          <w:szCs w:val="24"/>
        </w:rPr>
      </w:pP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 xml:space="preserve">We visited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survey points placed in GIS to assess the presence of suitable habitat on the ground.  Of the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points, we rejected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(48%).  Of the points we rejected, </w:t>
      </w:r>
      <w:r w:rsidR="00B9291B">
        <w:rPr>
          <w:rFonts w:ascii="Times New Roman" w:hAnsi="Times New Roman" w:cs="Times New Roman"/>
          <w:sz w:val="24"/>
          <w:szCs w:val="24"/>
        </w:rPr>
        <w:t>x (</w:t>
      </w:r>
      <w:proofErr w:type="gramStart"/>
      <w:r w:rsidR="00B9291B">
        <w:rPr>
          <w:rFonts w:ascii="Times New Roman" w:hAnsi="Times New Roman" w:cs="Times New Roman"/>
          <w:sz w:val="24"/>
          <w:szCs w:val="24"/>
        </w:rPr>
        <w:t>x</w:t>
      </w:r>
      <w:r w:rsidRPr="007F3F0E">
        <w:rPr>
          <w:rFonts w:ascii="Times New Roman" w:hAnsi="Times New Roman" w:cs="Times New Roman"/>
          <w:sz w:val="24"/>
          <w:szCs w:val="24"/>
        </w:rPr>
        <w:t>%</w:t>
      </w:r>
      <w:proofErr w:type="gramEnd"/>
      <w:r w:rsidRPr="007F3F0E">
        <w:rPr>
          <w:rFonts w:ascii="Times New Roman" w:hAnsi="Times New Roman" w:cs="Times New Roman"/>
          <w:sz w:val="24"/>
          <w:szCs w:val="24"/>
        </w:rPr>
        <w:t xml:space="preserve">) had problems with access or excessive road noise, while </w:t>
      </w:r>
      <w:r w:rsidR="00B9291B">
        <w:rPr>
          <w:rFonts w:ascii="Times New Roman" w:hAnsi="Times New Roman" w:cs="Times New Roman"/>
          <w:sz w:val="24"/>
          <w:szCs w:val="24"/>
        </w:rPr>
        <w:t>x (x</w:t>
      </w:r>
      <w:r w:rsidRPr="007F3F0E">
        <w:rPr>
          <w:rFonts w:ascii="Times New Roman" w:hAnsi="Times New Roman" w:cs="Times New Roman"/>
          <w:sz w:val="24"/>
          <w:szCs w:val="24"/>
        </w:rPr>
        <w:t xml:space="preserve">%) were rejected because of insufficient habitat.  Of the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points with insufficient habitat,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had a dense midstory,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had a closed canopy,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w:t>
      </w:r>
      <w:r w:rsidR="00B9291B">
        <w:rPr>
          <w:rFonts w:ascii="Times New Roman" w:hAnsi="Times New Roman" w:cs="Times New Roman"/>
          <w:sz w:val="24"/>
          <w:szCs w:val="24"/>
        </w:rPr>
        <w:t>(x</w:t>
      </w:r>
      <w:r w:rsidRPr="007F3F0E">
        <w:rPr>
          <w:rFonts w:ascii="Times New Roman" w:hAnsi="Times New Roman" w:cs="Times New Roman"/>
          <w:sz w:val="24"/>
          <w:szCs w:val="24"/>
        </w:rPr>
        <w:t xml:space="preserve">%) had been converted to an incompatible land use, </w:t>
      </w:r>
      <w:r w:rsidR="00B9291B">
        <w:rPr>
          <w:rFonts w:ascii="Times New Roman" w:hAnsi="Times New Roman" w:cs="Times New Roman"/>
          <w:sz w:val="24"/>
          <w:szCs w:val="24"/>
        </w:rPr>
        <w:t>x (x%) had recently been burned, x (x</w:t>
      </w:r>
      <w:r w:rsidRPr="007F3F0E">
        <w:rPr>
          <w:rFonts w:ascii="Times New Roman" w:hAnsi="Times New Roman" w:cs="Times New Roman"/>
          <w:sz w:val="24"/>
          <w:szCs w:val="24"/>
        </w:rPr>
        <w:t xml:space="preserve">%) had recent ground disturbance, and </w:t>
      </w:r>
      <w:r w:rsidR="00B9291B">
        <w:rPr>
          <w:rFonts w:ascii="Times New Roman" w:hAnsi="Times New Roman" w:cs="Times New Roman"/>
          <w:sz w:val="24"/>
          <w:szCs w:val="24"/>
        </w:rPr>
        <w:t>x (x</w:t>
      </w:r>
      <w:r w:rsidRPr="007F3F0E">
        <w:rPr>
          <w:rFonts w:ascii="Times New Roman" w:hAnsi="Times New Roman" w:cs="Times New Roman"/>
          <w:sz w:val="24"/>
          <w:szCs w:val="24"/>
        </w:rPr>
        <w:t>%) had additional reasons to reject, ranging from habitat patch size being too small, recent forestry activity, and other misc. reasons for insufficient ground cover (note that many points had multiple reasons for being rejected so totals do not sum to 100%).</w:t>
      </w:r>
    </w:p>
    <w:p w:rsidR="00B9701B" w:rsidRDefault="00B9291B" w:rsidP="00B9291B">
      <w:pPr>
        <w:ind w:firstLine="720"/>
        <w:rPr>
          <w:rFonts w:ascii="Times New Roman" w:hAnsi="Times New Roman" w:cs="Times New Roman"/>
          <w:sz w:val="24"/>
          <w:szCs w:val="24"/>
        </w:rPr>
      </w:pPr>
      <w:r w:rsidRPr="007F3F0E">
        <w:rPr>
          <w:rFonts w:ascii="Times New Roman" w:hAnsi="Times New Roman" w:cs="Times New Roman"/>
          <w:sz w:val="24"/>
          <w:szCs w:val="24"/>
        </w:rPr>
        <w:t xml:space="preserve">We visited </w:t>
      </w:r>
      <w:r w:rsidR="00B9701B">
        <w:rPr>
          <w:rFonts w:ascii="Times New Roman" w:hAnsi="Times New Roman" w:cs="Times New Roman"/>
          <w:sz w:val="24"/>
          <w:szCs w:val="24"/>
        </w:rPr>
        <w:t>x</w:t>
      </w:r>
      <w:r w:rsidRPr="007F3F0E">
        <w:rPr>
          <w:rFonts w:ascii="Times New Roman" w:hAnsi="Times New Roman" w:cs="Times New Roman"/>
          <w:sz w:val="24"/>
          <w:szCs w:val="24"/>
        </w:rPr>
        <w:t xml:space="preserve"> historic locations (sparrow records older than 2006).  </w:t>
      </w:r>
      <w:proofErr w:type="gramStart"/>
      <w:r w:rsidR="00B9701B">
        <w:rPr>
          <w:rFonts w:ascii="Times New Roman" w:hAnsi="Times New Roman" w:cs="Times New Roman"/>
          <w:sz w:val="24"/>
          <w:szCs w:val="24"/>
        </w:rPr>
        <w:t>x</w:t>
      </w:r>
      <w:proofErr w:type="gramEnd"/>
      <w:r w:rsidRPr="007F3F0E">
        <w:rPr>
          <w:rFonts w:ascii="Times New Roman" w:hAnsi="Times New Roman" w:cs="Times New Roman"/>
          <w:sz w:val="24"/>
          <w:szCs w:val="24"/>
        </w:rPr>
        <w:t xml:space="preserve"> of the </w:t>
      </w:r>
      <w:r w:rsidR="00B9701B">
        <w:rPr>
          <w:rFonts w:ascii="Times New Roman" w:hAnsi="Times New Roman" w:cs="Times New Roman"/>
          <w:sz w:val="24"/>
          <w:szCs w:val="24"/>
        </w:rPr>
        <w:t>x locations (x</w:t>
      </w:r>
      <w:r w:rsidRPr="007F3F0E">
        <w:rPr>
          <w:rFonts w:ascii="Times New Roman" w:hAnsi="Times New Roman" w:cs="Times New Roman"/>
          <w:sz w:val="24"/>
          <w:szCs w:val="24"/>
        </w:rPr>
        <w:t>%) no longer had suitable hab</w:t>
      </w:r>
      <w:r w:rsidR="00B9701B">
        <w:rPr>
          <w:rFonts w:ascii="Times New Roman" w:hAnsi="Times New Roman" w:cs="Times New Roman"/>
          <w:sz w:val="24"/>
          <w:szCs w:val="24"/>
        </w:rPr>
        <w:t>itat.  We detected sparrows at x</w:t>
      </w:r>
      <w:r w:rsidRPr="007F3F0E">
        <w:rPr>
          <w:rFonts w:ascii="Times New Roman" w:hAnsi="Times New Roman" w:cs="Times New Roman"/>
          <w:sz w:val="24"/>
          <w:szCs w:val="24"/>
        </w:rPr>
        <w:t xml:space="preserve"> of the historic locations for a minimum persistence of </w:t>
      </w:r>
      <w:r w:rsidR="00B9701B">
        <w:rPr>
          <w:rFonts w:ascii="Times New Roman" w:hAnsi="Times New Roman" w:cs="Times New Roman"/>
          <w:sz w:val="24"/>
          <w:szCs w:val="24"/>
        </w:rPr>
        <w:t>x</w:t>
      </w:r>
      <w:r w:rsidRPr="007F3F0E">
        <w:rPr>
          <w:rFonts w:ascii="Times New Roman" w:hAnsi="Times New Roman" w:cs="Times New Roman"/>
          <w:sz w:val="24"/>
          <w:szCs w:val="24"/>
        </w:rPr>
        <w:t xml:space="preserve">%.  </w:t>
      </w:r>
      <w:r w:rsidR="00B9701B">
        <w:rPr>
          <w:rFonts w:ascii="Times New Roman" w:hAnsi="Times New Roman" w:cs="Times New Roman"/>
          <w:sz w:val="24"/>
          <w:szCs w:val="24"/>
        </w:rPr>
        <w:t>Since we were more interested in persistence of a sub-population than persistence at a given point, we assessed whether there was a recent observation within 5 miles of each historic record.  By this standard x of x historic locations had a recent observation within 5 miles. The historic records that appear to have been extirpated fall primarily on the outside edges of the distribution in NC, including the northern fall line, Triangle region, SE Piedmont, and the SW and NE edges of the lower southern coastal plain (Figure 2).</w:t>
      </w:r>
    </w:p>
    <w:p w:rsidR="00CC39D0" w:rsidRDefault="00B9291B" w:rsidP="007F3F0E">
      <w:pPr>
        <w:ind w:firstLine="720"/>
        <w:rPr>
          <w:rFonts w:ascii="Times New Roman" w:hAnsi="Times New Roman" w:cs="Times New Roman"/>
          <w:sz w:val="24"/>
          <w:szCs w:val="24"/>
        </w:rPr>
      </w:pPr>
      <w:r w:rsidRPr="007F3F0E">
        <w:rPr>
          <w:rFonts w:ascii="Times New Roman" w:hAnsi="Times New Roman" w:cs="Times New Roman"/>
          <w:sz w:val="24"/>
          <w:szCs w:val="24"/>
        </w:rPr>
        <w:t xml:space="preserve">We detected sparrows at 45 out of 275 (16%) points </w:t>
      </w:r>
      <w:r w:rsidR="00CC39D0">
        <w:rPr>
          <w:rFonts w:ascii="Times New Roman" w:hAnsi="Times New Roman" w:cs="Times New Roman"/>
          <w:sz w:val="24"/>
          <w:szCs w:val="24"/>
        </w:rPr>
        <w:t>placed in GIS and w</w:t>
      </w:r>
      <w:r w:rsidRPr="007F3F0E">
        <w:rPr>
          <w:rFonts w:ascii="Times New Roman" w:hAnsi="Times New Roman" w:cs="Times New Roman"/>
          <w:sz w:val="24"/>
          <w:szCs w:val="24"/>
        </w:rPr>
        <w:t xml:space="preserve">e detected sparrows at 3 out </w:t>
      </w:r>
      <w:r w:rsidR="00CC39D0">
        <w:rPr>
          <w:rFonts w:ascii="Times New Roman" w:hAnsi="Times New Roman" w:cs="Times New Roman"/>
          <w:sz w:val="24"/>
          <w:szCs w:val="24"/>
        </w:rPr>
        <w:t xml:space="preserve">of 58 (5%) field-added points. </w:t>
      </w:r>
      <w:r w:rsidR="007F3F0E" w:rsidRPr="007F3F0E">
        <w:rPr>
          <w:rFonts w:ascii="Times New Roman" w:hAnsi="Times New Roman" w:cs="Times New Roman"/>
          <w:sz w:val="24"/>
          <w:szCs w:val="24"/>
        </w:rPr>
        <w:t xml:space="preserve">All together, we detected a total of 81 Bachman’s sparrows at 56 of the 363 (15%) points surveyed (average 0.22 sparrows detected per point surveyed, range 0-3).  The most sparrows were detected in the Sandhills region and none in the Piedmont.  The majority of these observations were on managed lands, including Sandhills Game Land, Suggs Mill Pond Game Land, Camp </w:t>
      </w:r>
      <w:proofErr w:type="spellStart"/>
      <w:r w:rsidR="007F3F0E" w:rsidRPr="007F3F0E">
        <w:rPr>
          <w:rFonts w:ascii="Times New Roman" w:hAnsi="Times New Roman" w:cs="Times New Roman"/>
          <w:sz w:val="24"/>
          <w:szCs w:val="24"/>
        </w:rPr>
        <w:t>Mackall</w:t>
      </w:r>
      <w:proofErr w:type="spellEnd"/>
      <w:r w:rsidR="007F3F0E" w:rsidRPr="007F3F0E">
        <w:rPr>
          <w:rFonts w:ascii="Times New Roman" w:hAnsi="Times New Roman" w:cs="Times New Roman"/>
          <w:sz w:val="24"/>
          <w:szCs w:val="24"/>
        </w:rPr>
        <w:t xml:space="preserve">, Fort Bragg, Weymouth Woods State Nature Preserve, Croatan National Forest, and two different preserves managed by The Nature Conservancy.  </w:t>
      </w:r>
    </w:p>
    <w:p w:rsidR="00CC39D0"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 xml:space="preserve">A few Bachman’s sparrows were found on private land in longleaf thinned heavily in advance of development construction with a </w:t>
      </w:r>
      <w:proofErr w:type="spellStart"/>
      <w:r w:rsidRPr="007F3F0E">
        <w:rPr>
          <w:rFonts w:ascii="Times New Roman" w:hAnsi="Times New Roman" w:cs="Times New Roman"/>
          <w:sz w:val="24"/>
          <w:szCs w:val="24"/>
        </w:rPr>
        <w:t>broomstraw</w:t>
      </w:r>
      <w:proofErr w:type="spellEnd"/>
      <w:r w:rsidRPr="007F3F0E">
        <w:rPr>
          <w:rFonts w:ascii="Times New Roman" w:hAnsi="Times New Roman" w:cs="Times New Roman"/>
          <w:sz w:val="24"/>
          <w:szCs w:val="24"/>
        </w:rPr>
        <w:t xml:space="preserve"> (</w:t>
      </w:r>
      <w:proofErr w:type="spellStart"/>
      <w:r w:rsidRPr="007F3F0E">
        <w:rPr>
          <w:rFonts w:ascii="Times New Roman" w:hAnsi="Times New Roman" w:cs="Times New Roman"/>
          <w:i/>
          <w:iCs/>
          <w:sz w:val="24"/>
          <w:szCs w:val="24"/>
        </w:rPr>
        <w:t>Andropogon</w:t>
      </w:r>
      <w:proofErr w:type="spellEnd"/>
      <w:r w:rsidRPr="007F3F0E">
        <w:rPr>
          <w:rFonts w:ascii="Times New Roman" w:hAnsi="Times New Roman" w:cs="Times New Roman"/>
          <w:sz w:val="24"/>
          <w:szCs w:val="24"/>
        </w:rPr>
        <w:t xml:space="preserve"> </w:t>
      </w:r>
      <w:proofErr w:type="spellStart"/>
      <w:r w:rsidRPr="007F3F0E">
        <w:rPr>
          <w:rFonts w:ascii="Times New Roman" w:hAnsi="Times New Roman" w:cs="Times New Roman"/>
          <w:sz w:val="24"/>
          <w:szCs w:val="24"/>
        </w:rPr>
        <w:t>spp</w:t>
      </w:r>
      <w:proofErr w:type="spellEnd"/>
      <w:r w:rsidRPr="007F3F0E">
        <w:rPr>
          <w:rFonts w:ascii="Times New Roman" w:hAnsi="Times New Roman" w:cs="Times New Roman"/>
          <w:sz w:val="24"/>
          <w:szCs w:val="24"/>
        </w:rPr>
        <w:t xml:space="preserve">) dominated understory- two instances in Moore Co and another in Brunswick Co. </w:t>
      </w: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 xml:space="preserve">Several Bachman’s sparrows were detected on the Moss Foundation, a large privately owned longleaf forest in Moore County managed with fire for equestrian activities and enrolled in the Safe Harbor program.  Bachman’s sparrows were detected on </w:t>
      </w:r>
      <w:r w:rsidR="00CC39D0">
        <w:rPr>
          <w:rFonts w:ascii="Times New Roman" w:hAnsi="Times New Roman" w:cs="Times New Roman"/>
          <w:sz w:val="24"/>
          <w:szCs w:val="24"/>
        </w:rPr>
        <w:t>x</w:t>
      </w:r>
      <w:r w:rsidRPr="007F3F0E">
        <w:rPr>
          <w:rFonts w:ascii="Times New Roman" w:hAnsi="Times New Roman" w:cs="Times New Roman"/>
          <w:sz w:val="24"/>
          <w:szCs w:val="24"/>
        </w:rPr>
        <w:t xml:space="preserve"> additional private properties managed with fire under the Safe Harbor program.  </w:t>
      </w:r>
    </w:p>
    <w:p w:rsidR="007F3F0E" w:rsidRPr="007F3F0E" w:rsidRDefault="00CC39D0" w:rsidP="007F3F0E">
      <w:pPr>
        <w:ind w:firstLine="720"/>
        <w:rPr>
          <w:rFonts w:ascii="Times New Roman" w:hAnsi="Times New Roman" w:cs="Times New Roman"/>
          <w:sz w:val="24"/>
          <w:szCs w:val="24"/>
        </w:rPr>
      </w:pPr>
      <w:r>
        <w:rPr>
          <w:rFonts w:ascii="Times New Roman" w:hAnsi="Times New Roman" w:cs="Times New Roman"/>
          <w:sz w:val="24"/>
          <w:szCs w:val="24"/>
        </w:rPr>
        <w:t>X of x</w:t>
      </w:r>
      <w:r w:rsidR="00554254">
        <w:rPr>
          <w:rFonts w:ascii="Times New Roman" w:hAnsi="Times New Roman" w:cs="Times New Roman"/>
          <w:sz w:val="24"/>
          <w:szCs w:val="24"/>
        </w:rPr>
        <w:t xml:space="preserve"> sparrow</w:t>
      </w:r>
      <w:r>
        <w:rPr>
          <w:rFonts w:ascii="Times New Roman" w:hAnsi="Times New Roman" w:cs="Times New Roman"/>
          <w:sz w:val="24"/>
          <w:szCs w:val="24"/>
        </w:rPr>
        <w:t xml:space="preserve"> </w:t>
      </w:r>
      <w:r w:rsidR="007F3F0E" w:rsidRPr="007F3F0E">
        <w:rPr>
          <w:rFonts w:ascii="Times New Roman" w:hAnsi="Times New Roman" w:cs="Times New Roman"/>
          <w:sz w:val="24"/>
          <w:szCs w:val="24"/>
        </w:rPr>
        <w:t xml:space="preserve">observations </w:t>
      </w:r>
      <w:r>
        <w:rPr>
          <w:rFonts w:ascii="Times New Roman" w:hAnsi="Times New Roman" w:cs="Times New Roman"/>
          <w:sz w:val="24"/>
          <w:szCs w:val="24"/>
        </w:rPr>
        <w:t xml:space="preserve">(91%) </w:t>
      </w:r>
      <w:r w:rsidR="007F3F0E" w:rsidRPr="007F3F0E">
        <w:rPr>
          <w:rFonts w:ascii="Times New Roman" w:hAnsi="Times New Roman" w:cs="Times New Roman"/>
          <w:sz w:val="24"/>
          <w:szCs w:val="24"/>
        </w:rPr>
        <w:t>with habitat data were in l</w:t>
      </w:r>
      <w:r>
        <w:rPr>
          <w:rFonts w:ascii="Times New Roman" w:hAnsi="Times New Roman" w:cs="Times New Roman"/>
          <w:sz w:val="24"/>
          <w:szCs w:val="24"/>
        </w:rPr>
        <w:t>ongleaf pine forest, the other 7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 </w:t>
      </w:r>
      <w:r w:rsidR="007F3F0E" w:rsidRPr="007F3F0E">
        <w:rPr>
          <w:rFonts w:ascii="Times New Roman" w:hAnsi="Times New Roman" w:cs="Times New Roman"/>
          <w:sz w:val="24"/>
          <w:szCs w:val="24"/>
        </w:rPr>
        <w:t xml:space="preserve">were in other pine </w:t>
      </w:r>
      <w:r>
        <w:rPr>
          <w:rFonts w:ascii="Times New Roman" w:hAnsi="Times New Roman" w:cs="Times New Roman"/>
          <w:sz w:val="24"/>
          <w:szCs w:val="24"/>
        </w:rPr>
        <w:t>woodlands</w:t>
      </w:r>
      <w:r w:rsidR="007F3F0E" w:rsidRPr="007F3F0E">
        <w:rPr>
          <w:rFonts w:ascii="Times New Roman" w:hAnsi="Times New Roman" w:cs="Times New Roman"/>
          <w:sz w:val="24"/>
          <w:szCs w:val="24"/>
        </w:rPr>
        <w:t xml:space="preserve">.  </w:t>
      </w:r>
      <w:r>
        <w:rPr>
          <w:rFonts w:ascii="Times New Roman" w:hAnsi="Times New Roman" w:cs="Times New Roman"/>
          <w:sz w:val="24"/>
          <w:szCs w:val="24"/>
        </w:rPr>
        <w:t xml:space="preserve">We </w:t>
      </w:r>
      <w:r w:rsidR="00554254">
        <w:rPr>
          <w:rFonts w:ascii="Times New Roman" w:hAnsi="Times New Roman" w:cs="Times New Roman"/>
          <w:sz w:val="24"/>
          <w:szCs w:val="24"/>
        </w:rPr>
        <w:t>observed</w:t>
      </w:r>
      <w:r>
        <w:rPr>
          <w:rFonts w:ascii="Times New Roman" w:hAnsi="Times New Roman" w:cs="Times New Roman"/>
          <w:sz w:val="24"/>
          <w:szCs w:val="24"/>
        </w:rPr>
        <w:t xml:space="preserve"> one sparrow </w:t>
      </w:r>
      <w:r w:rsidR="007F3F0E" w:rsidRPr="007F3F0E">
        <w:rPr>
          <w:rFonts w:ascii="Times New Roman" w:hAnsi="Times New Roman" w:cs="Times New Roman"/>
          <w:sz w:val="24"/>
          <w:szCs w:val="24"/>
        </w:rPr>
        <w:t xml:space="preserve">in a </w:t>
      </w:r>
      <w:proofErr w:type="spellStart"/>
      <w:r w:rsidR="007F3F0E" w:rsidRPr="007F3F0E">
        <w:rPr>
          <w:rFonts w:ascii="Times New Roman" w:hAnsi="Times New Roman" w:cs="Times New Roman"/>
          <w:sz w:val="24"/>
          <w:szCs w:val="24"/>
        </w:rPr>
        <w:t>clearcut</w:t>
      </w:r>
      <w:proofErr w:type="spellEnd"/>
      <w:r w:rsidR="007F3F0E" w:rsidRPr="007F3F0E">
        <w:rPr>
          <w:rFonts w:ascii="Times New Roman" w:hAnsi="Times New Roman" w:cs="Times New Roman"/>
          <w:sz w:val="24"/>
          <w:szCs w:val="24"/>
        </w:rPr>
        <w:t>/young loblolly plantation which had been burned the year before.</w:t>
      </w:r>
      <w:r>
        <w:rPr>
          <w:rFonts w:ascii="Times New Roman" w:hAnsi="Times New Roman" w:cs="Times New Roman"/>
          <w:sz w:val="24"/>
          <w:szCs w:val="24"/>
        </w:rPr>
        <w:t xml:space="preserve">  Other than that, there were no observations </w:t>
      </w:r>
      <w:r w:rsidR="00554254">
        <w:rPr>
          <w:rFonts w:ascii="Times New Roman" w:hAnsi="Times New Roman" w:cs="Times New Roman"/>
          <w:sz w:val="24"/>
          <w:szCs w:val="24"/>
        </w:rPr>
        <w:t xml:space="preserve">in </w:t>
      </w:r>
      <w:proofErr w:type="spellStart"/>
      <w:r w:rsidR="00554254">
        <w:rPr>
          <w:rFonts w:ascii="Times New Roman" w:hAnsi="Times New Roman" w:cs="Times New Roman"/>
          <w:sz w:val="24"/>
          <w:szCs w:val="24"/>
        </w:rPr>
        <w:t>clearcut</w:t>
      </w:r>
      <w:proofErr w:type="spellEnd"/>
      <w:r w:rsidR="00554254">
        <w:rPr>
          <w:rFonts w:ascii="Times New Roman" w:hAnsi="Times New Roman" w:cs="Times New Roman"/>
          <w:sz w:val="24"/>
          <w:szCs w:val="24"/>
        </w:rPr>
        <w:t xml:space="preserve">, old field, or </w:t>
      </w:r>
      <w:proofErr w:type="spellStart"/>
      <w:r w:rsidR="00554254">
        <w:rPr>
          <w:rFonts w:ascii="Times New Roman" w:hAnsi="Times New Roman" w:cs="Times New Roman"/>
          <w:sz w:val="24"/>
          <w:szCs w:val="24"/>
        </w:rPr>
        <w:t>powerline</w:t>
      </w:r>
      <w:proofErr w:type="spellEnd"/>
      <w:r w:rsidR="00554254">
        <w:rPr>
          <w:rFonts w:ascii="Times New Roman" w:hAnsi="Times New Roman" w:cs="Times New Roman"/>
          <w:sz w:val="24"/>
          <w:szCs w:val="24"/>
        </w:rPr>
        <w:t xml:space="preserve"> habitats. X of x (91%) sparrow observations with fire history data were at locations with evidence of recent fire (i.e. fire scars on trees, wiregrass flowering, or other evidence of fire within the last ~4 years).</w:t>
      </w: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lastRenderedPageBreak/>
        <w:t xml:space="preserve">We surveyed many private land locations where herbaceous ground cover was present but no Bachman’s sparrows were detected, including quite a few sites close to (&lt;5 miles) existing sparrow populations.  In most of these cases the herbaceous groundcover was created by mechanical means (timber cutting, mowing, </w:t>
      </w:r>
      <w:proofErr w:type="spellStart"/>
      <w:r w:rsidRPr="007F3F0E">
        <w:rPr>
          <w:rFonts w:ascii="Times New Roman" w:hAnsi="Times New Roman" w:cs="Times New Roman"/>
          <w:sz w:val="24"/>
          <w:szCs w:val="24"/>
        </w:rPr>
        <w:t>etc</w:t>
      </w:r>
      <w:proofErr w:type="spellEnd"/>
      <w:r w:rsidRPr="007F3F0E">
        <w:rPr>
          <w:rFonts w:ascii="Times New Roman" w:hAnsi="Times New Roman" w:cs="Times New Roman"/>
          <w:sz w:val="24"/>
          <w:szCs w:val="24"/>
        </w:rPr>
        <w:t>) and very few are managed with fire.  Most of the locations where Bachman’s sparrows were found are managed with fire, and it may be that fire plays a critical role in altering micro-habitat conditions, such as litter depth.</w:t>
      </w:r>
    </w:p>
    <w:p w:rsidR="007F3F0E" w:rsidRPr="007F3F0E" w:rsidRDefault="007F3F0E" w:rsidP="007F3F0E">
      <w:pPr>
        <w:ind w:firstLine="720"/>
        <w:rPr>
          <w:rFonts w:ascii="Times New Roman" w:hAnsi="Times New Roman" w:cs="Times New Roman"/>
          <w:sz w:val="24"/>
          <w:szCs w:val="24"/>
        </w:rPr>
      </w:pPr>
      <w:r w:rsidRPr="007F3F0E">
        <w:rPr>
          <w:rFonts w:ascii="Times New Roman" w:hAnsi="Times New Roman" w:cs="Times New Roman"/>
          <w:sz w:val="24"/>
          <w:szCs w:val="24"/>
        </w:rPr>
        <w:t>The most abundant of our “secondary species” was prairie warbler which was found at 192 out of 350 points (55%) with an overall average of 0.99 birds detected per point (range 0-6, Table 1).  The next most commonly detected of our secondary species was brown-headed nuthatch, detected at 119 points (34%) with an average of 0.49 birds detected per point (range 0-5, Table 1).  Red-cockaded woodpecker was detected at 10 points (9 in the Sandhills and 1 in the Southern Coastal Plain).</w:t>
      </w:r>
    </w:p>
    <w:p w:rsidR="007F3F0E" w:rsidRPr="007F3F0E" w:rsidRDefault="007F3F0E" w:rsidP="007F3F0E">
      <w:pPr>
        <w:rPr>
          <w:rFonts w:ascii="Times New Roman" w:hAnsi="Times New Roman" w:cs="Times New Roman"/>
          <w:sz w:val="24"/>
          <w:szCs w:val="24"/>
        </w:rPr>
      </w:pPr>
    </w:p>
    <w:p w:rsidR="007F3F0E" w:rsidRPr="007F3F0E" w:rsidRDefault="007F3F0E" w:rsidP="007F3F0E">
      <w:pPr>
        <w:rPr>
          <w:rFonts w:ascii="Times New Roman" w:hAnsi="Times New Roman" w:cs="Times New Roman"/>
          <w:sz w:val="24"/>
          <w:szCs w:val="24"/>
        </w:rPr>
      </w:pPr>
      <w:r w:rsidRPr="007F3F0E">
        <w:rPr>
          <w:rFonts w:ascii="Times New Roman" w:hAnsi="Times New Roman" w:cs="Times New Roman"/>
          <w:sz w:val="24"/>
          <w:szCs w:val="24"/>
        </w:rPr>
        <w:t>Table 1.  Secondary species observed during 8 minute point count: average number of birds detected per point in 2012. PRAW = prairie warbler, BHNU = brown-headed nuthatch, NOBO = northern bobwhite, RHWO = red-headed woodpecker, FISP = field sparrow, RCWO = red-cockaded woodpecker, LOSH = loggerhead shrike.</w:t>
      </w:r>
    </w:p>
    <w:tbl>
      <w:tblPr>
        <w:tblW w:w="9825" w:type="dxa"/>
        <w:tblInd w:w="93" w:type="dxa"/>
        <w:tblLook w:val="04A0" w:firstRow="1" w:lastRow="0" w:firstColumn="1" w:lastColumn="0" w:noHBand="0" w:noVBand="1"/>
      </w:tblPr>
      <w:tblGrid>
        <w:gridCol w:w="2355"/>
        <w:gridCol w:w="990"/>
        <w:gridCol w:w="990"/>
        <w:gridCol w:w="990"/>
        <w:gridCol w:w="900"/>
        <w:gridCol w:w="990"/>
        <w:gridCol w:w="900"/>
        <w:gridCol w:w="936"/>
        <w:gridCol w:w="843"/>
      </w:tblGrid>
      <w:tr w:rsidR="007F3F0E" w:rsidRPr="007F3F0E" w:rsidTr="007D3633">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3F0E" w:rsidRPr="007F3F0E" w:rsidRDefault="007F3F0E" w:rsidP="007D3633">
            <w:pP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Region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 points</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PRAW</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BHNU</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NOBO</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RHWO</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FISP</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RCWO</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u w:val="single"/>
              </w:rPr>
            </w:pPr>
            <w:r w:rsidRPr="007F3F0E">
              <w:rPr>
                <w:rFonts w:ascii="Times New Roman" w:hAnsi="Times New Roman" w:cs="Times New Roman"/>
                <w:color w:val="000000"/>
                <w:sz w:val="24"/>
                <w:szCs w:val="24"/>
                <w:u w:val="single"/>
              </w:rPr>
              <w:t>LOSH</w:t>
            </w:r>
          </w:p>
        </w:tc>
      </w:tr>
      <w:tr w:rsidR="007F3F0E" w:rsidRPr="007F3F0E" w:rsidTr="007D3633">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7F3F0E" w:rsidRPr="007F3F0E" w:rsidRDefault="007F3F0E" w:rsidP="007D3633">
            <w:pPr>
              <w:rPr>
                <w:rFonts w:ascii="Times New Roman" w:hAnsi="Times New Roman" w:cs="Times New Roman"/>
                <w:color w:val="000000"/>
                <w:sz w:val="24"/>
                <w:szCs w:val="24"/>
              </w:rPr>
            </w:pPr>
            <w:r w:rsidRPr="007F3F0E">
              <w:rPr>
                <w:rFonts w:ascii="Times New Roman" w:hAnsi="Times New Roman" w:cs="Times New Roman"/>
                <w:color w:val="000000"/>
                <w:sz w:val="24"/>
                <w:szCs w:val="24"/>
              </w:rPr>
              <w:t>Piedmont</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43</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0.721</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0.233</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0.047</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0.023</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0.186</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0.000</w:t>
            </w:r>
          </w:p>
        </w:tc>
        <w:tc>
          <w:tcPr>
            <w:tcW w:w="81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0.000</w:t>
            </w:r>
          </w:p>
        </w:tc>
      </w:tr>
      <w:tr w:rsidR="007F3F0E" w:rsidRPr="007F3F0E" w:rsidTr="007D3633">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7F3F0E" w:rsidRPr="007F3F0E" w:rsidRDefault="007F3F0E" w:rsidP="007D3633">
            <w:pPr>
              <w:rPr>
                <w:rFonts w:ascii="Times New Roman" w:hAnsi="Times New Roman" w:cs="Times New Roman"/>
                <w:color w:val="000000"/>
                <w:sz w:val="24"/>
                <w:szCs w:val="24"/>
              </w:rPr>
            </w:pPr>
            <w:r w:rsidRPr="007F3F0E">
              <w:rPr>
                <w:rFonts w:ascii="Times New Roman" w:hAnsi="Times New Roman" w:cs="Times New Roman"/>
                <w:color w:val="000000"/>
                <w:sz w:val="24"/>
                <w:szCs w:val="24"/>
              </w:rPr>
              <w:t>Sandhills</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284</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0.996</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0.542</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0.268</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0.225</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0.158</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0.049</w:t>
            </w:r>
          </w:p>
        </w:tc>
        <w:tc>
          <w:tcPr>
            <w:tcW w:w="81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0.004</w:t>
            </w:r>
          </w:p>
        </w:tc>
      </w:tr>
      <w:tr w:rsidR="007F3F0E" w:rsidRPr="007F3F0E" w:rsidTr="007D3633">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7F3F0E" w:rsidRPr="007F3F0E" w:rsidRDefault="007F3F0E" w:rsidP="007D3633">
            <w:pPr>
              <w:rPr>
                <w:rFonts w:ascii="Times New Roman" w:hAnsi="Times New Roman" w:cs="Times New Roman"/>
                <w:color w:val="000000"/>
                <w:sz w:val="24"/>
                <w:szCs w:val="24"/>
              </w:rPr>
            </w:pPr>
            <w:r w:rsidRPr="007F3F0E">
              <w:rPr>
                <w:rFonts w:ascii="Times New Roman" w:hAnsi="Times New Roman" w:cs="Times New Roman"/>
                <w:color w:val="000000"/>
                <w:sz w:val="24"/>
                <w:szCs w:val="24"/>
              </w:rPr>
              <w:t>Southern Coastal Plain</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23</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1.478</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0.348</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0.217</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0.261</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0.000</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0.043</w:t>
            </w:r>
          </w:p>
        </w:tc>
        <w:tc>
          <w:tcPr>
            <w:tcW w:w="81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0.000</w:t>
            </w:r>
          </w:p>
        </w:tc>
      </w:tr>
      <w:tr w:rsidR="007F3F0E" w:rsidRPr="007F3F0E" w:rsidTr="007D3633">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7F3F0E" w:rsidRPr="007F3F0E" w:rsidRDefault="007F3F0E" w:rsidP="007D3633">
            <w:pPr>
              <w:rPr>
                <w:rFonts w:ascii="Times New Roman" w:hAnsi="Times New Roman" w:cs="Times New Roman"/>
                <w:color w:val="000000"/>
                <w:sz w:val="24"/>
                <w:szCs w:val="24"/>
              </w:rPr>
            </w:pPr>
            <w:r w:rsidRPr="007F3F0E">
              <w:rPr>
                <w:rFonts w:ascii="Times New Roman" w:hAnsi="Times New Roman" w:cs="Times New Roman"/>
                <w:color w:val="000000"/>
                <w:sz w:val="24"/>
                <w:szCs w:val="24"/>
              </w:rPr>
              <w:t>Grand Average</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350</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0.994</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0.491</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0.237</w:t>
            </w:r>
          </w:p>
        </w:tc>
        <w:tc>
          <w:tcPr>
            <w:tcW w:w="99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0.203</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0.151</w:t>
            </w:r>
          </w:p>
        </w:tc>
        <w:tc>
          <w:tcPr>
            <w:tcW w:w="90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0.043</w:t>
            </w:r>
          </w:p>
        </w:tc>
        <w:tc>
          <w:tcPr>
            <w:tcW w:w="810" w:type="dxa"/>
            <w:tcBorders>
              <w:top w:val="nil"/>
              <w:left w:val="nil"/>
              <w:bottom w:val="single" w:sz="4" w:space="0" w:color="auto"/>
              <w:right w:val="single" w:sz="4" w:space="0" w:color="auto"/>
            </w:tcBorders>
            <w:shd w:val="clear" w:color="auto" w:fill="auto"/>
            <w:noWrap/>
            <w:vAlign w:val="bottom"/>
            <w:hideMark/>
          </w:tcPr>
          <w:p w:rsidR="007F3F0E" w:rsidRPr="007F3F0E" w:rsidRDefault="007F3F0E" w:rsidP="007D3633">
            <w:pPr>
              <w:jc w:val="center"/>
              <w:rPr>
                <w:rFonts w:ascii="Times New Roman" w:hAnsi="Times New Roman" w:cs="Times New Roman"/>
                <w:color w:val="000000"/>
                <w:sz w:val="24"/>
                <w:szCs w:val="24"/>
              </w:rPr>
            </w:pPr>
            <w:r w:rsidRPr="007F3F0E">
              <w:rPr>
                <w:rFonts w:ascii="Times New Roman" w:hAnsi="Times New Roman" w:cs="Times New Roman"/>
                <w:color w:val="000000"/>
                <w:sz w:val="24"/>
                <w:szCs w:val="24"/>
              </w:rPr>
              <w:t>0.003</w:t>
            </w:r>
          </w:p>
        </w:tc>
        <w:bookmarkStart w:id="0" w:name="_GoBack"/>
        <w:bookmarkEnd w:id="0"/>
      </w:tr>
    </w:tbl>
    <w:p w:rsidR="007F3F0E" w:rsidRPr="007F3F0E" w:rsidRDefault="007F3F0E" w:rsidP="0065330D">
      <w:pPr>
        <w:rPr>
          <w:rFonts w:ascii="Times New Roman" w:hAnsi="Times New Roman" w:cs="Times New Roman"/>
          <w:sz w:val="24"/>
          <w:szCs w:val="24"/>
        </w:rPr>
      </w:pPr>
    </w:p>
    <w:p w:rsidR="007F3F0E" w:rsidRPr="007F3F0E" w:rsidRDefault="007F3F0E" w:rsidP="0065330D">
      <w:pPr>
        <w:rPr>
          <w:rFonts w:ascii="Times New Roman" w:hAnsi="Times New Roman" w:cs="Times New Roman"/>
          <w:sz w:val="24"/>
          <w:szCs w:val="24"/>
        </w:rPr>
      </w:pPr>
    </w:p>
    <w:p w:rsidR="00BE4328" w:rsidRDefault="00BE4328" w:rsidP="00554254">
      <w:pPr>
        <w:ind w:firstLine="720"/>
        <w:rPr>
          <w:rFonts w:ascii="Times New Roman" w:hAnsi="Times New Roman" w:cs="Times New Roman"/>
          <w:sz w:val="24"/>
          <w:szCs w:val="24"/>
        </w:rPr>
      </w:pPr>
      <w:r w:rsidRPr="007F3F0E">
        <w:rPr>
          <w:rFonts w:ascii="Times New Roman" w:hAnsi="Times New Roman" w:cs="Times New Roman"/>
          <w:sz w:val="24"/>
          <w:szCs w:val="24"/>
        </w:rPr>
        <w:t xml:space="preserve">We </w:t>
      </w:r>
      <w:r w:rsidR="00554254">
        <w:rPr>
          <w:rFonts w:ascii="Times New Roman" w:hAnsi="Times New Roman" w:cs="Times New Roman"/>
          <w:sz w:val="24"/>
          <w:szCs w:val="24"/>
        </w:rPr>
        <w:t xml:space="preserve">sent letters to </w:t>
      </w:r>
      <w:r w:rsidRPr="007F3F0E">
        <w:rPr>
          <w:rFonts w:ascii="Times New Roman" w:hAnsi="Times New Roman" w:cs="Times New Roman"/>
          <w:sz w:val="24"/>
          <w:szCs w:val="24"/>
        </w:rPr>
        <w:t>over 100 private landowners detailing the results of the survey, offering suggestions for enhancing habitat on their property, and providing a list of resources for technical and financial assistance for landowners.  So far at least one landowner has acted on our suggestions for habitat improvement, several are planning to continue beneficial practices that they already started, and several others have asked for more information or are considering our recommendations.</w:t>
      </w:r>
    </w:p>
    <w:p w:rsidR="00554254" w:rsidRDefault="00554254" w:rsidP="00554254">
      <w:pPr>
        <w:ind w:firstLine="720"/>
        <w:rPr>
          <w:rFonts w:ascii="Times New Roman" w:hAnsi="Times New Roman" w:cs="Times New Roman"/>
          <w:sz w:val="24"/>
          <w:szCs w:val="24"/>
        </w:rPr>
      </w:pPr>
      <w:r>
        <w:rPr>
          <w:rFonts w:ascii="Times New Roman" w:hAnsi="Times New Roman" w:cs="Times New Roman"/>
          <w:sz w:val="24"/>
          <w:szCs w:val="24"/>
        </w:rPr>
        <w:t>Plans for 2014 include analyzing data, presenting preliminary results to multiple stakeholders, completing the state-wide status assessment in the spring of 2014, and starting a conservation/recovery plan.</w:t>
      </w:r>
    </w:p>
    <w:p w:rsidR="00917032" w:rsidRDefault="00917032">
      <w:pPr>
        <w:rPr>
          <w:rFonts w:ascii="Times New Roman" w:hAnsi="Times New Roman" w:cs="Times New Roman"/>
          <w:sz w:val="24"/>
          <w:szCs w:val="24"/>
        </w:rPr>
      </w:pPr>
    </w:p>
    <w:p w:rsidR="00917032" w:rsidRPr="00F232B0" w:rsidRDefault="00917032">
      <w:pPr>
        <w:rPr>
          <w:rFonts w:ascii="Times New Roman" w:hAnsi="Times New Roman" w:cs="Times New Roman"/>
          <w:sz w:val="24"/>
          <w:szCs w:val="24"/>
          <w:u w:val="single"/>
        </w:rPr>
      </w:pPr>
      <w:r w:rsidRPr="00F232B0">
        <w:rPr>
          <w:rFonts w:ascii="Times New Roman" w:hAnsi="Times New Roman" w:cs="Times New Roman"/>
          <w:sz w:val="24"/>
          <w:szCs w:val="24"/>
          <w:u w:val="single"/>
        </w:rPr>
        <w:t>Literature Cited</w:t>
      </w:r>
    </w:p>
    <w:p w:rsidR="00917032" w:rsidRPr="00F232B0" w:rsidRDefault="00917032" w:rsidP="00917032">
      <w:pPr>
        <w:shd w:val="clear" w:color="auto" w:fill="FFFFFF"/>
        <w:spacing w:after="288" w:line="288" w:lineRule="auto"/>
        <w:rPr>
          <w:rFonts w:ascii="Times New Roman" w:hAnsi="Times New Roman" w:cs="Times New Roman"/>
          <w:sz w:val="24"/>
          <w:szCs w:val="24"/>
          <w:lang w:val="en"/>
        </w:rPr>
      </w:pPr>
      <w:r w:rsidRPr="00F232B0">
        <w:rPr>
          <w:rFonts w:ascii="Times New Roman" w:hAnsi="Times New Roman" w:cs="Times New Roman"/>
          <w:sz w:val="24"/>
          <w:szCs w:val="24"/>
          <w:lang w:val="en"/>
        </w:rPr>
        <w:t>Dunning, John B. 2006. Bachman's Sparrow (</w:t>
      </w:r>
      <w:proofErr w:type="spellStart"/>
      <w:r w:rsidRPr="00F232B0">
        <w:rPr>
          <w:rStyle w:val="genus"/>
          <w:rFonts w:ascii="Times New Roman" w:hAnsi="Times New Roman" w:cs="Times New Roman"/>
          <w:sz w:val="24"/>
          <w:szCs w:val="24"/>
          <w:lang w:val="en"/>
        </w:rPr>
        <w:t>Peucaea</w:t>
      </w:r>
      <w:proofErr w:type="spellEnd"/>
      <w:r w:rsidRPr="00F232B0">
        <w:rPr>
          <w:rFonts w:ascii="Times New Roman" w:hAnsi="Times New Roman" w:cs="Times New Roman"/>
          <w:sz w:val="24"/>
          <w:szCs w:val="24"/>
          <w:lang w:val="en"/>
        </w:rPr>
        <w:t xml:space="preserve"> </w:t>
      </w:r>
      <w:proofErr w:type="spellStart"/>
      <w:r w:rsidRPr="00F232B0">
        <w:rPr>
          <w:rStyle w:val="species"/>
          <w:rFonts w:ascii="Times New Roman" w:hAnsi="Times New Roman" w:cs="Times New Roman"/>
          <w:sz w:val="24"/>
          <w:szCs w:val="24"/>
          <w:lang w:val="en"/>
        </w:rPr>
        <w:t>aestivalis</w:t>
      </w:r>
      <w:proofErr w:type="spellEnd"/>
      <w:r w:rsidRPr="00F232B0">
        <w:rPr>
          <w:rFonts w:ascii="Times New Roman" w:hAnsi="Times New Roman" w:cs="Times New Roman"/>
          <w:sz w:val="24"/>
          <w:szCs w:val="24"/>
          <w:lang w:val="en"/>
        </w:rPr>
        <w:t xml:space="preserve">), The Birds of North America Online (A. Poole, Ed.). Ithaca: Cornell Lab of Ornithology; Retrieved from the Birds of North America Online: </w:t>
      </w:r>
      <w:hyperlink r:id="rId6" w:history="1">
        <w:r w:rsidRPr="00F232B0">
          <w:rPr>
            <w:rStyle w:val="Hyperlink"/>
            <w:rFonts w:ascii="Times New Roman" w:hAnsi="Times New Roman" w:cs="Times New Roman"/>
            <w:color w:val="auto"/>
            <w:sz w:val="24"/>
            <w:szCs w:val="24"/>
            <w:lang w:val="en"/>
          </w:rPr>
          <w:t>http://bna.birds.cornell.edu/bna/species/038</w:t>
        </w:r>
      </w:hyperlink>
      <w:r w:rsidR="00F232B0">
        <w:rPr>
          <w:rFonts w:ascii="Times New Roman" w:hAnsi="Times New Roman" w:cs="Times New Roman"/>
          <w:sz w:val="24"/>
          <w:szCs w:val="24"/>
          <w:lang w:val="en"/>
        </w:rPr>
        <w:t xml:space="preserve">; </w:t>
      </w:r>
      <w:hyperlink r:id="rId7" w:history="1">
        <w:r w:rsidRPr="00F232B0">
          <w:rPr>
            <w:rStyle w:val="Hyperlink"/>
            <w:rFonts w:ascii="Times New Roman" w:hAnsi="Times New Roman" w:cs="Times New Roman"/>
            <w:color w:val="auto"/>
            <w:sz w:val="24"/>
            <w:szCs w:val="24"/>
            <w:lang w:val="en"/>
          </w:rPr>
          <w:t>doi:10.2173/bna.38</w:t>
        </w:r>
      </w:hyperlink>
    </w:p>
    <w:p w:rsidR="00F232B0" w:rsidRDefault="00F232B0">
      <w:pPr>
        <w:rPr>
          <w:rFonts w:ascii="Times New Roman" w:hAnsi="Times New Roman" w:cs="Times New Roman"/>
          <w:sz w:val="24"/>
          <w:szCs w:val="24"/>
          <w:lang w:val="en"/>
        </w:rPr>
      </w:pPr>
      <w:r w:rsidRPr="00F232B0">
        <w:rPr>
          <w:rFonts w:ascii="Times New Roman" w:hAnsi="Times New Roman" w:cs="Times New Roman"/>
          <w:sz w:val="24"/>
          <w:szCs w:val="24"/>
          <w:lang w:val="en"/>
        </w:rPr>
        <w:lastRenderedPageBreak/>
        <w:t>Dunning and Watts 1990</w:t>
      </w:r>
    </w:p>
    <w:p w:rsidR="00F232B0" w:rsidRPr="00F232B0" w:rsidRDefault="00F232B0">
      <w:pPr>
        <w:rPr>
          <w:rFonts w:ascii="Times New Roman" w:hAnsi="Times New Roman" w:cs="Times New Roman"/>
          <w:sz w:val="24"/>
          <w:szCs w:val="24"/>
          <w:lang w:val="en"/>
        </w:rPr>
      </w:pPr>
    </w:p>
    <w:p w:rsidR="00F232B0" w:rsidRDefault="00F232B0">
      <w:pPr>
        <w:rPr>
          <w:rFonts w:ascii="Times New Roman" w:hAnsi="Times New Roman" w:cs="Times New Roman"/>
          <w:sz w:val="24"/>
          <w:szCs w:val="24"/>
          <w:lang w:val="en"/>
        </w:rPr>
      </w:pPr>
      <w:r w:rsidRPr="00F232B0">
        <w:rPr>
          <w:rFonts w:ascii="Times New Roman" w:hAnsi="Times New Roman" w:cs="Times New Roman"/>
          <w:sz w:val="24"/>
          <w:szCs w:val="24"/>
          <w:lang w:val="en"/>
        </w:rPr>
        <w:t>Dunning and Watts 1991</w:t>
      </w:r>
    </w:p>
    <w:p w:rsidR="00F232B0" w:rsidRPr="00F232B0" w:rsidRDefault="00F232B0">
      <w:pPr>
        <w:rPr>
          <w:rFonts w:ascii="Times New Roman" w:hAnsi="Times New Roman" w:cs="Times New Roman"/>
          <w:sz w:val="24"/>
          <w:szCs w:val="24"/>
          <w:lang w:val="en"/>
        </w:rPr>
      </w:pPr>
    </w:p>
    <w:p w:rsidR="00917032" w:rsidRPr="00F232B0" w:rsidRDefault="00F232B0">
      <w:pPr>
        <w:rPr>
          <w:rFonts w:ascii="Times New Roman" w:hAnsi="Times New Roman" w:cs="Times New Roman"/>
          <w:sz w:val="24"/>
          <w:szCs w:val="24"/>
          <w:lang w:val="en"/>
        </w:rPr>
      </w:pPr>
      <w:r w:rsidRPr="00F232B0">
        <w:rPr>
          <w:rFonts w:ascii="Times New Roman" w:hAnsi="Times New Roman" w:cs="Times New Roman"/>
          <w:sz w:val="24"/>
          <w:szCs w:val="24"/>
          <w:lang w:val="en"/>
        </w:rPr>
        <w:t>Dunning et al. 2000</w:t>
      </w:r>
    </w:p>
    <w:p w:rsidR="00F232B0" w:rsidRPr="00F232B0" w:rsidRDefault="00F232B0">
      <w:pPr>
        <w:rPr>
          <w:rFonts w:ascii="Times New Roman" w:hAnsi="Times New Roman" w:cs="Times New Roman"/>
          <w:sz w:val="24"/>
          <w:szCs w:val="24"/>
        </w:rPr>
      </w:pPr>
    </w:p>
    <w:p w:rsidR="00F232B0" w:rsidRPr="00F232B0" w:rsidRDefault="00F232B0">
      <w:pPr>
        <w:rPr>
          <w:rFonts w:ascii="Times New Roman" w:hAnsi="Times New Roman" w:cs="Times New Roman"/>
          <w:sz w:val="24"/>
          <w:szCs w:val="24"/>
          <w:lang w:val="en"/>
        </w:rPr>
      </w:pPr>
      <w:r w:rsidRPr="00F232B0">
        <w:rPr>
          <w:rFonts w:ascii="Times New Roman" w:hAnsi="Times New Roman" w:cs="Times New Roman"/>
          <w:sz w:val="24"/>
          <w:szCs w:val="24"/>
          <w:lang w:val="en"/>
        </w:rPr>
        <w:t>Haggerty 1986</w:t>
      </w:r>
    </w:p>
    <w:p w:rsidR="00F232B0" w:rsidRPr="00F232B0" w:rsidRDefault="00F232B0">
      <w:pPr>
        <w:rPr>
          <w:rFonts w:ascii="Times New Roman" w:hAnsi="Times New Roman" w:cs="Times New Roman"/>
          <w:sz w:val="24"/>
          <w:szCs w:val="24"/>
        </w:rPr>
      </w:pPr>
    </w:p>
    <w:p w:rsidR="00917032" w:rsidRDefault="00917032">
      <w:pPr>
        <w:rPr>
          <w:rStyle w:val="Emphasis"/>
          <w:rFonts w:ascii="Times New Roman" w:hAnsi="Times New Roman" w:cs="Times New Roman"/>
          <w:sz w:val="24"/>
          <w:szCs w:val="24"/>
        </w:rPr>
      </w:pPr>
      <w:r w:rsidRPr="00F232B0">
        <w:rPr>
          <w:rFonts w:ascii="Times New Roman" w:hAnsi="Times New Roman" w:cs="Times New Roman"/>
          <w:sz w:val="24"/>
          <w:szCs w:val="24"/>
        </w:rPr>
        <w:t xml:space="preserve">Sauer, J. R., J. E. Hines, J. E. Fallon, K. L. </w:t>
      </w:r>
      <w:proofErr w:type="spellStart"/>
      <w:r w:rsidRPr="00F232B0">
        <w:rPr>
          <w:rFonts w:ascii="Times New Roman" w:hAnsi="Times New Roman" w:cs="Times New Roman"/>
          <w:sz w:val="24"/>
          <w:szCs w:val="24"/>
        </w:rPr>
        <w:t>Pardieck</w:t>
      </w:r>
      <w:proofErr w:type="spellEnd"/>
      <w:r w:rsidRPr="00F232B0">
        <w:rPr>
          <w:rFonts w:ascii="Times New Roman" w:hAnsi="Times New Roman" w:cs="Times New Roman"/>
          <w:sz w:val="24"/>
          <w:szCs w:val="24"/>
        </w:rPr>
        <w:t xml:space="preserve">, D. J. </w:t>
      </w:r>
      <w:proofErr w:type="spellStart"/>
      <w:r w:rsidRPr="00F232B0">
        <w:rPr>
          <w:rFonts w:ascii="Times New Roman" w:hAnsi="Times New Roman" w:cs="Times New Roman"/>
          <w:sz w:val="24"/>
          <w:szCs w:val="24"/>
        </w:rPr>
        <w:t>Ziolkowski</w:t>
      </w:r>
      <w:proofErr w:type="spellEnd"/>
      <w:r w:rsidRPr="00F232B0">
        <w:rPr>
          <w:rFonts w:ascii="Times New Roman" w:hAnsi="Times New Roman" w:cs="Times New Roman"/>
          <w:sz w:val="24"/>
          <w:szCs w:val="24"/>
        </w:rPr>
        <w:t xml:space="preserve">, Jr., and W. A. Link. 2012. </w:t>
      </w:r>
      <w:r w:rsidRPr="00F232B0">
        <w:rPr>
          <w:rStyle w:val="Emphasis"/>
          <w:rFonts w:ascii="Times New Roman" w:hAnsi="Times New Roman" w:cs="Times New Roman"/>
          <w:sz w:val="24"/>
          <w:szCs w:val="24"/>
        </w:rPr>
        <w:t xml:space="preserve">The North American Breeding Bird Survey, Results and Analysis 1966 - 2011. Version 07.03.2013 </w:t>
      </w:r>
      <w:hyperlink r:id="rId8" w:history="1">
        <w:r w:rsidRPr="00F232B0">
          <w:rPr>
            <w:rStyle w:val="Hyperlink"/>
            <w:rFonts w:ascii="Times New Roman" w:hAnsi="Times New Roman" w:cs="Times New Roman"/>
            <w:i/>
            <w:iCs/>
            <w:color w:val="auto"/>
            <w:sz w:val="24"/>
            <w:szCs w:val="24"/>
          </w:rPr>
          <w:t>USGS Patuxent Wildlife Research Center</w:t>
        </w:r>
      </w:hyperlink>
      <w:r w:rsidRPr="00F232B0">
        <w:rPr>
          <w:rStyle w:val="Emphasis"/>
          <w:rFonts w:ascii="Times New Roman" w:hAnsi="Times New Roman" w:cs="Times New Roman"/>
          <w:sz w:val="24"/>
          <w:szCs w:val="24"/>
        </w:rPr>
        <w:t>, Laurel, MD</w:t>
      </w:r>
    </w:p>
    <w:p w:rsidR="001A297E" w:rsidRDefault="001A297E">
      <w:pPr>
        <w:rPr>
          <w:rStyle w:val="Emphasis"/>
          <w:rFonts w:ascii="Times New Roman" w:hAnsi="Times New Roman" w:cs="Times New Roman"/>
          <w:sz w:val="24"/>
          <w:szCs w:val="24"/>
        </w:rPr>
      </w:pPr>
    </w:p>
    <w:p w:rsidR="001A297E" w:rsidRDefault="001A297E">
      <w:pPr>
        <w:rPr>
          <w:rStyle w:val="Emphasis"/>
          <w:rFonts w:ascii="Times New Roman" w:hAnsi="Times New Roman" w:cs="Times New Roman"/>
          <w:sz w:val="24"/>
          <w:szCs w:val="24"/>
        </w:rPr>
      </w:pPr>
    </w:p>
    <w:p w:rsidR="001A297E" w:rsidRDefault="001A297E">
      <w:pPr>
        <w:rPr>
          <w:rStyle w:val="Emphasis"/>
          <w:rFonts w:ascii="Times New Roman" w:hAnsi="Times New Roman" w:cs="Times New Roman"/>
          <w:sz w:val="24"/>
          <w:szCs w:val="24"/>
        </w:rPr>
      </w:pPr>
    </w:p>
    <w:p w:rsidR="001A297E" w:rsidRDefault="001A297E">
      <w:pPr>
        <w:rPr>
          <w:rStyle w:val="Emphasis"/>
          <w:rFonts w:ascii="Times New Roman" w:hAnsi="Times New Roman" w:cs="Times New Roman"/>
          <w:sz w:val="24"/>
          <w:szCs w:val="24"/>
        </w:rPr>
      </w:pPr>
    </w:p>
    <w:p w:rsidR="001A297E" w:rsidRPr="00F232B0" w:rsidRDefault="001A297E">
      <w:pPr>
        <w:rPr>
          <w:rFonts w:ascii="Times New Roman" w:hAnsi="Times New Roman" w:cs="Times New Roman"/>
          <w:sz w:val="24"/>
          <w:szCs w:val="24"/>
        </w:rPr>
      </w:pPr>
      <w:r>
        <w:rPr>
          <w:rStyle w:val="Emphasis"/>
          <w:rFonts w:ascii="Times New Roman" w:hAnsi="Times New Roman" w:cs="Times New Roman"/>
          <w:sz w:val="24"/>
          <w:szCs w:val="24"/>
        </w:rPr>
        <w:t>Appendix (analysis code)</w:t>
      </w:r>
    </w:p>
    <w:sectPr w:rsidR="001A297E" w:rsidRPr="00F2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74735"/>
    <w:multiLevelType w:val="hybridMultilevel"/>
    <w:tmpl w:val="10305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D66"/>
    <w:rsid w:val="00030106"/>
    <w:rsid w:val="0009162F"/>
    <w:rsid w:val="001524A7"/>
    <w:rsid w:val="00172B80"/>
    <w:rsid w:val="001901F3"/>
    <w:rsid w:val="001A297E"/>
    <w:rsid w:val="00332ED0"/>
    <w:rsid w:val="003A131F"/>
    <w:rsid w:val="003C6109"/>
    <w:rsid w:val="00463943"/>
    <w:rsid w:val="00554254"/>
    <w:rsid w:val="005C3F7B"/>
    <w:rsid w:val="0065330D"/>
    <w:rsid w:val="0069319A"/>
    <w:rsid w:val="006B5DCE"/>
    <w:rsid w:val="0076685F"/>
    <w:rsid w:val="007F3F0E"/>
    <w:rsid w:val="00917032"/>
    <w:rsid w:val="00B47FE8"/>
    <w:rsid w:val="00B82141"/>
    <w:rsid w:val="00B9291B"/>
    <w:rsid w:val="00B9701B"/>
    <w:rsid w:val="00BE4328"/>
    <w:rsid w:val="00CC20DD"/>
    <w:rsid w:val="00CC39D0"/>
    <w:rsid w:val="00D25C9E"/>
    <w:rsid w:val="00D8460C"/>
    <w:rsid w:val="00E04D66"/>
    <w:rsid w:val="00EF7C6D"/>
    <w:rsid w:val="00F1791B"/>
    <w:rsid w:val="00F232B0"/>
    <w:rsid w:val="00F6537E"/>
    <w:rsid w:val="00FD2138"/>
    <w:rsid w:val="00FD6527"/>
    <w:rsid w:val="00FF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F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0E"/>
    <w:rPr>
      <w:rFonts w:ascii="Tahoma" w:hAnsi="Tahoma" w:cs="Tahoma"/>
      <w:sz w:val="16"/>
      <w:szCs w:val="16"/>
    </w:rPr>
  </w:style>
  <w:style w:type="character" w:customStyle="1" w:styleId="st1">
    <w:name w:val="st1"/>
    <w:basedOn w:val="DefaultParagraphFont"/>
    <w:rsid w:val="007F3F0E"/>
  </w:style>
  <w:style w:type="paragraph" w:styleId="ListParagraph">
    <w:name w:val="List Paragraph"/>
    <w:basedOn w:val="Normal"/>
    <w:uiPriority w:val="34"/>
    <w:qFormat/>
    <w:rsid w:val="00172B80"/>
    <w:pPr>
      <w:ind w:left="720"/>
      <w:contextualSpacing/>
    </w:pPr>
  </w:style>
  <w:style w:type="character" w:styleId="Hyperlink">
    <w:name w:val="Hyperlink"/>
    <w:basedOn w:val="DefaultParagraphFont"/>
    <w:uiPriority w:val="99"/>
    <w:semiHidden/>
    <w:unhideWhenUsed/>
    <w:rsid w:val="00917032"/>
    <w:rPr>
      <w:color w:val="800000"/>
      <w:u w:val="single"/>
    </w:rPr>
  </w:style>
  <w:style w:type="character" w:styleId="Emphasis">
    <w:name w:val="Emphasis"/>
    <w:basedOn w:val="DefaultParagraphFont"/>
    <w:uiPriority w:val="20"/>
    <w:qFormat/>
    <w:rsid w:val="00917032"/>
    <w:rPr>
      <w:i/>
      <w:iCs/>
    </w:rPr>
  </w:style>
  <w:style w:type="character" w:customStyle="1" w:styleId="genus">
    <w:name w:val="genus"/>
    <w:basedOn w:val="DefaultParagraphFont"/>
    <w:rsid w:val="00917032"/>
  </w:style>
  <w:style w:type="character" w:customStyle="1" w:styleId="species">
    <w:name w:val="species"/>
    <w:basedOn w:val="DefaultParagraphFont"/>
    <w:rsid w:val="00917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F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0E"/>
    <w:rPr>
      <w:rFonts w:ascii="Tahoma" w:hAnsi="Tahoma" w:cs="Tahoma"/>
      <w:sz w:val="16"/>
      <w:szCs w:val="16"/>
    </w:rPr>
  </w:style>
  <w:style w:type="character" w:customStyle="1" w:styleId="st1">
    <w:name w:val="st1"/>
    <w:basedOn w:val="DefaultParagraphFont"/>
    <w:rsid w:val="007F3F0E"/>
  </w:style>
  <w:style w:type="paragraph" w:styleId="ListParagraph">
    <w:name w:val="List Paragraph"/>
    <w:basedOn w:val="Normal"/>
    <w:uiPriority w:val="34"/>
    <w:qFormat/>
    <w:rsid w:val="00172B80"/>
    <w:pPr>
      <w:ind w:left="720"/>
      <w:contextualSpacing/>
    </w:pPr>
  </w:style>
  <w:style w:type="character" w:styleId="Hyperlink">
    <w:name w:val="Hyperlink"/>
    <w:basedOn w:val="DefaultParagraphFont"/>
    <w:uiPriority w:val="99"/>
    <w:semiHidden/>
    <w:unhideWhenUsed/>
    <w:rsid w:val="00917032"/>
    <w:rPr>
      <w:color w:val="800000"/>
      <w:u w:val="single"/>
    </w:rPr>
  </w:style>
  <w:style w:type="character" w:styleId="Emphasis">
    <w:name w:val="Emphasis"/>
    <w:basedOn w:val="DefaultParagraphFont"/>
    <w:uiPriority w:val="20"/>
    <w:qFormat/>
    <w:rsid w:val="00917032"/>
    <w:rPr>
      <w:i/>
      <w:iCs/>
    </w:rPr>
  </w:style>
  <w:style w:type="character" w:customStyle="1" w:styleId="genus">
    <w:name w:val="genus"/>
    <w:basedOn w:val="DefaultParagraphFont"/>
    <w:rsid w:val="00917032"/>
  </w:style>
  <w:style w:type="character" w:customStyle="1" w:styleId="species">
    <w:name w:val="species"/>
    <w:basedOn w:val="DefaultParagraphFont"/>
    <w:rsid w:val="0091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823648">
      <w:bodyDiv w:val="1"/>
      <w:marLeft w:val="0"/>
      <w:marRight w:val="0"/>
      <w:marTop w:val="0"/>
      <w:marBottom w:val="0"/>
      <w:divBdr>
        <w:top w:val="none" w:sz="0" w:space="0" w:color="auto"/>
        <w:left w:val="none" w:sz="0" w:space="0" w:color="auto"/>
        <w:bottom w:val="none" w:sz="0" w:space="0" w:color="auto"/>
        <w:right w:val="none" w:sz="0" w:space="0" w:color="auto"/>
      </w:divBdr>
      <w:divsChild>
        <w:div w:id="2014800679">
          <w:marLeft w:val="0"/>
          <w:marRight w:val="0"/>
          <w:marTop w:val="0"/>
          <w:marBottom w:val="0"/>
          <w:divBdr>
            <w:top w:val="none" w:sz="0" w:space="0" w:color="auto"/>
            <w:left w:val="none" w:sz="0" w:space="0" w:color="auto"/>
            <w:bottom w:val="single" w:sz="6" w:space="8" w:color="FFFFFF"/>
            <w:right w:val="none" w:sz="0" w:space="0" w:color="auto"/>
          </w:divBdr>
          <w:divsChild>
            <w:div w:id="1346593532">
              <w:marLeft w:val="0"/>
              <w:marRight w:val="0"/>
              <w:marTop w:val="0"/>
              <w:marBottom w:val="0"/>
              <w:divBdr>
                <w:top w:val="none" w:sz="0" w:space="0" w:color="auto"/>
                <w:left w:val="none" w:sz="0" w:space="0" w:color="auto"/>
                <w:bottom w:val="none" w:sz="0" w:space="0" w:color="auto"/>
                <w:right w:val="none" w:sz="0" w:space="0" w:color="auto"/>
              </w:divBdr>
              <w:divsChild>
                <w:div w:id="1417819645">
                  <w:marLeft w:val="0"/>
                  <w:marRight w:val="0"/>
                  <w:marTop w:val="0"/>
                  <w:marBottom w:val="0"/>
                  <w:divBdr>
                    <w:top w:val="none" w:sz="0" w:space="0" w:color="auto"/>
                    <w:left w:val="none" w:sz="0" w:space="0" w:color="auto"/>
                    <w:bottom w:val="none" w:sz="0" w:space="0" w:color="auto"/>
                    <w:right w:val="none" w:sz="0" w:space="0" w:color="auto"/>
                  </w:divBdr>
                  <w:divsChild>
                    <w:div w:id="1794669532">
                      <w:marLeft w:val="0"/>
                      <w:marRight w:val="0"/>
                      <w:marTop w:val="0"/>
                      <w:marBottom w:val="0"/>
                      <w:divBdr>
                        <w:top w:val="none" w:sz="0" w:space="0" w:color="auto"/>
                        <w:left w:val="none" w:sz="0" w:space="0" w:color="auto"/>
                        <w:bottom w:val="none" w:sz="0" w:space="0" w:color="auto"/>
                        <w:right w:val="none" w:sz="0" w:space="0" w:color="auto"/>
                      </w:divBdr>
                      <w:divsChild>
                        <w:div w:id="251596600">
                          <w:marLeft w:val="0"/>
                          <w:marRight w:val="0"/>
                          <w:marTop w:val="300"/>
                          <w:marBottom w:val="300"/>
                          <w:divBdr>
                            <w:top w:val="none" w:sz="0" w:space="0" w:color="auto"/>
                            <w:left w:val="none" w:sz="0" w:space="0" w:color="auto"/>
                            <w:bottom w:val="none" w:sz="0" w:space="0" w:color="auto"/>
                            <w:right w:val="none" w:sz="0" w:space="0" w:color="auto"/>
                          </w:divBdr>
                          <w:divsChild>
                            <w:div w:id="1562248736">
                              <w:marLeft w:val="0"/>
                              <w:marRight w:val="0"/>
                              <w:marTop w:val="0"/>
                              <w:marBottom w:val="0"/>
                              <w:divBdr>
                                <w:top w:val="none" w:sz="0" w:space="0" w:color="auto"/>
                                <w:left w:val="none" w:sz="0" w:space="0" w:color="auto"/>
                                <w:bottom w:val="none" w:sz="0" w:space="0" w:color="auto"/>
                                <w:right w:val="none" w:sz="0" w:space="0" w:color="auto"/>
                              </w:divBdr>
                              <w:divsChild>
                                <w:div w:id="1384451689">
                                  <w:marLeft w:val="0"/>
                                  <w:marRight w:val="0"/>
                                  <w:marTop w:val="0"/>
                                  <w:marBottom w:val="0"/>
                                  <w:divBdr>
                                    <w:top w:val="none" w:sz="0" w:space="0" w:color="auto"/>
                                    <w:left w:val="none" w:sz="0" w:space="0" w:color="auto"/>
                                    <w:bottom w:val="none" w:sz="0" w:space="0" w:color="auto"/>
                                    <w:right w:val="none" w:sz="0" w:space="0" w:color="auto"/>
                                  </w:divBdr>
                                  <w:divsChild>
                                    <w:div w:id="1206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8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wrc.usgs.gov/" TargetMode="External"/><Relationship Id="rId3" Type="http://schemas.microsoft.com/office/2007/relationships/stylesWithEffects" Target="stylesWithEffects.xml"/><Relationship Id="rId7" Type="http://schemas.openxmlformats.org/officeDocument/2006/relationships/hyperlink" Target="http://dx.doi.org/10.2173/bna.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na.birds.cornell.edu/bna/species/03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NCWRC</Company>
  <LinksUpToDate>false</LinksUpToDate>
  <CharactersWithSpaces>15598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Marcus</dc:creator>
  <cp:keywords/>
  <dc:description/>
  <cp:lastModifiedBy>Scott</cp:lastModifiedBy>
  <cp:revision>14</cp:revision>
  <dcterms:created xsi:type="dcterms:W3CDTF">2014-01-13T22:01:00Z</dcterms:created>
  <dcterms:modified xsi:type="dcterms:W3CDTF">2014-02-20T21:59:00Z</dcterms:modified>
</cp:coreProperties>
</file>