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1C9254" w14:textId="257F4ED0" w:rsidR="00A66157" w:rsidRPr="004F7636" w:rsidRDefault="00A66157" w:rsidP="00A66157">
      <w:pPr>
        <w:spacing w:line="480" w:lineRule="auto"/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</w:pPr>
      <w:r w:rsidRPr="004F7636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Title: </w:t>
      </w:r>
      <w:proofErr w:type="spellStart"/>
      <w:r w:rsidR="00B306E0">
        <w:rPr>
          <w:rFonts w:ascii="Arial" w:hAnsi="Arial" w:cs="Arial"/>
          <w:bCs/>
          <w:color w:val="000000"/>
          <w:sz w:val="22"/>
          <w:szCs w:val="22"/>
          <w:shd w:val="clear" w:color="auto" w:fill="FFFFFF"/>
        </w:rPr>
        <w:t>Clingon</w:t>
      </w:r>
      <w:proofErr w:type="spellEnd"/>
      <w:r w:rsidR="00B306E0">
        <w:rPr>
          <w:rFonts w:ascii="Arial" w:hAnsi="Arial" w:cs="Arial"/>
          <w:bCs/>
          <w:color w:val="000000"/>
          <w:sz w:val="22"/>
          <w:szCs w:val="22"/>
          <w:shd w:val="clear" w:color="auto" w:fill="FFFFFF"/>
        </w:rPr>
        <w:t>: combining clonal and expression-based lineage trajectories for T cell analysis</w:t>
      </w:r>
    </w:p>
    <w:p w14:paraId="4D1ACCD3" w14:textId="1F8469A2" w:rsidR="00A66157" w:rsidRPr="004F7636" w:rsidRDefault="00A66157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 w:rsidRPr="004F7636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Author:</w:t>
      </w:r>
      <w:r w:rsidRPr="004F7636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Nicholas Borcherding</w:t>
      </w:r>
      <w:r w:rsidRPr="004F7636">
        <w:rPr>
          <w:rFonts w:ascii="Arial" w:hAnsi="Arial" w:cs="Arial"/>
          <w:color w:val="000000"/>
          <w:sz w:val="22"/>
          <w:szCs w:val="22"/>
          <w:shd w:val="clear" w:color="auto" w:fill="FFFFFF"/>
          <w:vertAlign w:val="superscript"/>
        </w:rPr>
        <w:t>1</w:t>
      </w:r>
    </w:p>
    <w:p w14:paraId="1BF3E97B" w14:textId="4BFD2CBD" w:rsidR="00A66157" w:rsidRPr="004F7636" w:rsidRDefault="00B306E0" w:rsidP="00A66157">
      <w:pPr>
        <w:spacing w:line="48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:vertAlign w:val="superscript"/>
        </w:rPr>
        <w:t>1</w:t>
      </w:r>
      <w:r w:rsidRPr="004F7636">
        <w:rPr>
          <w:rFonts w:ascii="Arial" w:hAnsi="Arial" w:cs="Arial"/>
          <w:color w:val="000000" w:themeColor="text1"/>
          <w:sz w:val="22"/>
          <w:szCs w:val="22"/>
          <w:vertAlign w:val="superscript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>Department of Pathology and Immunology</w:t>
      </w:r>
    </w:p>
    <w:p w14:paraId="59A29B54" w14:textId="56406C0E" w:rsidR="00A66157" w:rsidRPr="004F7636" w:rsidRDefault="00B306E0" w:rsidP="00B306E0">
      <w:pPr>
        <w:spacing w:line="480" w:lineRule="auto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Washington University</w:t>
      </w:r>
    </w:p>
    <w:p w14:paraId="2FB4222F" w14:textId="5D756D8F" w:rsidR="00A66157" w:rsidRPr="004F7636" w:rsidRDefault="00B306E0" w:rsidP="00A66157">
      <w:pPr>
        <w:spacing w:line="480" w:lineRule="auto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660 S. Euclid Ave</w:t>
      </w:r>
    </w:p>
    <w:p w14:paraId="2C90412A" w14:textId="04D1CBD3" w:rsidR="00A66157" w:rsidRPr="004F7636" w:rsidRDefault="00B306E0" w:rsidP="00A66157">
      <w:pPr>
        <w:spacing w:line="480" w:lineRule="auto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St Louis, MO</w:t>
      </w:r>
      <w:r w:rsidR="00A66157" w:rsidRPr="004F763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63110</w:t>
      </w:r>
    </w:p>
    <w:p w14:paraId="405F1D52" w14:textId="310B5859" w:rsidR="00A66157" w:rsidRPr="004F7636" w:rsidRDefault="00B306E0" w:rsidP="00A66157">
      <w:pPr>
        <w:spacing w:line="480" w:lineRule="auto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borcherding.n@wustl.edu</w:t>
      </w:r>
    </w:p>
    <w:p w14:paraId="14810ECF" w14:textId="77777777" w:rsidR="00A66157" w:rsidRPr="004F7636" w:rsidRDefault="00A66157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3621E2D5" w14:textId="77777777" w:rsidR="00A66157" w:rsidRPr="004F7636" w:rsidRDefault="00A66157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4D07D1BB" w14:textId="77777777" w:rsidR="00A66157" w:rsidRPr="004F7636" w:rsidRDefault="00A66157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4005D04B" w14:textId="77777777" w:rsidR="00A66157" w:rsidRPr="004F7636" w:rsidRDefault="00A66157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3A14B386" w14:textId="77777777" w:rsidR="00A66157" w:rsidRPr="004F7636" w:rsidRDefault="00A66157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4737F332" w14:textId="60275818" w:rsidR="00A66157" w:rsidRDefault="00A66157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606B7246" w14:textId="150BD44E" w:rsidR="00B306E0" w:rsidRDefault="00B306E0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01DC64E5" w14:textId="7F174D46" w:rsidR="00B306E0" w:rsidRDefault="00B306E0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3BFC7D74" w14:textId="6065A1D5" w:rsidR="00B306E0" w:rsidRDefault="00B306E0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35FE484A" w14:textId="7728058A" w:rsidR="00B306E0" w:rsidRDefault="00B306E0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556963FC" w14:textId="472DA745" w:rsidR="00B306E0" w:rsidRDefault="00B306E0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3D76CB0C" w14:textId="1158620E" w:rsidR="00B306E0" w:rsidRDefault="00B306E0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06B66CA2" w14:textId="1F724983" w:rsidR="00B306E0" w:rsidRDefault="00B306E0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7E7AE514" w14:textId="4BB31CD6" w:rsidR="00B306E0" w:rsidRDefault="00B306E0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31661F3A" w14:textId="35C8B39C" w:rsidR="00B306E0" w:rsidRDefault="00B306E0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6F9F42B5" w14:textId="77777777" w:rsidR="00B306E0" w:rsidRPr="004F7636" w:rsidRDefault="00B306E0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73A9898D" w14:textId="77777777" w:rsidR="00A66157" w:rsidRPr="004F7636" w:rsidRDefault="00A66157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4879A4FF" w14:textId="77777777" w:rsidR="00A66157" w:rsidRPr="004F7636" w:rsidRDefault="00A66157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7DBBB0B0" w14:textId="77777777" w:rsidR="00A66157" w:rsidRPr="004F7636" w:rsidRDefault="00A66157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5F2A8130" w14:textId="53EA3FB2" w:rsidR="00A66157" w:rsidRPr="004F7636" w:rsidRDefault="00A66157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  <w:sectPr w:rsidR="00A66157" w:rsidRPr="004F7636" w:rsidSect="00D541FD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8DC1BE" w14:textId="539D8470" w:rsidR="00A66157" w:rsidRDefault="00A66157" w:rsidP="00A66157">
      <w:pPr>
        <w:spacing w:line="480" w:lineRule="auto"/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</w:pPr>
      <w:r w:rsidRPr="004F7636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lastRenderedPageBreak/>
        <w:t>Abstract</w:t>
      </w:r>
    </w:p>
    <w:p w14:paraId="5CEEAA02" w14:textId="7B2E1790" w:rsidR="00707A51" w:rsidRPr="00707A51" w:rsidRDefault="00707A51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 w:rsidRPr="00707A51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Single-cell sequencing technologies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has given rise to a breadth of research into immunological heterogeneity in both physiologic and pathologic processes.</w:t>
      </w:r>
      <w:r w:rsidR="007E5D84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Newer </w:t>
      </w:r>
      <w:r w:rsidR="007E5D84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assays and workflows have been developed that can quantify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both gene and sequence information for the T cell receptor (TCR)</w:t>
      </w:r>
      <w:r w:rsidR="007E5D84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for individual T cells. </w:t>
      </w:r>
      <w:r w:rsidR="007E5D84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The coupling of </w:t>
      </w:r>
      <w:proofErr w:type="spellStart"/>
      <w:r w:rsidR="007E5D84">
        <w:rPr>
          <w:rFonts w:ascii="Arial" w:hAnsi="Arial" w:cs="Arial"/>
          <w:color w:val="000000"/>
          <w:sz w:val="22"/>
          <w:szCs w:val="22"/>
          <w:shd w:val="clear" w:color="auto" w:fill="FFFFFF"/>
        </w:rPr>
        <w:t>mutli-omic</w:t>
      </w:r>
      <w:proofErr w:type="spellEnd"/>
      <w:r w:rsidR="007E5D84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single-cell data is a major focus of the field</w:t>
      </w:r>
      <w:r w:rsidR="007E5D84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in not only attaching the multi-level quantifications but using the levels to drive analytical pipelines.</w:t>
      </w:r>
      <w:r w:rsidR="00781FA5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In order to use clonality and TCR motif enrichment as a metric for single-cell lineage analysis, we developed </w:t>
      </w:r>
      <w:proofErr w:type="spellStart"/>
      <w:r w:rsidR="00781FA5">
        <w:rPr>
          <w:rFonts w:ascii="Arial" w:hAnsi="Arial" w:cs="Arial"/>
          <w:color w:val="000000"/>
          <w:sz w:val="22"/>
          <w:szCs w:val="22"/>
          <w:shd w:val="clear" w:color="auto" w:fill="FFFFFF"/>
        </w:rPr>
        <w:t>clingon</w:t>
      </w:r>
      <w:proofErr w:type="spellEnd"/>
      <w:r w:rsidR="00781FA5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, a convergence-based clonal quantification approach that is then used as weights to calculate a minimal-spanning tree. </w:t>
      </w:r>
    </w:p>
    <w:p w14:paraId="4D78313E" w14:textId="77777777" w:rsidR="00A66157" w:rsidRPr="004F7636" w:rsidRDefault="00A66157" w:rsidP="00A66157">
      <w:pPr>
        <w:spacing w:line="480" w:lineRule="auto"/>
        <w:rPr>
          <w:rFonts w:ascii="Arial" w:hAnsi="Arial" w:cs="Arial"/>
          <w:sz w:val="22"/>
          <w:szCs w:val="22"/>
        </w:rPr>
      </w:pPr>
    </w:p>
    <w:p w14:paraId="299A0779" w14:textId="77777777" w:rsidR="00A66157" w:rsidRPr="004F7636" w:rsidRDefault="00A66157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3E13E258" w14:textId="33A3C361" w:rsidR="00A66157" w:rsidRPr="004F7636" w:rsidRDefault="00A66157" w:rsidP="00A66157">
      <w:pPr>
        <w:spacing w:line="480" w:lineRule="auto"/>
        <w:rPr>
          <w:rFonts w:ascii="Arial" w:hAnsi="Arial" w:cs="Arial"/>
          <w:b/>
          <w:sz w:val="22"/>
          <w:szCs w:val="22"/>
        </w:rPr>
      </w:pPr>
      <w:r w:rsidRPr="004F7636">
        <w:rPr>
          <w:rFonts w:ascii="Arial" w:hAnsi="Arial" w:cs="Arial"/>
          <w:b/>
          <w:sz w:val="22"/>
          <w:szCs w:val="22"/>
        </w:rPr>
        <w:t>Key words:</w:t>
      </w:r>
      <w:r w:rsidRPr="004F7636">
        <w:rPr>
          <w:rFonts w:ascii="Arial" w:hAnsi="Arial" w:cs="Arial"/>
          <w:sz w:val="22"/>
          <w:szCs w:val="22"/>
        </w:rPr>
        <w:t xml:space="preserve"> </w:t>
      </w:r>
      <w:r w:rsidR="00B306E0">
        <w:rPr>
          <w:rFonts w:ascii="Arial" w:hAnsi="Arial" w:cs="Arial"/>
          <w:sz w:val="22"/>
          <w:szCs w:val="22"/>
        </w:rPr>
        <w:t>Single-cell, T cell, clonality, R</w:t>
      </w:r>
    </w:p>
    <w:p w14:paraId="46977B32" w14:textId="77777777" w:rsidR="00A66157" w:rsidRPr="004F7636" w:rsidRDefault="00A66157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1D3DE306" w14:textId="0FA02747" w:rsidR="002254E1" w:rsidRDefault="002254E1" w:rsidP="00A66157">
      <w:pPr>
        <w:spacing w:line="480" w:lineRule="auto"/>
        <w:rPr>
          <w:rFonts w:ascii="Arial" w:hAnsi="Arial" w:cs="Arial"/>
          <w:sz w:val="22"/>
          <w:szCs w:val="22"/>
        </w:rPr>
      </w:pPr>
    </w:p>
    <w:p w14:paraId="0E0F8A37" w14:textId="05361509" w:rsidR="000A7032" w:rsidRDefault="000A7032" w:rsidP="00A66157">
      <w:pPr>
        <w:spacing w:line="480" w:lineRule="auto"/>
        <w:rPr>
          <w:rFonts w:ascii="Arial" w:hAnsi="Arial" w:cs="Arial"/>
          <w:sz w:val="22"/>
          <w:szCs w:val="22"/>
        </w:rPr>
      </w:pPr>
    </w:p>
    <w:p w14:paraId="06D19E77" w14:textId="32B8E471" w:rsidR="000A7032" w:rsidRDefault="000A7032" w:rsidP="00A66157">
      <w:pPr>
        <w:spacing w:line="480" w:lineRule="auto"/>
        <w:rPr>
          <w:rFonts w:ascii="Arial" w:hAnsi="Arial" w:cs="Arial"/>
          <w:sz w:val="22"/>
          <w:szCs w:val="22"/>
        </w:rPr>
      </w:pPr>
    </w:p>
    <w:p w14:paraId="7A209924" w14:textId="4F9FEEF7" w:rsidR="000A7032" w:rsidRDefault="000A7032" w:rsidP="00A66157">
      <w:pPr>
        <w:spacing w:line="480" w:lineRule="auto"/>
        <w:rPr>
          <w:rFonts w:ascii="Arial" w:hAnsi="Arial" w:cs="Arial"/>
          <w:sz w:val="22"/>
          <w:szCs w:val="22"/>
        </w:rPr>
      </w:pPr>
    </w:p>
    <w:p w14:paraId="459F615B" w14:textId="77777777" w:rsidR="000A7032" w:rsidRPr="004F7636" w:rsidRDefault="000A7032" w:rsidP="00A66157">
      <w:pPr>
        <w:spacing w:line="480" w:lineRule="auto"/>
        <w:rPr>
          <w:rFonts w:ascii="Arial" w:hAnsi="Arial" w:cs="Arial"/>
          <w:sz w:val="22"/>
          <w:szCs w:val="22"/>
        </w:rPr>
      </w:pPr>
    </w:p>
    <w:p w14:paraId="4E16E280" w14:textId="77777777" w:rsidR="00284F05" w:rsidRDefault="00284F05" w:rsidP="00A66157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097378A5" w14:textId="77777777" w:rsidR="00284F05" w:rsidRDefault="00284F05" w:rsidP="00A66157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37E2BA07" w14:textId="77777777" w:rsidR="00284F05" w:rsidRDefault="00284F05" w:rsidP="00A66157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09BED7FC" w14:textId="77777777" w:rsidR="00284F05" w:rsidRDefault="00284F05" w:rsidP="00A66157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6E20478A" w14:textId="77777777" w:rsidR="00284F05" w:rsidRDefault="00284F05" w:rsidP="00A66157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394EBC9D" w14:textId="77777777" w:rsidR="00284F05" w:rsidRDefault="00284F05" w:rsidP="00A66157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3F2F16F9" w14:textId="77777777" w:rsidR="00284F05" w:rsidRDefault="00284F05" w:rsidP="00A66157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36F7A677" w14:textId="77777777" w:rsidR="00284F05" w:rsidRDefault="00284F05" w:rsidP="00A66157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2544B902" w14:textId="0C9122FB" w:rsidR="0077387B" w:rsidRDefault="00A66157" w:rsidP="00A66157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4F7636">
        <w:rPr>
          <w:rFonts w:ascii="Arial" w:hAnsi="Arial" w:cs="Arial"/>
          <w:b/>
          <w:bCs/>
          <w:sz w:val="22"/>
          <w:szCs w:val="22"/>
        </w:rPr>
        <w:lastRenderedPageBreak/>
        <w:t>Introduction</w:t>
      </w:r>
    </w:p>
    <w:p w14:paraId="2371EAE5" w14:textId="77777777" w:rsidR="00671C36" w:rsidRDefault="00671C36" w:rsidP="00A66157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integration of single-cell data across samples and quantification modalities is an overarching challenge in the field (</w:t>
      </w:r>
      <w:hyperlink r:id="rId10" w:anchor="Sec22" w:history="1">
        <w:r w:rsidRPr="00671C36">
          <w:rPr>
            <w:rStyle w:val="Hyperlink"/>
            <w:rFonts w:ascii="Arial" w:hAnsi="Arial" w:cs="Arial"/>
            <w:sz w:val="22"/>
            <w:szCs w:val="22"/>
          </w:rPr>
          <w:t>cite</w:t>
        </w:r>
      </w:hyperlink>
      <w:r>
        <w:rPr>
          <w:rFonts w:ascii="Arial" w:hAnsi="Arial" w:cs="Arial"/>
          <w:sz w:val="22"/>
          <w:szCs w:val="22"/>
        </w:rPr>
        <w:t xml:space="preserve">). </w:t>
      </w:r>
    </w:p>
    <w:p w14:paraId="4B992C16" w14:textId="4F4E90E2" w:rsidR="00671C36" w:rsidRDefault="00671C36" w:rsidP="00A66157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Or multiplexed quantifications of mRNA, proteins, clonotypes and CRISPR perturbations with ECCITE-seq (</w:t>
      </w:r>
      <w:hyperlink r:id="rId11" w:history="1">
        <w:r w:rsidRPr="00671C36">
          <w:rPr>
            <w:rStyle w:val="Hyperlink"/>
            <w:rFonts w:ascii="Arial" w:hAnsi="Arial" w:cs="Arial"/>
            <w:sz w:val="22"/>
            <w:szCs w:val="22"/>
          </w:rPr>
          <w:t>cite</w:t>
        </w:r>
      </w:hyperlink>
      <w:r>
        <w:rPr>
          <w:rFonts w:ascii="Arial" w:hAnsi="Arial" w:cs="Arial"/>
          <w:sz w:val="22"/>
          <w:szCs w:val="22"/>
        </w:rPr>
        <w:t>).</w:t>
      </w:r>
    </w:p>
    <w:p w14:paraId="14190732" w14:textId="4C19A8B5" w:rsidR="00671C36" w:rsidRDefault="00671C36" w:rsidP="00A66157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Integrated multimodal analyses may be key to resolving cell states</w:t>
      </w:r>
      <w:r w:rsidR="005D5550">
        <w:rPr>
          <w:rFonts w:ascii="Arial" w:hAnsi="Arial" w:cs="Arial"/>
          <w:sz w:val="22"/>
          <w:szCs w:val="22"/>
        </w:rPr>
        <w:t xml:space="preserve"> (</w:t>
      </w:r>
      <w:hyperlink r:id="rId12" w:history="1">
        <w:r w:rsidR="005D5550" w:rsidRPr="005D5550">
          <w:rPr>
            <w:rStyle w:val="Hyperlink"/>
            <w:rFonts w:ascii="Arial" w:hAnsi="Arial" w:cs="Arial"/>
            <w:sz w:val="22"/>
            <w:szCs w:val="22"/>
          </w:rPr>
          <w:t>cite</w:t>
        </w:r>
      </w:hyperlink>
      <w:r w:rsidR="005D5550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, especially in the context of </w:t>
      </w:r>
      <w:r w:rsidR="005D5550">
        <w:rPr>
          <w:rFonts w:ascii="Arial" w:hAnsi="Arial" w:cs="Arial"/>
          <w:sz w:val="22"/>
          <w:szCs w:val="22"/>
        </w:rPr>
        <w:t>T cells which are difficult to differentiate at the single cell level.</w:t>
      </w:r>
    </w:p>
    <w:p w14:paraId="15771A1A" w14:textId="644D149A" w:rsidR="00B306E0" w:rsidRPr="00284F05" w:rsidRDefault="00284F05" w:rsidP="00A66157">
      <w:pPr>
        <w:spacing w:line="480" w:lineRule="auto"/>
        <w:rPr>
          <w:rFonts w:ascii="Arial" w:hAnsi="Arial" w:cs="Arial"/>
          <w:sz w:val="22"/>
          <w:szCs w:val="22"/>
        </w:rPr>
      </w:pPr>
      <w:r w:rsidRPr="00284F05">
        <w:rPr>
          <w:rFonts w:ascii="Arial" w:hAnsi="Arial" w:cs="Arial"/>
          <w:sz w:val="22"/>
          <w:szCs w:val="22"/>
        </w:rPr>
        <w:t>Computational pipelines for predicting TCR antigen specificity, such as GLIPH, leverage complement determining region 3 (CDR3) sequence information to classify sequences for TCR antigen specificity</w:t>
      </w:r>
      <w:r>
        <w:rPr>
          <w:rFonts w:ascii="Arial" w:hAnsi="Arial" w:cs="Arial"/>
          <w:sz w:val="22"/>
          <w:szCs w:val="22"/>
        </w:rPr>
        <w:t xml:space="preserve"> (</w:t>
      </w:r>
      <w:hyperlink r:id="rId13" w:history="1">
        <w:r w:rsidRPr="00284F05">
          <w:rPr>
            <w:rStyle w:val="Hyperlink"/>
            <w:rFonts w:ascii="Arial" w:hAnsi="Arial" w:cs="Arial"/>
            <w:sz w:val="22"/>
            <w:szCs w:val="22"/>
          </w:rPr>
          <w:t>cite</w:t>
        </w:r>
      </w:hyperlink>
      <w:r>
        <w:rPr>
          <w:rFonts w:ascii="Arial" w:hAnsi="Arial" w:cs="Arial"/>
          <w:sz w:val="22"/>
          <w:szCs w:val="22"/>
        </w:rPr>
        <w:t>)</w:t>
      </w:r>
      <w:r w:rsidRPr="00284F05">
        <w:rPr>
          <w:rFonts w:ascii="Arial" w:hAnsi="Arial" w:cs="Arial"/>
          <w:sz w:val="22"/>
          <w:szCs w:val="22"/>
        </w:rPr>
        <w:t xml:space="preserve">. </w:t>
      </w:r>
    </w:p>
    <w:p w14:paraId="38F768FD" w14:textId="77777777" w:rsidR="00284F05" w:rsidRDefault="00284F05" w:rsidP="00B306E0">
      <w:pPr>
        <w:spacing w:line="480" w:lineRule="auto"/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</w:pPr>
    </w:p>
    <w:p w14:paraId="1D31C27F" w14:textId="661118F5" w:rsidR="00B306E0" w:rsidRPr="004F7636" w:rsidRDefault="00B306E0" w:rsidP="00B306E0">
      <w:pPr>
        <w:spacing w:line="480" w:lineRule="auto"/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</w:pPr>
      <w:r w:rsidRPr="004F7636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Material and Methods</w:t>
      </w:r>
    </w:p>
    <w:p w14:paraId="3236E482" w14:textId="73DB8253" w:rsidR="00905ACE" w:rsidRDefault="00905ACE" w:rsidP="001167A7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Contig Processing</w:t>
      </w:r>
    </w:p>
    <w:p w14:paraId="47238F88" w14:textId="554A248A" w:rsidR="00905ACE" w:rsidRPr="00905ACE" w:rsidRDefault="00905ACE" w:rsidP="001167A7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Filtered contig annotation outputs from Cell Ranger (10x Genomics, Pleasanton, CA) were loaded into R (v4.0.2). The annotated contigs were then processes using the </w:t>
      </w:r>
      <w:proofErr w:type="spellStart"/>
      <w:r>
        <w:rPr>
          <w:rFonts w:ascii="Arial" w:hAnsi="Arial" w:cs="Arial"/>
          <w:sz w:val="22"/>
          <w:szCs w:val="22"/>
        </w:rPr>
        <w:t>scRepertoire</w:t>
      </w:r>
      <w:proofErr w:type="spellEnd"/>
      <w:r>
        <w:rPr>
          <w:rFonts w:ascii="Arial" w:hAnsi="Arial" w:cs="Arial"/>
          <w:sz w:val="22"/>
          <w:szCs w:val="22"/>
        </w:rPr>
        <w:t xml:space="preserve"> (v1.0.0) R package (</w:t>
      </w:r>
      <w:hyperlink r:id="rId14" w:history="1">
        <w:r w:rsidRPr="00905ACE">
          <w:rPr>
            <w:rStyle w:val="Hyperlink"/>
            <w:rFonts w:ascii="Arial" w:hAnsi="Arial" w:cs="Arial"/>
            <w:sz w:val="22"/>
            <w:szCs w:val="22"/>
          </w:rPr>
          <w:t>cite</w:t>
        </w:r>
      </w:hyperlink>
      <w:r>
        <w:rPr>
          <w:rFonts w:ascii="Arial" w:hAnsi="Arial" w:cs="Arial"/>
          <w:sz w:val="22"/>
          <w:szCs w:val="22"/>
        </w:rPr>
        <w:t xml:space="preserve">) using the </w:t>
      </w:r>
      <w:proofErr w:type="spellStart"/>
      <w:r w:rsidRPr="009A38E5">
        <w:rPr>
          <w:rFonts w:ascii="Arial" w:hAnsi="Arial" w:cs="Arial"/>
          <w:i/>
          <w:iCs/>
          <w:sz w:val="22"/>
          <w:szCs w:val="22"/>
        </w:rPr>
        <w:t>combineTCR</w:t>
      </w:r>
      <w:proofErr w:type="spellEnd"/>
      <w:r w:rsidRPr="009A38E5">
        <w:rPr>
          <w:rFonts w:ascii="Arial" w:hAnsi="Arial" w:cs="Arial"/>
          <w:i/>
          <w:iCs/>
          <w:sz w:val="22"/>
          <w:szCs w:val="22"/>
        </w:rPr>
        <w:t>()</w:t>
      </w:r>
      <w:r>
        <w:rPr>
          <w:rFonts w:ascii="Arial" w:hAnsi="Arial" w:cs="Arial"/>
          <w:sz w:val="22"/>
          <w:szCs w:val="22"/>
        </w:rPr>
        <w:t xml:space="preserve"> function</w:t>
      </w:r>
      <w:r w:rsidR="009A38E5">
        <w:rPr>
          <w:rFonts w:ascii="Arial" w:hAnsi="Arial" w:cs="Arial"/>
          <w:sz w:val="22"/>
          <w:szCs w:val="22"/>
        </w:rPr>
        <w:t xml:space="preserve"> removing cell barcode information with NA values in at least one chain and filtering the TCR sequence information for the top TCRA and TCRB chains. Before convergence analysis, </w:t>
      </w:r>
      <w:proofErr w:type="spellStart"/>
      <w:proofErr w:type="gramStart"/>
      <w:r w:rsidR="009A38E5" w:rsidRPr="009A38E5">
        <w:rPr>
          <w:rFonts w:ascii="Arial" w:hAnsi="Arial" w:cs="Arial"/>
          <w:i/>
          <w:iCs/>
          <w:sz w:val="22"/>
          <w:szCs w:val="22"/>
        </w:rPr>
        <w:t>addVariable</w:t>
      </w:r>
      <w:proofErr w:type="spellEnd"/>
      <w:r w:rsidR="009A38E5" w:rsidRPr="009A38E5">
        <w:rPr>
          <w:rFonts w:ascii="Arial" w:hAnsi="Arial" w:cs="Arial"/>
          <w:i/>
          <w:iCs/>
          <w:sz w:val="22"/>
          <w:szCs w:val="22"/>
        </w:rPr>
        <w:t>(</w:t>
      </w:r>
      <w:proofErr w:type="gramEnd"/>
      <w:r w:rsidR="009A38E5" w:rsidRPr="009A38E5">
        <w:rPr>
          <w:rFonts w:ascii="Arial" w:hAnsi="Arial" w:cs="Arial"/>
          <w:i/>
          <w:iCs/>
          <w:sz w:val="22"/>
          <w:szCs w:val="22"/>
        </w:rPr>
        <w:t>)</w:t>
      </w:r>
      <w:r w:rsidR="009A38E5">
        <w:rPr>
          <w:rFonts w:ascii="Arial" w:hAnsi="Arial" w:cs="Arial"/>
          <w:sz w:val="22"/>
          <w:szCs w:val="22"/>
        </w:rPr>
        <w:t xml:space="preserve"> function was used to add the specific patient information to the processed contigs in order to use as a grouping variable for further analysis. </w:t>
      </w:r>
    </w:p>
    <w:p w14:paraId="501E96C3" w14:textId="77777777" w:rsidR="00905ACE" w:rsidRDefault="00905ACE" w:rsidP="001167A7">
      <w:pPr>
        <w:spacing w:line="480" w:lineRule="auto"/>
        <w:rPr>
          <w:rFonts w:ascii="Arial" w:hAnsi="Arial" w:cs="Arial"/>
          <w:i/>
          <w:iCs/>
          <w:sz w:val="22"/>
          <w:szCs w:val="22"/>
        </w:rPr>
      </w:pPr>
    </w:p>
    <w:p w14:paraId="4B18C7A2" w14:textId="7EE91D86" w:rsidR="006A1D3D" w:rsidRDefault="001F50C8" w:rsidP="001167A7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Convergence Estimation and Clustering</w:t>
      </w:r>
    </w:p>
    <w:p w14:paraId="430B8494" w14:textId="401C5108" w:rsidR="001F50C8" w:rsidRDefault="001F50C8" w:rsidP="001167A7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Convergence of CDR3 sequences was performed using two approaches, edit distance of the CDR3 sequence and motif-based analysis across the CDR3 sequence. For the former, distance matrices of unique TCR B chain CDR3 amino acid sequences are generated using the </w:t>
      </w:r>
      <w:proofErr w:type="spellStart"/>
      <w:r>
        <w:rPr>
          <w:rFonts w:ascii="Arial" w:hAnsi="Arial" w:cs="Arial"/>
          <w:sz w:val="22"/>
          <w:szCs w:val="22"/>
        </w:rPr>
        <w:t>Levenshtein</w:t>
      </w:r>
      <w:proofErr w:type="spellEnd"/>
      <w:r>
        <w:rPr>
          <w:rFonts w:ascii="Arial" w:hAnsi="Arial" w:cs="Arial"/>
          <w:sz w:val="22"/>
          <w:szCs w:val="22"/>
        </w:rPr>
        <w:t xml:space="preserve"> implementation in the s</w:t>
      </w:r>
      <w:proofErr w:type="spellStart"/>
      <w:r>
        <w:rPr>
          <w:rFonts w:ascii="Arial" w:hAnsi="Arial" w:cs="Arial"/>
          <w:sz w:val="22"/>
          <w:szCs w:val="22"/>
        </w:rPr>
        <w:t>tringdist</w:t>
      </w:r>
      <w:proofErr w:type="spellEnd"/>
      <w:r>
        <w:rPr>
          <w:rFonts w:ascii="Arial" w:hAnsi="Arial" w:cs="Arial"/>
          <w:sz w:val="22"/>
          <w:szCs w:val="22"/>
        </w:rPr>
        <w:t xml:space="preserve"> (v0.9.5.5) R package. Chains with edit distances &lt; </w:t>
      </w:r>
      <w:r>
        <w:rPr>
          <w:rFonts w:ascii="Arial" w:hAnsi="Arial" w:cs="Arial"/>
          <w:sz w:val="22"/>
          <w:szCs w:val="22"/>
        </w:rPr>
        <w:lastRenderedPageBreak/>
        <w:t xml:space="preserve">2 were selected and filtered for those that share v-genes. Motif analysis was performed scanning three amino acid segments across the recovered </w:t>
      </w:r>
      <w:r>
        <w:rPr>
          <w:rFonts w:ascii="Arial" w:hAnsi="Arial" w:cs="Arial"/>
          <w:sz w:val="22"/>
          <w:szCs w:val="22"/>
        </w:rPr>
        <w:t>TCR B chain CDR3 amino acid sequences</w:t>
      </w:r>
      <w:r w:rsidR="00905ACE">
        <w:rPr>
          <w:rFonts w:ascii="Arial" w:hAnsi="Arial" w:cs="Arial"/>
          <w:sz w:val="22"/>
          <w:szCs w:val="22"/>
        </w:rPr>
        <w:t xml:space="preserve"> that share the same v gene</w:t>
      </w:r>
      <w:r>
        <w:rPr>
          <w:rFonts w:ascii="Arial" w:hAnsi="Arial" w:cs="Arial"/>
          <w:sz w:val="22"/>
          <w:szCs w:val="22"/>
        </w:rPr>
        <w:t xml:space="preserve">. </w:t>
      </w:r>
      <w:r w:rsidR="00905ACE">
        <w:rPr>
          <w:rFonts w:ascii="Arial" w:hAnsi="Arial" w:cs="Arial"/>
          <w:sz w:val="22"/>
          <w:szCs w:val="22"/>
        </w:rPr>
        <w:t>In order to develop filtering parameters for</w:t>
      </w:r>
      <w:r>
        <w:rPr>
          <w:rFonts w:ascii="Arial" w:hAnsi="Arial" w:cs="Arial"/>
          <w:sz w:val="22"/>
          <w:szCs w:val="22"/>
        </w:rPr>
        <w:t xml:space="preserve"> motif analysis</w:t>
      </w:r>
      <w:r w:rsidR="00905ACE">
        <w:rPr>
          <w:rFonts w:ascii="Arial" w:hAnsi="Arial" w:cs="Arial"/>
          <w:sz w:val="22"/>
          <w:szCs w:val="22"/>
        </w:rPr>
        <w:t xml:space="preserve">, 1,000 permutations of the motif analysis are </w:t>
      </w:r>
      <w:r>
        <w:rPr>
          <w:rFonts w:ascii="Arial" w:hAnsi="Arial" w:cs="Arial"/>
          <w:sz w:val="22"/>
          <w:szCs w:val="22"/>
        </w:rPr>
        <w:t>performed</w:t>
      </w:r>
      <w:r w:rsidR="00905ACE">
        <w:rPr>
          <w:rFonts w:ascii="Arial" w:hAnsi="Arial" w:cs="Arial"/>
          <w:sz w:val="22"/>
          <w:szCs w:val="22"/>
        </w:rPr>
        <w:t xml:space="preserve"> using the parallel (v4.0.2) R package</w:t>
      </w:r>
      <w:r>
        <w:rPr>
          <w:rFonts w:ascii="Arial" w:hAnsi="Arial" w:cs="Arial"/>
          <w:sz w:val="22"/>
          <w:szCs w:val="22"/>
        </w:rPr>
        <w:t xml:space="preserve"> in </w:t>
      </w:r>
      <w:r w:rsidR="00905ACE">
        <w:rPr>
          <w:rFonts w:ascii="Arial" w:hAnsi="Arial" w:cs="Arial"/>
          <w:sz w:val="22"/>
          <w:szCs w:val="22"/>
        </w:rPr>
        <w:t>randomly sampled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TCR B chain CDR3 amino acid sequences</w:t>
      </w:r>
      <w:r>
        <w:rPr>
          <w:rFonts w:ascii="Arial" w:hAnsi="Arial" w:cs="Arial"/>
          <w:sz w:val="22"/>
          <w:szCs w:val="22"/>
        </w:rPr>
        <w:t xml:space="preserve"> derived from healthy peripheral blood. </w:t>
      </w:r>
      <w:r w:rsidR="00905ACE">
        <w:rPr>
          <w:rFonts w:ascii="Arial" w:hAnsi="Arial" w:cs="Arial"/>
          <w:sz w:val="22"/>
          <w:szCs w:val="22"/>
        </w:rPr>
        <w:t>Sample motif quantifications are then compared to the 1,000 permutations and filtered for one-tailed probability distribution of less than 0.001 and fold-change greater than or equal to five</w:t>
      </w:r>
    </w:p>
    <w:p w14:paraId="2D0BFBD6" w14:textId="77777777" w:rsidR="001F50C8" w:rsidRPr="001F50C8" w:rsidRDefault="001F50C8" w:rsidP="001167A7">
      <w:pPr>
        <w:spacing w:line="480" w:lineRule="auto"/>
        <w:rPr>
          <w:rFonts w:ascii="Arial" w:hAnsi="Arial" w:cs="Arial"/>
          <w:sz w:val="22"/>
          <w:szCs w:val="22"/>
        </w:rPr>
      </w:pPr>
    </w:p>
    <w:p w14:paraId="079982DA" w14:textId="6D8965F1" w:rsidR="001167A7" w:rsidRDefault="001167A7" w:rsidP="001167A7">
      <w:pPr>
        <w:spacing w:line="480" w:lineRule="auto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Data Used</w:t>
      </w:r>
    </w:p>
    <w:p w14:paraId="6DE5FF28" w14:textId="5D4B6568" w:rsidR="006A1D3D" w:rsidRPr="006A1D3D" w:rsidRDefault="006A1D3D" w:rsidP="001167A7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Single-cell expression and TCR sequences were accessed through Gene Expression Omnibus under the accessions: GSE139555 (</w:t>
      </w:r>
      <w:hyperlink r:id="rId15" w:history="1">
        <w:r w:rsidRPr="006A1D3D">
          <w:rPr>
            <w:rStyle w:val="Hyperlink"/>
            <w:rFonts w:ascii="Arial" w:hAnsi="Arial" w:cs="Arial"/>
            <w:sz w:val="22"/>
            <w:szCs w:val="22"/>
          </w:rPr>
          <w:t>cite</w:t>
        </w:r>
      </w:hyperlink>
      <w:r>
        <w:rPr>
          <w:rFonts w:ascii="Arial" w:hAnsi="Arial" w:cs="Arial"/>
          <w:sz w:val="22"/>
          <w:szCs w:val="22"/>
        </w:rPr>
        <w:t>) and GSE121638 (</w:t>
      </w:r>
      <w:r w:rsidRPr="006A1D3D">
        <w:rPr>
          <w:rFonts w:ascii="Arial" w:hAnsi="Arial" w:cs="Arial"/>
          <w:sz w:val="22"/>
          <w:szCs w:val="22"/>
          <w:highlight w:val="yellow"/>
        </w:rPr>
        <w:t>cite</w:t>
      </w:r>
      <w:r>
        <w:rPr>
          <w:rFonts w:ascii="Arial" w:hAnsi="Arial" w:cs="Arial"/>
          <w:sz w:val="22"/>
          <w:szCs w:val="22"/>
        </w:rPr>
        <w:t>).</w:t>
      </w:r>
      <w:r w:rsidR="00284F05">
        <w:rPr>
          <w:rFonts w:ascii="Arial" w:hAnsi="Arial" w:cs="Arial"/>
          <w:sz w:val="22"/>
          <w:szCs w:val="22"/>
        </w:rPr>
        <w:t xml:space="preserve"> Naïve TCR sequence information was downloaded from the 10x Genomics website, under healthy peripheral blood mononuclear controls.</w:t>
      </w:r>
    </w:p>
    <w:p w14:paraId="3DA16E04" w14:textId="77777777" w:rsidR="001167A7" w:rsidRDefault="001167A7" w:rsidP="00A66157">
      <w:pPr>
        <w:spacing w:line="480" w:lineRule="auto"/>
        <w:rPr>
          <w:rFonts w:ascii="Arial" w:hAnsi="Arial" w:cs="Arial"/>
          <w:i/>
          <w:iCs/>
          <w:sz w:val="22"/>
          <w:szCs w:val="22"/>
        </w:rPr>
      </w:pPr>
    </w:p>
    <w:p w14:paraId="18F22994" w14:textId="32E95CFF" w:rsidR="00B306E0" w:rsidRPr="007E5D84" w:rsidRDefault="007E5D84" w:rsidP="00A66157">
      <w:pPr>
        <w:spacing w:line="480" w:lineRule="auto"/>
        <w:rPr>
          <w:rFonts w:ascii="Arial" w:hAnsi="Arial" w:cs="Arial"/>
          <w:i/>
          <w:iCs/>
          <w:sz w:val="22"/>
          <w:szCs w:val="22"/>
        </w:rPr>
      </w:pPr>
      <w:r w:rsidRPr="007E5D84">
        <w:rPr>
          <w:rFonts w:ascii="Arial" w:hAnsi="Arial" w:cs="Arial"/>
          <w:i/>
          <w:iCs/>
          <w:sz w:val="22"/>
          <w:szCs w:val="22"/>
        </w:rPr>
        <w:t>Software Availability</w:t>
      </w:r>
    </w:p>
    <w:p w14:paraId="113C8405" w14:textId="3205A4DA" w:rsidR="007E5D84" w:rsidRPr="00781FA5" w:rsidRDefault="007E5D84" w:rsidP="00A66157">
      <w:pPr>
        <w:spacing w:line="480" w:lineRule="auto"/>
        <w:rPr>
          <w:rFonts w:ascii="Arial" w:hAnsi="Arial" w:cs="Arial"/>
          <w:sz w:val="22"/>
          <w:szCs w:val="22"/>
        </w:rPr>
      </w:pPr>
      <w:r w:rsidRPr="00781FA5">
        <w:rPr>
          <w:rFonts w:ascii="Arial" w:hAnsi="Arial" w:cs="Arial"/>
          <w:sz w:val="22"/>
          <w:szCs w:val="22"/>
        </w:rPr>
        <w:t>All annotated code</w:t>
      </w:r>
      <w:r w:rsidR="00781FA5">
        <w:rPr>
          <w:rFonts w:ascii="Arial" w:hAnsi="Arial" w:cs="Arial"/>
          <w:sz w:val="22"/>
          <w:szCs w:val="22"/>
        </w:rPr>
        <w:t xml:space="preserve"> and processed data</w:t>
      </w:r>
      <w:r w:rsidRPr="00781FA5">
        <w:rPr>
          <w:rFonts w:ascii="Arial" w:hAnsi="Arial" w:cs="Arial"/>
          <w:sz w:val="22"/>
          <w:szCs w:val="22"/>
        </w:rPr>
        <w:t xml:space="preserve"> for the analysis included in this manuscript is available at </w:t>
      </w:r>
      <w:hyperlink r:id="rId16" w:history="1">
        <w:r w:rsidR="00781FA5" w:rsidRPr="00781FA5">
          <w:rPr>
            <w:rStyle w:val="Hyperlink"/>
            <w:rFonts w:ascii="Arial" w:hAnsi="Arial" w:cs="Arial"/>
            <w:sz w:val="22"/>
            <w:szCs w:val="22"/>
          </w:rPr>
          <w:t>https://github.com/ncborcherding/lg_dataAnalysis</w:t>
        </w:r>
      </w:hyperlink>
      <w:r w:rsidR="00781FA5" w:rsidRPr="00781FA5">
        <w:rPr>
          <w:rFonts w:ascii="Arial" w:hAnsi="Arial" w:cs="Arial"/>
          <w:sz w:val="22"/>
          <w:szCs w:val="22"/>
        </w:rPr>
        <w:t xml:space="preserve">. </w:t>
      </w:r>
      <w:r w:rsidR="00781FA5">
        <w:rPr>
          <w:rFonts w:ascii="Arial" w:hAnsi="Arial" w:cs="Arial"/>
          <w:sz w:val="22"/>
          <w:szCs w:val="22"/>
        </w:rPr>
        <w:t xml:space="preserve">The individual functions and analytic pipeline used has been organized into an R package, </w:t>
      </w:r>
      <w:proofErr w:type="spellStart"/>
      <w:r w:rsidR="00781FA5">
        <w:rPr>
          <w:rFonts w:ascii="Arial" w:hAnsi="Arial" w:cs="Arial"/>
          <w:sz w:val="22"/>
          <w:szCs w:val="22"/>
        </w:rPr>
        <w:t>clingon</w:t>
      </w:r>
      <w:proofErr w:type="spellEnd"/>
      <w:r w:rsidR="00781FA5">
        <w:rPr>
          <w:rFonts w:ascii="Arial" w:hAnsi="Arial" w:cs="Arial"/>
          <w:sz w:val="22"/>
          <w:szCs w:val="22"/>
        </w:rPr>
        <w:t xml:space="preserve">, and is available at </w:t>
      </w:r>
      <w:hyperlink r:id="rId17" w:history="1">
        <w:r w:rsidR="00781FA5" w:rsidRPr="00781FA5">
          <w:rPr>
            <w:rStyle w:val="Hyperlink"/>
            <w:rFonts w:ascii="Arial" w:hAnsi="Arial" w:cs="Arial"/>
            <w:sz w:val="22"/>
            <w:szCs w:val="22"/>
          </w:rPr>
          <w:t>http://github.com/ncborcherding/clingon</w:t>
        </w:r>
      </w:hyperlink>
      <w:r w:rsidR="00781FA5" w:rsidRPr="00781FA5">
        <w:rPr>
          <w:rFonts w:ascii="Arial" w:hAnsi="Arial" w:cs="Arial"/>
          <w:sz w:val="22"/>
          <w:szCs w:val="22"/>
        </w:rPr>
        <w:t>.</w:t>
      </w:r>
      <w:r w:rsidR="00905ACE">
        <w:rPr>
          <w:rFonts w:ascii="Arial" w:hAnsi="Arial" w:cs="Arial"/>
          <w:sz w:val="22"/>
          <w:szCs w:val="22"/>
        </w:rPr>
        <w:t xml:space="preserve"> </w:t>
      </w:r>
    </w:p>
    <w:p w14:paraId="2A1C3416" w14:textId="77777777" w:rsidR="00781FA5" w:rsidRDefault="00781FA5" w:rsidP="00A66157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15C64B06" w14:textId="17B58782" w:rsidR="00B306E0" w:rsidRPr="004F7636" w:rsidRDefault="00B306E0" w:rsidP="00A66157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Results</w:t>
      </w:r>
    </w:p>
    <w:p w14:paraId="2365F5E5" w14:textId="6FE1D44F" w:rsidR="00D4065A" w:rsidRPr="004F7636" w:rsidRDefault="00D4065A" w:rsidP="00330C36">
      <w:pPr>
        <w:spacing w:line="480" w:lineRule="auto"/>
        <w:rPr>
          <w:rFonts w:ascii="Arial" w:hAnsi="Arial" w:cs="Arial"/>
          <w:sz w:val="22"/>
          <w:szCs w:val="22"/>
        </w:rPr>
      </w:pPr>
    </w:p>
    <w:p w14:paraId="459AC087" w14:textId="64BFB5D7" w:rsidR="00D4065A" w:rsidRPr="004F7636" w:rsidRDefault="00B306E0" w:rsidP="00330C3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Discussion</w:t>
      </w:r>
    </w:p>
    <w:p w14:paraId="4FB82BA5" w14:textId="1DC9DADA" w:rsidR="00EE70CB" w:rsidRPr="004F7636" w:rsidRDefault="00EE70CB" w:rsidP="00A66157">
      <w:pPr>
        <w:spacing w:line="480" w:lineRule="auto"/>
        <w:rPr>
          <w:rFonts w:ascii="Arial" w:hAnsi="Arial" w:cs="Arial"/>
          <w:sz w:val="22"/>
          <w:szCs w:val="22"/>
        </w:rPr>
      </w:pPr>
    </w:p>
    <w:p w14:paraId="2EC1CF46" w14:textId="77777777" w:rsidR="00A66157" w:rsidRPr="004F7636" w:rsidRDefault="00A66157" w:rsidP="00A66157">
      <w:pPr>
        <w:pStyle w:val="NormalWeb"/>
        <w:spacing w:before="0" w:beforeAutospacing="0" w:after="0" w:afterAutospacing="0" w:line="480" w:lineRule="auto"/>
        <w:rPr>
          <w:rFonts w:ascii="Arial" w:hAnsi="Arial" w:cs="Arial"/>
          <w:b/>
          <w:sz w:val="22"/>
          <w:szCs w:val="22"/>
        </w:rPr>
      </w:pPr>
      <w:r w:rsidRPr="004F7636">
        <w:rPr>
          <w:rFonts w:ascii="Arial" w:hAnsi="Arial" w:cs="Arial"/>
          <w:b/>
          <w:sz w:val="22"/>
          <w:szCs w:val="22"/>
        </w:rPr>
        <w:t>Acknowledgements</w:t>
      </w:r>
    </w:p>
    <w:p w14:paraId="670E26B3" w14:textId="3572433A" w:rsidR="00A66157" w:rsidRPr="004F7636" w:rsidRDefault="00A66157" w:rsidP="00A66157">
      <w:pPr>
        <w:spacing w:line="480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 w:rsidRPr="004F7636">
        <w:rPr>
          <w:rFonts w:ascii="Arial" w:hAnsi="Arial" w:cs="Arial"/>
          <w:color w:val="000000"/>
          <w:sz w:val="22"/>
          <w:szCs w:val="22"/>
          <w:shd w:val="clear" w:color="auto" w:fill="FFFFFF"/>
        </w:rPr>
        <w:lastRenderedPageBreak/>
        <w:t>The authors are supported by the National Cancer Institute of the National Institutes of Health under award number CA206255 (N.B.).</w:t>
      </w:r>
    </w:p>
    <w:p w14:paraId="69E5ED31" w14:textId="00C75278" w:rsidR="00927E64" w:rsidRPr="00B306E0" w:rsidRDefault="00927E64" w:rsidP="00B306E0">
      <w:pPr>
        <w:spacing w:line="480" w:lineRule="auto"/>
        <w:rPr>
          <w:rFonts w:ascii="Arial" w:hAnsi="Arial" w:cs="Arial"/>
          <w:sz w:val="22"/>
          <w:szCs w:val="22"/>
        </w:rPr>
      </w:pPr>
    </w:p>
    <w:p w14:paraId="0F4FDCCE" w14:textId="184E2367" w:rsidR="005A045B" w:rsidRPr="004F7636" w:rsidRDefault="00833426" w:rsidP="00A66157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4F7636">
        <w:rPr>
          <w:rFonts w:ascii="Arial" w:hAnsi="Arial" w:cs="Arial"/>
          <w:b/>
          <w:bCs/>
          <w:sz w:val="22"/>
          <w:szCs w:val="22"/>
        </w:rPr>
        <w:t>References</w:t>
      </w:r>
    </w:p>
    <w:p w14:paraId="05D68030" w14:textId="064A00B9" w:rsidR="0077387B" w:rsidRPr="004F7636" w:rsidRDefault="0077387B" w:rsidP="00470FD1">
      <w:pPr>
        <w:widowControl w:val="0"/>
        <w:autoSpaceDE w:val="0"/>
        <w:autoSpaceDN w:val="0"/>
        <w:adjustRightInd w:val="0"/>
        <w:spacing w:line="480" w:lineRule="auto"/>
        <w:ind w:left="640" w:hanging="640"/>
        <w:rPr>
          <w:rFonts w:ascii="Arial" w:hAnsi="Arial" w:cs="Arial"/>
          <w:sz w:val="22"/>
          <w:szCs w:val="22"/>
        </w:rPr>
      </w:pPr>
    </w:p>
    <w:p w14:paraId="2FB713D6" w14:textId="03FA33FD" w:rsidR="00580C26" w:rsidRDefault="00580C26" w:rsidP="00A66157">
      <w:pPr>
        <w:spacing w:line="480" w:lineRule="auto"/>
        <w:rPr>
          <w:rFonts w:ascii="Arial" w:hAnsi="Arial" w:cs="Arial"/>
          <w:sz w:val="22"/>
          <w:szCs w:val="22"/>
        </w:rPr>
      </w:pPr>
    </w:p>
    <w:p w14:paraId="2F63E9A7" w14:textId="7552A4D9" w:rsidR="00580C26" w:rsidRPr="004F7636" w:rsidRDefault="00580C26" w:rsidP="009B7C30">
      <w:pPr>
        <w:spacing w:line="480" w:lineRule="auto"/>
        <w:rPr>
          <w:rFonts w:ascii="Arial" w:hAnsi="Arial" w:cs="Arial"/>
          <w:sz w:val="21"/>
          <w:szCs w:val="21"/>
        </w:rPr>
      </w:pPr>
    </w:p>
    <w:sectPr w:rsidR="00580C26" w:rsidRPr="004F7636" w:rsidSect="00751C2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079573" w14:textId="77777777" w:rsidR="005A7459" w:rsidRDefault="005A7459" w:rsidP="00904A45">
      <w:r>
        <w:separator/>
      </w:r>
    </w:p>
  </w:endnote>
  <w:endnote w:type="continuationSeparator" w:id="0">
    <w:p w14:paraId="51132FCE" w14:textId="77777777" w:rsidR="005A7459" w:rsidRDefault="005A7459" w:rsidP="00904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57710033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494023" w14:textId="0C979F6F" w:rsidR="00950578" w:rsidRDefault="00950578" w:rsidP="006F23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D8AEA3F" w14:textId="77777777" w:rsidR="00950578" w:rsidRDefault="00950578" w:rsidP="00F375A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  <w:rFonts w:ascii="Arial" w:hAnsi="Arial" w:cs="Arial"/>
        <w:sz w:val="22"/>
        <w:szCs w:val="22"/>
      </w:rPr>
      <w:id w:val="168286077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CAAD415" w14:textId="3ED96FD8" w:rsidR="00950578" w:rsidRPr="00F375AE" w:rsidRDefault="00950578" w:rsidP="006F2359">
        <w:pPr>
          <w:pStyle w:val="Footer"/>
          <w:framePr w:wrap="none" w:vAnchor="text" w:hAnchor="margin" w:xAlign="right" w:y="1"/>
          <w:rPr>
            <w:rStyle w:val="PageNumber"/>
            <w:rFonts w:ascii="Arial" w:hAnsi="Arial" w:cs="Arial"/>
            <w:sz w:val="22"/>
            <w:szCs w:val="22"/>
          </w:rPr>
        </w:pPr>
        <w:r w:rsidRPr="00F375AE">
          <w:rPr>
            <w:rStyle w:val="PageNumber"/>
            <w:rFonts w:ascii="Arial" w:hAnsi="Arial" w:cs="Arial"/>
            <w:sz w:val="22"/>
            <w:szCs w:val="22"/>
          </w:rPr>
          <w:fldChar w:fldCharType="begin"/>
        </w:r>
        <w:r w:rsidRPr="00F375AE">
          <w:rPr>
            <w:rStyle w:val="PageNumber"/>
            <w:rFonts w:ascii="Arial" w:hAnsi="Arial" w:cs="Arial"/>
            <w:sz w:val="22"/>
            <w:szCs w:val="22"/>
          </w:rPr>
          <w:instrText xml:space="preserve"> PAGE </w:instrText>
        </w:r>
        <w:r w:rsidRPr="00F375AE">
          <w:rPr>
            <w:rStyle w:val="PageNumber"/>
            <w:rFonts w:ascii="Arial" w:hAnsi="Arial" w:cs="Arial"/>
            <w:sz w:val="22"/>
            <w:szCs w:val="22"/>
          </w:rPr>
          <w:fldChar w:fldCharType="separate"/>
        </w:r>
        <w:r>
          <w:rPr>
            <w:rStyle w:val="PageNumber"/>
            <w:rFonts w:ascii="Arial" w:hAnsi="Arial" w:cs="Arial"/>
            <w:noProof/>
            <w:sz w:val="22"/>
            <w:szCs w:val="22"/>
          </w:rPr>
          <w:t>3</w:t>
        </w:r>
        <w:r w:rsidRPr="00F375AE">
          <w:rPr>
            <w:rStyle w:val="PageNumber"/>
            <w:rFonts w:ascii="Arial" w:hAnsi="Arial" w:cs="Arial"/>
            <w:sz w:val="22"/>
            <w:szCs w:val="22"/>
          </w:rPr>
          <w:fldChar w:fldCharType="end"/>
        </w:r>
      </w:p>
    </w:sdtContent>
  </w:sdt>
  <w:p w14:paraId="7008622A" w14:textId="77777777" w:rsidR="00950578" w:rsidRDefault="00950578" w:rsidP="00F375A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BB272A" w14:textId="77777777" w:rsidR="005A7459" w:rsidRDefault="005A7459" w:rsidP="00904A45">
      <w:r>
        <w:separator/>
      </w:r>
    </w:p>
  </w:footnote>
  <w:footnote w:type="continuationSeparator" w:id="0">
    <w:p w14:paraId="25569FB9" w14:textId="77777777" w:rsidR="005A7459" w:rsidRDefault="005A7459" w:rsidP="00904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51F9A"/>
    <w:multiLevelType w:val="multilevel"/>
    <w:tmpl w:val="4098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5638B"/>
    <w:multiLevelType w:val="multilevel"/>
    <w:tmpl w:val="43AA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616EBD"/>
    <w:multiLevelType w:val="multilevel"/>
    <w:tmpl w:val="25EAF00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C519A"/>
    <w:multiLevelType w:val="hybridMultilevel"/>
    <w:tmpl w:val="33A6C4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2A2CF0"/>
    <w:multiLevelType w:val="multilevel"/>
    <w:tmpl w:val="3E0CE3CE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3F3C16"/>
    <w:multiLevelType w:val="multilevel"/>
    <w:tmpl w:val="CDC6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2B403B"/>
    <w:multiLevelType w:val="multilevel"/>
    <w:tmpl w:val="BB2CF8C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917D00"/>
    <w:multiLevelType w:val="multilevel"/>
    <w:tmpl w:val="68A26E9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A15116"/>
    <w:multiLevelType w:val="multilevel"/>
    <w:tmpl w:val="2454F19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3B7AB1"/>
    <w:multiLevelType w:val="multilevel"/>
    <w:tmpl w:val="5298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66A5D"/>
    <w:multiLevelType w:val="multilevel"/>
    <w:tmpl w:val="A02C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45BB3"/>
    <w:multiLevelType w:val="multilevel"/>
    <w:tmpl w:val="44F4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076252"/>
    <w:multiLevelType w:val="multilevel"/>
    <w:tmpl w:val="554843F4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A3402C"/>
    <w:multiLevelType w:val="multilevel"/>
    <w:tmpl w:val="2392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3"/>
  </w:num>
  <w:num w:numId="4">
    <w:abstractNumId w:val="10"/>
  </w:num>
  <w:num w:numId="5">
    <w:abstractNumId w:val="1"/>
  </w:num>
  <w:num w:numId="6">
    <w:abstractNumId w:val="3"/>
  </w:num>
  <w:num w:numId="7">
    <w:abstractNumId w:val="6"/>
  </w:num>
  <w:num w:numId="8">
    <w:abstractNumId w:val="2"/>
  </w:num>
  <w:num w:numId="9">
    <w:abstractNumId w:val="8"/>
  </w:num>
  <w:num w:numId="10">
    <w:abstractNumId w:val="7"/>
  </w:num>
  <w:num w:numId="11">
    <w:abstractNumId w:val="4"/>
  </w:num>
  <w:num w:numId="12">
    <w:abstractNumId w:val="12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87B"/>
    <w:rsid w:val="00010115"/>
    <w:rsid w:val="00033767"/>
    <w:rsid w:val="00070C30"/>
    <w:rsid w:val="00071CBF"/>
    <w:rsid w:val="0008576C"/>
    <w:rsid w:val="00087C65"/>
    <w:rsid w:val="0009123D"/>
    <w:rsid w:val="000A106F"/>
    <w:rsid w:val="000A4111"/>
    <w:rsid w:val="000A4926"/>
    <w:rsid w:val="000A7032"/>
    <w:rsid w:val="000B06A7"/>
    <w:rsid w:val="000C046F"/>
    <w:rsid w:val="000D1D4E"/>
    <w:rsid w:val="000E0FF2"/>
    <w:rsid w:val="000E20A7"/>
    <w:rsid w:val="000E29AE"/>
    <w:rsid w:val="000E43C2"/>
    <w:rsid w:val="000E4C28"/>
    <w:rsid w:val="00100746"/>
    <w:rsid w:val="00104CC5"/>
    <w:rsid w:val="00115036"/>
    <w:rsid w:val="001167A7"/>
    <w:rsid w:val="00117B7D"/>
    <w:rsid w:val="001216B2"/>
    <w:rsid w:val="00127D75"/>
    <w:rsid w:val="001325AD"/>
    <w:rsid w:val="00142675"/>
    <w:rsid w:val="00152FB9"/>
    <w:rsid w:val="0016734D"/>
    <w:rsid w:val="00174E02"/>
    <w:rsid w:val="00175514"/>
    <w:rsid w:val="00176E72"/>
    <w:rsid w:val="00181929"/>
    <w:rsid w:val="00186A30"/>
    <w:rsid w:val="00190651"/>
    <w:rsid w:val="00191BED"/>
    <w:rsid w:val="00192693"/>
    <w:rsid w:val="001B5DB4"/>
    <w:rsid w:val="001B732E"/>
    <w:rsid w:val="001D3ACA"/>
    <w:rsid w:val="001D4043"/>
    <w:rsid w:val="001E5C97"/>
    <w:rsid w:val="001F50C8"/>
    <w:rsid w:val="001F5CAC"/>
    <w:rsid w:val="002016E5"/>
    <w:rsid w:val="00203051"/>
    <w:rsid w:val="00204A2F"/>
    <w:rsid w:val="00204C73"/>
    <w:rsid w:val="00210254"/>
    <w:rsid w:val="002254E1"/>
    <w:rsid w:val="00231A08"/>
    <w:rsid w:val="00232985"/>
    <w:rsid w:val="002377A7"/>
    <w:rsid w:val="002444C5"/>
    <w:rsid w:val="00251A60"/>
    <w:rsid w:val="00284F05"/>
    <w:rsid w:val="0029218C"/>
    <w:rsid w:val="00293269"/>
    <w:rsid w:val="002A31EA"/>
    <w:rsid w:val="002B6F8F"/>
    <w:rsid w:val="002C254F"/>
    <w:rsid w:val="002C3BDC"/>
    <w:rsid w:val="002C6083"/>
    <w:rsid w:val="002D3812"/>
    <w:rsid w:val="002D3F90"/>
    <w:rsid w:val="002D4F3E"/>
    <w:rsid w:val="002E1BCF"/>
    <w:rsid w:val="002E27EF"/>
    <w:rsid w:val="002E2EEE"/>
    <w:rsid w:val="00300853"/>
    <w:rsid w:val="003067AE"/>
    <w:rsid w:val="00306F16"/>
    <w:rsid w:val="00307ACE"/>
    <w:rsid w:val="00310883"/>
    <w:rsid w:val="00310916"/>
    <w:rsid w:val="00330C36"/>
    <w:rsid w:val="00343258"/>
    <w:rsid w:val="00355CEC"/>
    <w:rsid w:val="003640C8"/>
    <w:rsid w:val="003675D2"/>
    <w:rsid w:val="003731CC"/>
    <w:rsid w:val="003828D0"/>
    <w:rsid w:val="00390F2C"/>
    <w:rsid w:val="00392C0E"/>
    <w:rsid w:val="003952A7"/>
    <w:rsid w:val="003C6344"/>
    <w:rsid w:val="003E6643"/>
    <w:rsid w:val="003F08DF"/>
    <w:rsid w:val="003F0C47"/>
    <w:rsid w:val="003F7243"/>
    <w:rsid w:val="00400F10"/>
    <w:rsid w:val="00432E88"/>
    <w:rsid w:val="004435C3"/>
    <w:rsid w:val="00451E2C"/>
    <w:rsid w:val="00470FD1"/>
    <w:rsid w:val="00471188"/>
    <w:rsid w:val="00472215"/>
    <w:rsid w:val="00494410"/>
    <w:rsid w:val="00496891"/>
    <w:rsid w:val="004A0EFB"/>
    <w:rsid w:val="004A5D74"/>
    <w:rsid w:val="004B1650"/>
    <w:rsid w:val="004C58FA"/>
    <w:rsid w:val="004D0C22"/>
    <w:rsid w:val="004D2B87"/>
    <w:rsid w:val="004D6E75"/>
    <w:rsid w:val="004E754D"/>
    <w:rsid w:val="004F0163"/>
    <w:rsid w:val="004F0842"/>
    <w:rsid w:val="004F332F"/>
    <w:rsid w:val="004F74F2"/>
    <w:rsid w:val="004F7636"/>
    <w:rsid w:val="00506521"/>
    <w:rsid w:val="00510053"/>
    <w:rsid w:val="00534FA5"/>
    <w:rsid w:val="00542A8E"/>
    <w:rsid w:val="00542B28"/>
    <w:rsid w:val="0055537A"/>
    <w:rsid w:val="0055561D"/>
    <w:rsid w:val="00556E8E"/>
    <w:rsid w:val="005607E4"/>
    <w:rsid w:val="0056141B"/>
    <w:rsid w:val="00571930"/>
    <w:rsid w:val="00580C26"/>
    <w:rsid w:val="005953A3"/>
    <w:rsid w:val="00597255"/>
    <w:rsid w:val="005A045B"/>
    <w:rsid w:val="005A5892"/>
    <w:rsid w:val="005A7459"/>
    <w:rsid w:val="005B490B"/>
    <w:rsid w:val="005C46B5"/>
    <w:rsid w:val="005C483A"/>
    <w:rsid w:val="005C7F46"/>
    <w:rsid w:val="005D0A4B"/>
    <w:rsid w:val="005D1C54"/>
    <w:rsid w:val="005D5550"/>
    <w:rsid w:val="005E1E5C"/>
    <w:rsid w:val="005E3EFB"/>
    <w:rsid w:val="005E53EB"/>
    <w:rsid w:val="0060067C"/>
    <w:rsid w:val="00600F53"/>
    <w:rsid w:val="00601A52"/>
    <w:rsid w:val="0060768D"/>
    <w:rsid w:val="00615038"/>
    <w:rsid w:val="0062534E"/>
    <w:rsid w:val="00627F88"/>
    <w:rsid w:val="0064706C"/>
    <w:rsid w:val="00654103"/>
    <w:rsid w:val="00662C94"/>
    <w:rsid w:val="00671BD2"/>
    <w:rsid w:val="00671C36"/>
    <w:rsid w:val="00676FB8"/>
    <w:rsid w:val="00680AB8"/>
    <w:rsid w:val="00686F1B"/>
    <w:rsid w:val="006872D5"/>
    <w:rsid w:val="006932B0"/>
    <w:rsid w:val="006971B1"/>
    <w:rsid w:val="006A1D3D"/>
    <w:rsid w:val="006B31CE"/>
    <w:rsid w:val="006C3858"/>
    <w:rsid w:val="006C6D98"/>
    <w:rsid w:val="006D1B1D"/>
    <w:rsid w:val="006D1E0D"/>
    <w:rsid w:val="006D3981"/>
    <w:rsid w:val="006D6509"/>
    <w:rsid w:val="006F0959"/>
    <w:rsid w:val="006F2359"/>
    <w:rsid w:val="00706657"/>
    <w:rsid w:val="00706831"/>
    <w:rsid w:val="007076DD"/>
    <w:rsid w:val="00707A51"/>
    <w:rsid w:val="00712F6B"/>
    <w:rsid w:val="00730D19"/>
    <w:rsid w:val="00734DBD"/>
    <w:rsid w:val="00740AA6"/>
    <w:rsid w:val="00751C25"/>
    <w:rsid w:val="00753BC1"/>
    <w:rsid w:val="0076578C"/>
    <w:rsid w:val="0077387B"/>
    <w:rsid w:val="00781FA5"/>
    <w:rsid w:val="007836B0"/>
    <w:rsid w:val="007B192B"/>
    <w:rsid w:val="007C1007"/>
    <w:rsid w:val="007C7293"/>
    <w:rsid w:val="007D0E9B"/>
    <w:rsid w:val="007D3606"/>
    <w:rsid w:val="007D69DD"/>
    <w:rsid w:val="007E55E4"/>
    <w:rsid w:val="007E5D84"/>
    <w:rsid w:val="0080044A"/>
    <w:rsid w:val="00801FAA"/>
    <w:rsid w:val="00804503"/>
    <w:rsid w:val="00821C1E"/>
    <w:rsid w:val="00833426"/>
    <w:rsid w:val="00834A44"/>
    <w:rsid w:val="00834ED0"/>
    <w:rsid w:val="00837CE1"/>
    <w:rsid w:val="008774A8"/>
    <w:rsid w:val="00887B04"/>
    <w:rsid w:val="008903C7"/>
    <w:rsid w:val="008922E4"/>
    <w:rsid w:val="008A398D"/>
    <w:rsid w:val="008B6A01"/>
    <w:rsid w:val="008C2343"/>
    <w:rsid w:val="008C5274"/>
    <w:rsid w:val="008D5A9E"/>
    <w:rsid w:val="00904A45"/>
    <w:rsid w:val="00905ACE"/>
    <w:rsid w:val="009103B0"/>
    <w:rsid w:val="009262CA"/>
    <w:rsid w:val="00927E64"/>
    <w:rsid w:val="0093072D"/>
    <w:rsid w:val="00940EC9"/>
    <w:rsid w:val="00950578"/>
    <w:rsid w:val="00981D20"/>
    <w:rsid w:val="00991703"/>
    <w:rsid w:val="0099306A"/>
    <w:rsid w:val="009A38E5"/>
    <w:rsid w:val="009A3B33"/>
    <w:rsid w:val="009A3D36"/>
    <w:rsid w:val="009A5BE3"/>
    <w:rsid w:val="009B7C30"/>
    <w:rsid w:val="009C0CD4"/>
    <w:rsid w:val="009C2ABE"/>
    <w:rsid w:val="009C3E60"/>
    <w:rsid w:val="009D2D75"/>
    <w:rsid w:val="009D6854"/>
    <w:rsid w:val="009D6DD0"/>
    <w:rsid w:val="009E40E3"/>
    <w:rsid w:val="009E427B"/>
    <w:rsid w:val="00A1429D"/>
    <w:rsid w:val="00A15BBE"/>
    <w:rsid w:val="00A16E9B"/>
    <w:rsid w:val="00A2012F"/>
    <w:rsid w:val="00A21B42"/>
    <w:rsid w:val="00A25C6B"/>
    <w:rsid w:val="00A26570"/>
    <w:rsid w:val="00A315E4"/>
    <w:rsid w:val="00A57726"/>
    <w:rsid w:val="00A61290"/>
    <w:rsid w:val="00A630ED"/>
    <w:rsid w:val="00A643B1"/>
    <w:rsid w:val="00A64C65"/>
    <w:rsid w:val="00A65B1A"/>
    <w:rsid w:val="00A65D11"/>
    <w:rsid w:val="00A66157"/>
    <w:rsid w:val="00A84C69"/>
    <w:rsid w:val="00A97E21"/>
    <w:rsid w:val="00AA2802"/>
    <w:rsid w:val="00AB7A53"/>
    <w:rsid w:val="00AC4FEB"/>
    <w:rsid w:val="00AC520A"/>
    <w:rsid w:val="00AC582A"/>
    <w:rsid w:val="00AC5CF3"/>
    <w:rsid w:val="00AE005A"/>
    <w:rsid w:val="00AE3A96"/>
    <w:rsid w:val="00AF020E"/>
    <w:rsid w:val="00B0715C"/>
    <w:rsid w:val="00B114F1"/>
    <w:rsid w:val="00B11A1D"/>
    <w:rsid w:val="00B13306"/>
    <w:rsid w:val="00B13C6F"/>
    <w:rsid w:val="00B141A0"/>
    <w:rsid w:val="00B306E0"/>
    <w:rsid w:val="00B35CB6"/>
    <w:rsid w:val="00B37155"/>
    <w:rsid w:val="00B55306"/>
    <w:rsid w:val="00B817F8"/>
    <w:rsid w:val="00B9771A"/>
    <w:rsid w:val="00BA0E1F"/>
    <w:rsid w:val="00BB1210"/>
    <w:rsid w:val="00BC148D"/>
    <w:rsid w:val="00BC31CD"/>
    <w:rsid w:val="00BC411F"/>
    <w:rsid w:val="00BD47EB"/>
    <w:rsid w:val="00BE1B71"/>
    <w:rsid w:val="00BE4E75"/>
    <w:rsid w:val="00C00776"/>
    <w:rsid w:val="00C0111A"/>
    <w:rsid w:val="00C1063E"/>
    <w:rsid w:val="00C1087B"/>
    <w:rsid w:val="00C12AAA"/>
    <w:rsid w:val="00C172BC"/>
    <w:rsid w:val="00C24640"/>
    <w:rsid w:val="00C2588E"/>
    <w:rsid w:val="00C30350"/>
    <w:rsid w:val="00C31486"/>
    <w:rsid w:val="00C36DD0"/>
    <w:rsid w:val="00C46CDD"/>
    <w:rsid w:val="00C47898"/>
    <w:rsid w:val="00C51B55"/>
    <w:rsid w:val="00C54F90"/>
    <w:rsid w:val="00C6102C"/>
    <w:rsid w:val="00C7290A"/>
    <w:rsid w:val="00C73FE2"/>
    <w:rsid w:val="00C75AE3"/>
    <w:rsid w:val="00C81E85"/>
    <w:rsid w:val="00C9786A"/>
    <w:rsid w:val="00CA0DFA"/>
    <w:rsid w:val="00CB3896"/>
    <w:rsid w:val="00CB4D1A"/>
    <w:rsid w:val="00CC16FA"/>
    <w:rsid w:val="00CD120B"/>
    <w:rsid w:val="00CD4282"/>
    <w:rsid w:val="00CD767C"/>
    <w:rsid w:val="00CE25FD"/>
    <w:rsid w:val="00CE4F85"/>
    <w:rsid w:val="00CF2FC9"/>
    <w:rsid w:val="00D009A4"/>
    <w:rsid w:val="00D13B80"/>
    <w:rsid w:val="00D14061"/>
    <w:rsid w:val="00D148E6"/>
    <w:rsid w:val="00D4065A"/>
    <w:rsid w:val="00D409D3"/>
    <w:rsid w:val="00D541FD"/>
    <w:rsid w:val="00D6377F"/>
    <w:rsid w:val="00D706A9"/>
    <w:rsid w:val="00D74D4A"/>
    <w:rsid w:val="00D7666C"/>
    <w:rsid w:val="00D90CA6"/>
    <w:rsid w:val="00D941BE"/>
    <w:rsid w:val="00D97990"/>
    <w:rsid w:val="00DA0DCD"/>
    <w:rsid w:val="00DB190B"/>
    <w:rsid w:val="00DB391F"/>
    <w:rsid w:val="00DD06CA"/>
    <w:rsid w:val="00DD6000"/>
    <w:rsid w:val="00DE4C97"/>
    <w:rsid w:val="00E01E63"/>
    <w:rsid w:val="00E12555"/>
    <w:rsid w:val="00E17D13"/>
    <w:rsid w:val="00E337D4"/>
    <w:rsid w:val="00E34B38"/>
    <w:rsid w:val="00E42E52"/>
    <w:rsid w:val="00E43BE2"/>
    <w:rsid w:val="00E463EB"/>
    <w:rsid w:val="00E54B86"/>
    <w:rsid w:val="00E7112B"/>
    <w:rsid w:val="00E81A49"/>
    <w:rsid w:val="00E86373"/>
    <w:rsid w:val="00E904FC"/>
    <w:rsid w:val="00E94DAC"/>
    <w:rsid w:val="00EB2A20"/>
    <w:rsid w:val="00EC0744"/>
    <w:rsid w:val="00EC623D"/>
    <w:rsid w:val="00ED6979"/>
    <w:rsid w:val="00ED76CF"/>
    <w:rsid w:val="00EE0DF0"/>
    <w:rsid w:val="00EE32B7"/>
    <w:rsid w:val="00EE70CB"/>
    <w:rsid w:val="00F15A08"/>
    <w:rsid w:val="00F232A1"/>
    <w:rsid w:val="00F30C62"/>
    <w:rsid w:val="00F375AE"/>
    <w:rsid w:val="00F40264"/>
    <w:rsid w:val="00F50332"/>
    <w:rsid w:val="00F5502F"/>
    <w:rsid w:val="00F60AEB"/>
    <w:rsid w:val="00F67445"/>
    <w:rsid w:val="00F71440"/>
    <w:rsid w:val="00F75DFE"/>
    <w:rsid w:val="00F84BF4"/>
    <w:rsid w:val="00FA00AB"/>
    <w:rsid w:val="00FB52D0"/>
    <w:rsid w:val="00FB720E"/>
    <w:rsid w:val="00FB73D6"/>
    <w:rsid w:val="00FC1874"/>
    <w:rsid w:val="00FC5365"/>
    <w:rsid w:val="00FD2642"/>
    <w:rsid w:val="00FE7EE9"/>
    <w:rsid w:val="00FF4B27"/>
    <w:rsid w:val="00FF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DE1C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B141A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387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04A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4A45"/>
  </w:style>
  <w:style w:type="paragraph" w:styleId="Footer">
    <w:name w:val="footer"/>
    <w:basedOn w:val="Normal"/>
    <w:link w:val="FooterChar"/>
    <w:uiPriority w:val="99"/>
    <w:unhideWhenUsed/>
    <w:rsid w:val="00904A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4A45"/>
  </w:style>
  <w:style w:type="character" w:styleId="LineNumber">
    <w:name w:val="line number"/>
    <w:basedOn w:val="DefaultParagraphFont"/>
    <w:uiPriority w:val="99"/>
    <w:semiHidden/>
    <w:unhideWhenUsed/>
    <w:rsid w:val="00A66157"/>
  </w:style>
  <w:style w:type="paragraph" w:styleId="NormalWeb">
    <w:name w:val="Normal (Web)"/>
    <w:basedOn w:val="Normal"/>
    <w:uiPriority w:val="99"/>
    <w:unhideWhenUsed/>
    <w:rsid w:val="00A66157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rsid w:val="00801FA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2E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2E4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007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07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07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7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74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15036"/>
  </w:style>
  <w:style w:type="character" w:styleId="FollowedHyperlink">
    <w:name w:val="FollowedHyperlink"/>
    <w:basedOn w:val="DefaultParagraphFont"/>
    <w:uiPriority w:val="99"/>
    <w:semiHidden/>
    <w:unhideWhenUsed/>
    <w:rsid w:val="00CA0DFA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rsid w:val="00580C2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80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F375AE"/>
  </w:style>
  <w:style w:type="paragraph" w:styleId="FootnoteText">
    <w:name w:val="footnote text"/>
    <w:basedOn w:val="Normal"/>
    <w:link w:val="FootnoteTextChar"/>
    <w:uiPriority w:val="99"/>
    <w:unhideWhenUsed/>
    <w:rsid w:val="008A398D"/>
  </w:style>
  <w:style w:type="character" w:customStyle="1" w:styleId="FootnoteTextChar">
    <w:name w:val="Footnote Text Char"/>
    <w:basedOn w:val="DefaultParagraphFont"/>
    <w:link w:val="FootnoteText"/>
    <w:uiPriority w:val="99"/>
    <w:rsid w:val="008A398D"/>
  </w:style>
  <w:style w:type="character" w:styleId="FootnoteReference">
    <w:name w:val="footnote reference"/>
    <w:basedOn w:val="DefaultParagraphFont"/>
    <w:uiPriority w:val="99"/>
    <w:unhideWhenUsed/>
    <w:rsid w:val="008A398D"/>
    <w:rPr>
      <w:vertAlign w:val="superscript"/>
    </w:rPr>
  </w:style>
  <w:style w:type="paragraph" w:styleId="ListParagraph">
    <w:name w:val="List Paragraph"/>
    <w:basedOn w:val="Normal"/>
    <w:uiPriority w:val="34"/>
    <w:qFormat/>
    <w:rsid w:val="00927E6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781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805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7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2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6035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4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0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113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52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8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0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508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188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2988">
          <w:marLeft w:val="0"/>
          <w:marRight w:val="450"/>
          <w:marTop w:val="15"/>
          <w:marBottom w:val="15"/>
          <w:divBdr>
            <w:top w:val="none" w:sz="0" w:space="0" w:color="auto"/>
            <w:left w:val="single" w:sz="24" w:space="7" w:color="EAEAEA"/>
            <w:bottom w:val="none" w:sz="0" w:space="0" w:color="auto"/>
            <w:right w:val="none" w:sz="0" w:space="0" w:color="auto"/>
          </w:divBdr>
        </w:div>
        <w:div w:id="922495786">
          <w:marLeft w:val="0"/>
          <w:marRight w:val="450"/>
          <w:marTop w:val="15"/>
          <w:marBottom w:val="15"/>
          <w:divBdr>
            <w:top w:val="none" w:sz="0" w:space="0" w:color="auto"/>
            <w:left w:val="single" w:sz="24" w:space="7" w:color="67BB82"/>
            <w:bottom w:val="none" w:sz="0" w:space="0" w:color="auto"/>
            <w:right w:val="single" w:sz="24" w:space="7" w:color="67BB82"/>
          </w:divBdr>
        </w:div>
        <w:div w:id="344479139">
          <w:marLeft w:val="0"/>
          <w:marRight w:val="450"/>
          <w:marTop w:val="15"/>
          <w:marBottom w:val="15"/>
          <w:divBdr>
            <w:top w:val="none" w:sz="0" w:space="0" w:color="auto"/>
            <w:left w:val="single" w:sz="24" w:space="7" w:color="67BB82"/>
            <w:bottom w:val="none" w:sz="0" w:space="0" w:color="auto"/>
            <w:right w:val="single" w:sz="24" w:space="7" w:color="67BB82"/>
          </w:divBdr>
        </w:div>
        <w:div w:id="1303270782">
          <w:marLeft w:val="0"/>
          <w:marRight w:val="450"/>
          <w:marTop w:val="15"/>
          <w:marBottom w:val="15"/>
          <w:divBdr>
            <w:top w:val="none" w:sz="0" w:space="0" w:color="auto"/>
            <w:left w:val="single" w:sz="24" w:space="7" w:color="67BB82"/>
            <w:bottom w:val="none" w:sz="0" w:space="0" w:color="auto"/>
            <w:right w:val="single" w:sz="24" w:space="7" w:color="67BB82"/>
          </w:divBdr>
        </w:div>
        <w:div w:id="576744049">
          <w:marLeft w:val="0"/>
          <w:marRight w:val="450"/>
          <w:marTop w:val="15"/>
          <w:marBottom w:val="15"/>
          <w:divBdr>
            <w:top w:val="none" w:sz="0" w:space="0" w:color="auto"/>
            <w:left w:val="single" w:sz="24" w:space="7" w:color="67BB82"/>
            <w:bottom w:val="none" w:sz="0" w:space="0" w:color="auto"/>
            <w:right w:val="single" w:sz="24" w:space="7" w:color="67BB82"/>
          </w:divBdr>
        </w:div>
      </w:divsChild>
    </w:div>
    <w:div w:id="5791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6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8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8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1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8953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5370">
              <w:marLeft w:val="0"/>
              <w:marRight w:val="0"/>
              <w:marTop w:val="0"/>
              <w:marBottom w:val="4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1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86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5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6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3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8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23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2047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74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7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240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4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3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4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8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952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4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0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9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490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5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3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85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3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3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3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5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1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98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9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9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0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20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3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3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ncbi.nlm.nih.gov/pmc/articles/PMC5794212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iorxiv.org/content/10.1101/2020.10.12.335331v1" TargetMode="External"/><Relationship Id="rId17" Type="http://schemas.openxmlformats.org/officeDocument/2006/relationships/hyperlink" Target="http://github.com/ncborcherding/cling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ncborcherding/lg_dataAnalysi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ultiplexed%20detection%20of%20proteins,%20transcriptomes,%20clonotypes%20and%20CRISPR%20perturbations%20in%20single%20cell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ubmed.ncbi.nlm.nih.gov/32103181/" TargetMode="External"/><Relationship Id="rId10" Type="http://schemas.openxmlformats.org/officeDocument/2006/relationships/hyperlink" Target="https://genomebiology.biomedcentral.com/articles/10.1186/s13059-020-1926-6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f1000research.com/articles/9-47/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553881-EDDE-C943-8D95-0126C1242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Kirsten Karkow</cp:lastModifiedBy>
  <cp:revision>7</cp:revision>
  <cp:lastPrinted>2020-07-07T12:14:00Z</cp:lastPrinted>
  <dcterms:created xsi:type="dcterms:W3CDTF">2020-10-30T16:54:00Z</dcterms:created>
  <dcterms:modified xsi:type="dcterms:W3CDTF">2020-10-31T14:42:00Z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http://www.zotero.org/styles/cell</vt:lpwstr>
  </property>
  <property fmtid="{D5CDD505-2E9C-101B-9397-08002B2CF9AE}" pid="9" name="Mendeley Recent Style Name 3_1">
    <vt:lpwstr>Cell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http://www.zotero.org/styles/clinical-cancer-research</vt:lpwstr>
  </property>
  <property fmtid="{D5CDD505-2E9C-101B-9397-08002B2CF9AE}" pid="13" name="Mendeley Recent Style Name 5_1">
    <vt:lpwstr>Clinical Cancer Research</vt:lpwstr>
  </property>
  <property fmtid="{D5CDD505-2E9C-101B-9397-08002B2CF9AE}" pid="14" name="Mendeley Recent Style Id 6_1">
    <vt:lpwstr>http://www.zotero.org/styles/f1000research</vt:lpwstr>
  </property>
  <property fmtid="{D5CDD505-2E9C-101B-9397-08002B2CF9AE}" pid="15" name="Mendeley Recent Style Name 6_1">
    <vt:lpwstr>F1000Research</vt:lpwstr>
  </property>
  <property fmtid="{D5CDD505-2E9C-101B-9397-08002B2CF9AE}" pid="16" name="Mendeley Recent Style Id 7_1">
    <vt:lpwstr>http://www.zotero.org/styles/frontiers-in-oncology</vt:lpwstr>
  </property>
  <property fmtid="{D5CDD505-2E9C-101B-9397-08002B2CF9AE}" pid="17" name="Mendeley Recent Style Name 7_1">
    <vt:lpwstr>Frontiers in Oncology</vt:lpwstr>
  </property>
  <property fmtid="{D5CDD505-2E9C-101B-9397-08002B2CF9AE}" pid="18" name="Mendeley Recent Style Id 8_1">
    <vt:lpwstr>http://www.zotero.org/styles/science-translational-medicine</vt:lpwstr>
  </property>
  <property fmtid="{D5CDD505-2E9C-101B-9397-08002B2CF9AE}" pid="19" name="Mendeley Recent Style Name 8_1">
    <vt:lpwstr>Science Translational Medicine</vt:lpwstr>
  </property>
  <property fmtid="{D5CDD505-2E9C-101B-9397-08002B2CF9AE}" pid="20" name="Mendeley Recent Style Id 9_1">
    <vt:lpwstr>http://www.zotero.org/styles/the-oncologist</vt:lpwstr>
  </property>
  <property fmtid="{D5CDD505-2E9C-101B-9397-08002B2CF9AE}" pid="21" name="Mendeley Recent Style Name 9_1">
    <vt:lpwstr>The Oncologist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6c83b645-6ecf-3387-af99-06989b9d42af</vt:lpwstr>
  </property>
  <property fmtid="{D5CDD505-2E9C-101B-9397-08002B2CF9AE}" pid="24" name="Mendeley Citation Style_1">
    <vt:lpwstr>http://www.zotero.org/styles/frontiers-in-oncology</vt:lpwstr>
  </property>
</Properties>
</file>