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0A3D3D"/>
          <w:sz w:val="56"/>
          <w:szCs w:val="56"/>
        </w:rPr>
        <w:t xml:space="preserve">⚖️  AMICUS AI</w:t>
      </w:r>
    </w:p>
    <w:p>
      <w:pPr>
        <w:spacing w:after="120"/>
        <w:jc w:val="center"/>
      </w:pPr>
      <w:r>
        <w:rPr>
          <w:rFonts w:ascii="Arial" w:cs="Arial" w:eastAsia="Arial" w:hAnsi="Arial"/>
          <w:color w:val="1F5F5F"/>
          <w:sz w:val="32"/>
          <w:szCs w:val="32"/>
        </w:rPr>
        <w:t xml:space="preserve">AI Legal Document Intelligence</w:t>
      </w:r>
    </w:p>
    <w:p>
      <w:pPr>
        <w:spacing w:after="120"/>
        <w:jc w:val="center"/>
      </w:pPr>
      <w:r>
        <w:rPr>
          <w:rFonts w:ascii="Arial" w:cs="Arial" w:eastAsia="Arial" w:hAnsi="Arial"/>
          <w:i/>
          <w:iCs/>
          <w:color w:val="444444"/>
          <w:sz w:val="24"/>
          <w:szCs w:val="24"/>
        </w:rPr>
        <w:t xml:space="preserve">Fully Local · Air-Gapped · Attorney-Client Privilege Protected</w:t>
      </w:r>
    </w:p>
    <w:p>
      <w:pPr>
        <w:spacing w:after="720"/>
        <w:jc w:val="center"/>
      </w:pPr>
      <w:r>
        <w:rPr>
          <w:rFonts w:ascii="Arial" w:cs="Arial" w:eastAsia="Arial" w:hAnsi="Arial"/>
          <w:color w:val="666666"/>
          <w:sz w:val="24"/>
          <w:szCs w:val="24"/>
        </w:rPr>
        <w:t xml:space="preserve">Project Deliverable — Tasks 1–7</w:t>
      </w:r>
    </w:p>
    <w:p>
      <w:pPr>
        <w:spacing w:after="120"/>
        <w:jc w:val="center"/>
      </w:pPr>
      <w:r>
        <w:rPr>
          <w:rFonts w:ascii="Arial" w:cs="Arial" w:eastAsia="Arial" w:hAnsi="Arial"/>
          <w:b/>
          <w:bCs/>
          <w:sz w:val="26"/>
          <w:szCs w:val="26"/>
        </w:rPr>
        <w:t xml:space="preserve">Michael Doran</w:t>
      </w:r>
    </w:p>
    <w:p>
      <w:pPr>
        <w:jc w:val="center"/>
      </w:pPr>
      <w:r>
        <w:rPr>
          <w:rFonts w:ascii="Arial" w:cs="Arial" w:eastAsia="Arial" w:hAnsi="Arial"/>
          <w:color w:val="1F5F5F"/>
          <w:sz w:val="22"/>
          <w:szCs w:val="22"/>
        </w:rPr>
        <w:t xml:space="preserve">GitHub: github.com/ncc1701mike/legal-ai-assistant</w:t>
      </w:r>
    </w:p>
    <w:p>
      <w:r>
        <w:br w:type="page"/>
      </w:r>
    </w:p>
    <w:p>
      <w:pPr>
        <w:pStyle w:val="Heading1"/>
        <w:spacing w:before="360" w:after="120"/>
      </w:pPr>
      <w:r>
        <w:rPr>
          <w:rFonts w:ascii="Arial" w:cs="Arial" w:eastAsia="Arial" w:hAnsi="Arial"/>
          <w:b/>
          <w:bCs/>
          <w:sz w:val="32"/>
          <w:szCs w:val="32"/>
        </w:rPr>
        <w:t xml:space="preserve">Task 1: Problem Definition &amp; User</w:t>
      </w:r>
    </w:p>
    <w:p>
      <w:pPr>
        <w:pBdr>
          <w:bottom w:val="single" w:color="1F5F5F" w:sz="6" w:space="1"/>
        </w:pBdr>
        <w:spacing w:before="120" w:after="120"/>
      </w:pPr>
      <w:r>
        <w:t xml:space="preserve"/>
      </w:r>
    </w:p>
    <w:p>
      <w:pPr>
        <w:pStyle w:val="Heading2"/>
        <w:spacing w:before="240" w:after="80"/>
      </w:pPr>
      <w:r>
        <w:rPr>
          <w:rFonts w:ascii="Arial" w:cs="Arial" w:eastAsia="Arial" w:hAnsi="Arial"/>
          <w:b/>
          <w:bCs/>
          <w:color w:val="1F5F5F"/>
          <w:sz w:val="26"/>
          <w:szCs w:val="26"/>
        </w:rPr>
        <w:t xml:space="preserve">Problem Statement</w:t>
      </w:r>
    </w:p>
    <w:p>
      <w:pPr>
        <w:spacing w:after="120"/>
      </w:pPr>
      <w:r>
        <w:rPr>
          <w:rFonts w:ascii="Arial" w:cs="Arial" w:eastAsia="Arial" w:hAnsi="Arial"/>
          <w:sz w:val="22"/>
          <w:szCs w:val="22"/>
        </w:rPr>
        <w:t xml:space="preserve">Litigation attorneys cannot safely use cloud-based AI tools to analyze sensitive case documents, leaving them to manually sift through thousands of pages of discovery materials without intelligent assistance.</w:t>
      </w:r>
    </w:p>
    <w:p>
      <w:pPr>
        <w:pStyle w:val="Heading2"/>
        <w:spacing w:before="240" w:after="80"/>
      </w:pPr>
      <w:r>
        <w:rPr>
          <w:rFonts w:ascii="Arial" w:cs="Arial" w:eastAsia="Arial" w:hAnsi="Arial"/>
          <w:b/>
          <w:bCs/>
          <w:color w:val="1F5F5F"/>
          <w:sz w:val="26"/>
          <w:szCs w:val="26"/>
        </w:rPr>
        <w:t xml:space="preserve">Why This Is a Problem for Shenelle</w:t>
      </w:r>
    </w:p>
    <w:p>
      <w:pPr>
        <w:spacing w:after="120"/>
      </w:pPr>
      <w:r>
        <w:rPr>
          <w:rFonts w:ascii="Arial" w:cs="Arial" w:eastAsia="Arial" w:hAnsi="Arial"/>
          <w:sz w:val="22"/>
          <w:szCs w:val="22"/>
        </w:rPr>
        <w:t xml:space="preserve">Shenelle Washington is a litigation attorney whose work centers on the discovery phase of civil litigation. During discovery, she routinely receives massive document productions — potentially thousands of pages of contracts, depositions, medical records, financial records, and court filings — all containing sensitive personal information subject to attorney-client privilege and confidentiality obligations.</w:t>
      </w:r>
    </w:p>
    <w:p>
      <w:pPr>
        <w:spacing w:after="120"/>
      </w:pPr>
      <w:r>
        <w:rPr>
          <w:rFonts w:ascii="Arial" w:cs="Arial" w:eastAsia="Arial" w:hAnsi="Arial"/>
          <w:sz w:val="22"/>
          <w:szCs w:val="22"/>
        </w:rPr>
        <w:t xml:space="preserve">Existing AI tools like ChatGPT require documents to be uploaded to third-party cloud servers, which is incompatible with attorney ethics rules governing client confidentiality and privilege. Shenelle needs to perform rapid document triage, extract key facts, identify relevant patterns across documents, generate redacted templates, and research applicable case law — all without exposing her clients' data to any external system. No commercially available tool addresses this combination of requirements. The result is that she performs this work manually, at enormous cost in time and cognitive load.</w:t>
      </w:r>
    </w:p>
    <w:p>
      <w:pPr>
        <w:pStyle w:val="Heading2"/>
        <w:spacing w:before="240" w:after="80"/>
      </w:pPr>
      <w:r>
        <w:rPr>
          <w:rFonts w:ascii="Arial" w:cs="Arial" w:eastAsia="Arial" w:hAnsi="Arial"/>
          <w:b/>
          <w:bCs/>
          <w:color w:val="1F5F5F"/>
          <w:sz w:val="26"/>
          <w:szCs w:val="26"/>
        </w:rPr>
        <w:t xml:space="preserve">Sample Questions Shenelle Will Ask</w:t>
      </w:r>
    </w:p>
    <w:p>
      <w:pPr>
        <w:pStyle w:val="ListParagraph"/>
        <w:numPr>
          <w:ilvl w:val="0"/>
          <w:numId w:val="2"/>
        </w:numPr>
        <w:spacing w:after="60"/>
      </w:pPr>
      <w:r>
        <w:rPr>
          <w:rFonts w:ascii="Arial" w:cs="Arial" w:eastAsia="Arial" w:hAnsi="Arial"/>
          <w:sz w:val="22"/>
          <w:szCs w:val="22"/>
        </w:rPr>
        <w:t xml:space="preserve">"Find all examples in the uploaded documents where the defendant demonstrated knowledge of the anti-discrimination policy."</w:t>
      </w:r>
    </w:p>
    <w:p>
      <w:pPr>
        <w:pStyle w:val="ListParagraph"/>
        <w:numPr>
          <w:ilvl w:val="0"/>
          <w:numId w:val="2"/>
        </w:numPr>
        <w:spacing w:after="60"/>
      </w:pPr>
      <w:r>
        <w:rPr>
          <w:rFonts w:ascii="Arial" w:cs="Arial" w:eastAsia="Arial" w:hAnsi="Arial"/>
          <w:sz w:val="22"/>
          <w:szCs w:val="22"/>
        </w:rPr>
        <w:t xml:space="preserve">"Summarize the key claims and relief requested in this complaint."</w:t>
      </w:r>
    </w:p>
    <w:p>
      <w:pPr>
        <w:pStyle w:val="ListParagraph"/>
        <w:numPr>
          <w:ilvl w:val="0"/>
          <w:numId w:val="2"/>
        </w:numPr>
        <w:spacing w:after="60"/>
      </w:pPr>
      <w:r>
        <w:rPr>
          <w:rFonts w:ascii="Arial" w:cs="Arial" w:eastAsia="Arial" w:hAnsi="Arial"/>
          <w:sz w:val="22"/>
          <w:szCs w:val="22"/>
        </w:rPr>
        <w:t xml:space="preserve">"What did the expert witness say about the statistical significance of the promotion data?"</w:t>
      </w:r>
    </w:p>
    <w:p>
      <w:pPr>
        <w:pStyle w:val="ListParagraph"/>
        <w:numPr>
          <w:ilvl w:val="0"/>
          <w:numId w:val="2"/>
        </w:numPr>
        <w:spacing w:after="60"/>
      </w:pPr>
      <w:r>
        <w:rPr>
          <w:rFonts w:ascii="Arial" w:cs="Arial" w:eastAsia="Arial" w:hAnsi="Arial"/>
          <w:sz w:val="22"/>
          <w:szCs w:val="22"/>
        </w:rPr>
        <w:t xml:space="preserve">"What are the confidentiality obligations under the settlement agreement?"</w:t>
      </w:r>
    </w:p>
    <w:p>
      <w:pPr>
        <w:pStyle w:val="ListParagraph"/>
        <w:numPr>
          <w:ilvl w:val="0"/>
          <w:numId w:val="2"/>
        </w:numPr>
        <w:spacing w:after="60"/>
      </w:pPr>
      <w:r>
        <w:rPr>
          <w:rFonts w:ascii="Arial" w:cs="Arial" w:eastAsia="Arial" w:hAnsi="Arial"/>
          <w:sz w:val="22"/>
          <w:szCs w:val="22"/>
        </w:rPr>
        <w:t xml:space="preserve">"Which Second Circuit cases were cited in the court's retaliation analysis?"</w:t>
      </w:r>
    </w:p>
    <w:p>
      <w:pPr>
        <w:pStyle w:val="ListParagraph"/>
        <w:numPr>
          <w:ilvl w:val="0"/>
          <w:numId w:val="2"/>
        </w:numPr>
        <w:spacing w:after="60"/>
      </w:pPr>
      <w:r>
        <w:rPr>
          <w:rFonts w:ascii="Arial" w:cs="Arial" w:eastAsia="Arial" w:hAnsi="Arial"/>
          <w:sz w:val="22"/>
          <w:szCs w:val="22"/>
        </w:rPr>
        <w:t xml:space="preserve">"Redact all names, dates, and financial amounts from this deposition transcript and export as a reusable template."</w:t>
      </w:r>
    </w:p>
    <w:p>
      <w:pPr>
        <w:pStyle w:val="ListParagraph"/>
        <w:numPr>
          <w:ilvl w:val="0"/>
          <w:numId w:val="2"/>
        </w:numPr>
        <w:spacing w:after="60"/>
      </w:pPr>
      <w:r>
        <w:rPr>
          <w:rFonts w:ascii="Arial" w:cs="Arial" w:eastAsia="Arial" w:hAnsi="Arial"/>
          <w:sz w:val="22"/>
          <w:szCs w:val="22"/>
        </w:rPr>
        <w:t xml:space="preserve">"Was the plaintiff's position actually eliminated after her termination?"</w:t>
      </w:r>
    </w:p>
    <w:p>
      <w:pPr>
        <w:pStyle w:val="ListParagraph"/>
        <w:numPr>
          <w:ilvl w:val="0"/>
          <w:numId w:val="2"/>
        </w:numPr>
        <w:spacing w:after="60"/>
      </w:pPr>
      <w:r>
        <w:rPr>
          <w:rFonts w:ascii="Arial" w:cs="Arial" w:eastAsia="Arial" w:hAnsi="Arial"/>
          <w:sz w:val="22"/>
          <w:szCs w:val="22"/>
        </w:rPr>
        <w:t xml:space="preserve">"What did the company's own lawyer recommend internally, and did the company follow that advice?"</w:t>
      </w:r>
    </w:p>
    <w:p>
      <w:pPr>
        <w:pStyle w:val="ListParagraph"/>
        <w:numPr>
          <w:ilvl w:val="0"/>
          <w:numId w:val="2"/>
        </w:numPr>
        <w:spacing w:after="60"/>
      </w:pPr>
      <w:r>
        <w:rPr>
          <w:rFonts w:ascii="Arial" w:cs="Arial" w:eastAsia="Arial" w:hAnsi="Arial"/>
          <w:sz w:val="22"/>
          <w:szCs w:val="22"/>
        </w:rPr>
        <w:t xml:space="preserve">"Search for recent Second Circuit cases on ADA reasonable accommodation and interactive process requirements."</w:t>
      </w:r>
    </w:p>
    <w:p>
      <w:r>
        <w:br w:type="page"/>
      </w:r>
    </w:p>
    <w:p>
      <w:pPr>
        <w:pStyle w:val="Heading1"/>
        <w:spacing w:before="360" w:after="120"/>
      </w:pPr>
      <w:r>
        <w:rPr>
          <w:rFonts w:ascii="Arial" w:cs="Arial" w:eastAsia="Arial" w:hAnsi="Arial"/>
          <w:b/>
          <w:bCs/>
          <w:sz w:val="32"/>
          <w:szCs w:val="32"/>
        </w:rPr>
        <w:t xml:space="preserve">Task 2: Proposed Solution</w:t>
      </w:r>
    </w:p>
    <w:p>
      <w:pPr>
        <w:pBdr>
          <w:bottom w:val="single" w:color="1F5F5F" w:sz="6" w:space="1"/>
        </w:pBdr>
        <w:spacing w:before="120" w:after="120"/>
      </w:pPr>
      <w:r>
        <w:t xml:space="preserve"/>
      </w:r>
    </w:p>
    <w:p>
      <w:pPr>
        <w:pStyle w:val="Heading2"/>
        <w:spacing w:before="240" w:after="80"/>
      </w:pPr>
      <w:r>
        <w:rPr>
          <w:rFonts w:ascii="Arial" w:cs="Arial" w:eastAsia="Arial" w:hAnsi="Arial"/>
          <w:b/>
          <w:bCs/>
          <w:color w:val="1F5F5F"/>
          <w:sz w:val="26"/>
          <w:szCs w:val="26"/>
        </w:rPr>
        <w:t xml:space="preserve">Solution Overview</w:t>
      </w:r>
    </w:p>
    <w:p>
      <w:pPr>
        <w:spacing w:after="120"/>
      </w:pPr>
      <w:r>
        <w:rPr>
          <w:rFonts w:ascii="Arial" w:cs="Arial" w:eastAsia="Arial" w:hAnsi="Arial"/>
          <w:sz w:val="22"/>
          <w:szCs w:val="22"/>
        </w:rPr>
        <w:t xml:space="preserve">Amicus AI is a fully local, air-gapped legal document intelligence platform built on a RAG (Retrieval-Augmented Generation) architecture. It runs entirely on Shenelle's MacBook Air M3/M4 with 24GB unified memory — no documents, queries, or responses ever leave the machine during normal operation.</w:t>
      </w:r>
    </w:p>
    <w:p>
      <w:pPr>
        <w:spacing w:after="120"/>
      </w:pPr>
      <w:r>
        <w:rPr>
          <w:rFonts w:ascii="Arial" w:cs="Arial" w:eastAsia="Arial" w:hAnsi="Arial"/>
          <w:sz w:val="22"/>
          <w:szCs w:val="22"/>
        </w:rPr>
        <w:t xml:space="preserve">The application presents as a four-tab Streamlit web interface accessible at localhost:8501. Tab 1 (Query Documents) provides conversational document analysis with source citations and relevance scores. Tab 2 (Summarize) generates structured executive summaries of the entire document corpus. Tab 3 (Redact) performs selective PII detection and replacement with export to TXT, DOCX Template, and PDF. Tab 4 (Case Law) provides optional CourtListener integration for public case law research — disabled by default to maintain air-gap security, activatable via a single UI toggle when internet research is needed.</w:t>
      </w:r>
    </w:p>
    <w:p>
      <w:pPr>
        <w:pStyle w:val="Heading2"/>
        <w:spacing w:before="240" w:after="80"/>
      </w:pPr>
      <w:r>
        <w:rPr>
          <w:rFonts w:ascii="Arial" w:cs="Arial" w:eastAsia="Arial" w:hAnsi="Arial"/>
          <w:b/>
          <w:bCs/>
          <w:color w:val="1F5F5F"/>
          <w:sz w:val="26"/>
          <w:szCs w:val="26"/>
        </w:rPr>
        <w:t xml:space="preserve">Infrastructure Diagram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200"/>
        <w:gridCol w:w="2360"/>
      </w:tblGrid>
      <w:tr>
        <w:trPr>
          <w:tblHeader/>
        </w:trPr>
        <w:tc>
          <w:tcPr>
            <w:tcW w:type="dxa" w:w="3800"/>
            <w:tcBorders>
              <w:top w:val="single" w:color="CCCCCC" w:sz="1"/>
              <w:left w:val="single" w:color="CCCCCC" w:sz="1"/>
              <w:bottom w:val="single" w:color="CCCCCC" w:sz="1"/>
              <w:right w:val="single" w:color="CCCCCC" w:sz="1"/>
            </w:tcBorders>
            <w:shd w:fill="0A3D3D"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0A3D3D"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360"/>
            <w:tcBorders>
              <w:top w:val="single" w:color="CCCCCC" w:sz="1"/>
              <w:left w:val="single" w:color="CCCCCC" w:sz="1"/>
              <w:bottom w:val="single" w:color="CCCCCC" w:sz="1"/>
              <w:right w:val="single" w:color="CCCCCC" w:sz="1"/>
            </w:tcBorders>
            <w:shd w:fill="0A3D3D"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LLM</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Llama 3.1 8B (Ollama)</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Best-in-class open-weight model for instruction following; Ollama enables one-command local serving with no API keys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Orchestration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LangChain / LangGraph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Production-grade RAG chain construction; LangGraph provides stateful agent primitives for future multi-hop retrieval</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Embedding Model</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all-MiniLM-L6-v2 (sentence-transformers)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Fast, lightweight, runs fully on CPU/MPS; 384-dim embeddings balance quality and speed for legal text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Reranker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ms-marco-MiniLM-L-6-v2 (cross-encoder)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Cross-attention reranking dramatically improves precision; MiniLM variant fast enough for real-time use</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Vector Database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ChromaDB (persistent)</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Zero-config persistent vector store; cosine similarity; no server process required; data stays on disk locally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OCR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Tesseract 5.5 via PyMuPDF</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Native PyMuPDF integration eliminates pdf2image dependency; handles scanned court documents automatically</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BM25</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rank-bm25</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Keyword retrieval catches exact legal citations and statute numbers that semantic search misses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Evaluation Framework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RAGAS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Industry-standard RAG evaluation; supports faithfulness, context precision, and context recall without ground-truth labels</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Monitoring</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Logging (stdlib) + Streamlit metrics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Lightweight monitoring appropriate for single-user local deployment; rerank scores surfaced in UI</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Interface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Streamlit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Rapid prototyping with professional output; native file upload, chat interface, and download buttons</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Deployment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Local endpoint (localhost:8501)</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Air-gap requirement mandates local deployment; no cloud infrastructure needed or desired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 API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CourtListener REST API v4</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no API key required; directly relevant to litigation research; modular bolt-on that can be disabled</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PII Detection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spaCy (en_core_web_lg) + regex</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Dual-pass approach: spaCy NER catches contextual entities, regex catches structured patterns (SSN, phone, case numbers)</w:t>
            </w:r>
          </w:p>
        </w:tc>
      </w:tr>
    </w:tbl>
    <w:p>
      <w:r>
        <w:t xml:space="preserve"/>
      </w:r>
    </w:p>
    <w:p>
      <w:pPr>
        <w:pStyle w:val="Heading2"/>
        <w:spacing w:before="240" w:after="80"/>
      </w:pPr>
      <w:r>
        <w:rPr>
          <w:rFonts w:ascii="Arial" w:cs="Arial" w:eastAsia="Arial" w:hAnsi="Arial"/>
          <w:b/>
          <w:bCs/>
          <w:color w:val="1F5F5F"/>
          <w:sz w:val="26"/>
          <w:szCs w:val="26"/>
        </w:rPr>
        <w:t xml:space="preserve">RAG and Agent Components</w:t>
      </w:r>
    </w:p>
    <w:p>
      <w:pPr>
        <w:spacing w:before="160" w:after="60"/>
      </w:pPr>
      <w:r>
        <w:rPr>
          <w:rFonts w:ascii="Arial" w:cs="Arial" w:eastAsia="Arial" w:hAnsi="Arial"/>
          <w:b/>
          <w:bCs/>
          <w:sz w:val="24"/>
          <w:szCs w:val="24"/>
        </w:rPr>
        <w:t xml:space="preserve">RAG Components</w:t>
      </w:r>
    </w:p>
    <w:p>
      <w:pPr>
        <w:pStyle w:val="ListParagraph"/>
        <w:numPr>
          <w:ilvl w:val="0"/>
          <w:numId w:val="2"/>
        </w:numPr>
        <w:spacing w:after="60"/>
      </w:pPr>
      <w:r>
        <w:rPr>
          <w:rFonts w:ascii="Arial" w:cs="Arial" w:eastAsia="Arial" w:hAnsi="Arial"/>
          <w:sz w:val="22"/>
          <w:szCs w:val="22"/>
        </w:rPr>
        <w:t xml:space="preserve">Document ingestion pipeline: multi-format extraction (PDF/DOCX/TXT/XLSX/CSV), OCR fallback for scanned PDFs, recursive character text splitting (800 chars, 300 overlap), ChromaDB persistence</w:t>
      </w:r>
    </w:p>
    <w:p>
      <w:pPr>
        <w:pStyle w:val="ListParagraph"/>
        <w:numPr>
          <w:ilvl w:val="0"/>
          <w:numId w:val="2"/>
        </w:numPr>
        <w:spacing w:after="60"/>
      </w:pPr>
      <w:r>
        <w:rPr>
          <w:rFonts w:ascii="Arial" w:cs="Arial" w:eastAsia="Arial" w:hAnsi="Arial"/>
          <w:sz w:val="22"/>
          <w:szCs w:val="22"/>
        </w:rPr>
        <w:t xml:space="preserve">Three-stage retrieval: HyDE + BM25 hybrid with RRF fusion generates 30 candidates; cross-encoder reranker scores each against the actual query; top 7 chunks passed to LLM</w:t>
      </w:r>
    </w:p>
    <w:p>
      <w:pPr>
        <w:pStyle w:val="ListParagraph"/>
        <w:numPr>
          <w:ilvl w:val="0"/>
          <w:numId w:val="2"/>
        </w:numPr>
        <w:spacing w:after="60"/>
      </w:pPr>
      <w:r>
        <w:rPr>
          <w:rFonts w:ascii="Arial" w:cs="Arial" w:eastAsia="Arial" w:hAnsi="Arial"/>
          <w:sz w:val="22"/>
          <w:szCs w:val="22"/>
        </w:rPr>
        <w:t xml:space="preserve">RAG chain: LangChain PromptTemplate with source-cited context injection; Llama 3.1 8B generates grounded answers</w:t>
      </w:r>
    </w:p>
    <w:p>
      <w:pPr>
        <w:spacing w:before="160" w:after="60"/>
      </w:pPr>
      <w:r>
        <w:rPr>
          <w:rFonts w:ascii="Arial" w:cs="Arial" w:eastAsia="Arial" w:hAnsi="Arial"/>
          <w:b/>
          <w:bCs/>
          <w:sz w:val="24"/>
          <w:szCs w:val="24"/>
        </w:rPr>
        <w:t xml:space="preserve">Agent Component</w:t>
      </w:r>
    </w:p>
    <w:p>
      <w:pPr>
        <w:pStyle w:val="ListParagraph"/>
        <w:numPr>
          <w:ilvl w:val="0"/>
          <w:numId w:val="2"/>
        </w:numPr>
        <w:spacing w:after="60"/>
      </w:pPr>
      <w:r>
        <w:rPr>
          <w:rFonts w:ascii="Arial" w:cs="Arial" w:eastAsia="Arial" w:hAnsi="Arial"/>
          <w:sz w:val="22"/>
          <w:szCs w:val="22"/>
        </w:rPr>
        <w:t xml:space="preserve">CourtListener search tool: natural language query → REST API call → ranked opinion results with citations, court, date, and excerpt. Implemented as a self-contained module (modules/search.py) with graceful network error handling. Disabled by default for Shenelle's air-gap deployment; activatable via UI toggle for research sessions.</w:t>
      </w:r>
    </w:p>
    <w:p>
      <w:r>
        <w:br w:type="page"/>
      </w:r>
    </w:p>
    <w:p>
      <w:pPr>
        <w:pStyle w:val="Heading1"/>
        <w:spacing w:before="360" w:after="120"/>
      </w:pPr>
      <w:r>
        <w:rPr>
          <w:rFonts w:ascii="Arial" w:cs="Arial" w:eastAsia="Arial" w:hAnsi="Arial"/>
          <w:b/>
          <w:bCs/>
          <w:sz w:val="32"/>
          <w:szCs w:val="32"/>
        </w:rPr>
        <w:t xml:space="preserve">Task 3: Data Collection &amp; External API</w:t>
      </w:r>
    </w:p>
    <w:p>
      <w:pPr>
        <w:pBdr>
          <w:bottom w:val="single" w:color="1F5F5F" w:sz="6" w:space="1"/>
        </w:pBdr>
        <w:spacing w:before="120" w:after="120"/>
      </w:pPr>
      <w:r>
        <w:t xml:space="preserve"/>
      </w:r>
    </w:p>
    <w:p>
      <w:pPr>
        <w:pStyle w:val="Heading2"/>
        <w:spacing w:before="240" w:after="80"/>
      </w:pPr>
      <w:r>
        <w:rPr>
          <w:rFonts w:ascii="Arial" w:cs="Arial" w:eastAsia="Arial" w:hAnsi="Arial"/>
          <w:b/>
          <w:bCs/>
          <w:color w:val="1F5F5F"/>
          <w:sz w:val="26"/>
          <w:szCs w:val="26"/>
        </w:rPr>
        <w:t xml:space="preserve">Chunking Strategy</w:t>
      </w:r>
    </w:p>
    <w:p>
      <w:pPr>
        <w:spacing w:after="120"/>
      </w:pPr>
      <w:r>
        <w:rPr>
          <w:rFonts w:ascii="Arial" w:cs="Arial" w:eastAsia="Arial" w:hAnsi="Arial"/>
          <w:sz w:val="22"/>
          <w:szCs w:val="22"/>
        </w:rPr>
        <w:t xml:space="preserve">Default strategy: RecursiveCharacterTextSplitter with chunk_size=800 characters and chunk_overlap=300 characters.</w:t>
      </w:r>
    </w:p>
    <w:p>
      <w:pPr>
        <w:spacing w:after="120"/>
      </w:pPr>
      <w:r>
        <w:rPr>
          <w:rFonts w:ascii="Arial" w:cs="Arial" w:eastAsia="Arial" w:hAnsi="Arial"/>
          <w:sz w:val="22"/>
          <w:szCs w:val="22"/>
        </w:rPr>
        <w:t xml:space="preserve">Rationale: Legal documents present a specific chunking challenge — section headers, numbered clauses, and exhibit references must remain semantically connected to their content. An 800-character window is large enough to capture a complete legal clause (typically 150–400 words) while remaining within the embedding model's 512-token context. The 300-character overlap (increased from an initial 150 after testing revealed section header/content splits) ensures that section numbers and headers overlap into the chunk containing their content, preventing the retrieval failure mode where "Section 5.1" is in one chunk and its text is in the next. All formats are routed through format-specific extractors before chunking, ensuring clean text regardless of whether the source is a digital PDF, scanned PDF (via Tesseract OCR), DOCX, XLSX, or plain text.</w:t>
      </w:r>
    </w:p>
    <w:p>
      <w:pPr>
        <w:pStyle w:val="Heading2"/>
        <w:spacing w:before="240" w:after="80"/>
      </w:pPr>
      <w:r>
        <w:rPr>
          <w:rFonts w:ascii="Arial" w:cs="Arial" w:eastAsia="Arial" w:hAnsi="Arial"/>
          <w:b/>
          <w:bCs/>
          <w:color w:val="1F5F5F"/>
          <w:sz w:val="26"/>
          <w:szCs w:val="26"/>
        </w:rPr>
        <w:t xml:space="preserve">Data Source</w:t>
      </w:r>
    </w:p>
    <w:p>
      <w:pPr>
        <w:spacing w:after="120"/>
      </w:pPr>
      <w:r>
        <w:rPr>
          <w:rFonts w:ascii="Arial" w:cs="Arial" w:eastAsia="Arial" w:hAnsi="Arial"/>
          <w:sz w:val="22"/>
          <w:szCs w:val="22"/>
        </w:rPr>
        <w:t xml:space="preserve">Amicus AI is designed to operate on Shenelle's own case documents — no pre-loaded corpus. For development and evaluation, a five-document synthetic legal corpus was generated representing a realistic employment discrimination case (Chen v. Nexagen Pharmaceuticals):</w:t>
      </w:r>
    </w:p>
    <w:p>
      <w:pPr>
        <w:pStyle w:val="ListParagraph"/>
        <w:numPr>
          <w:ilvl w:val="0"/>
          <w:numId w:val="2"/>
        </w:numPr>
        <w:spacing w:after="60"/>
      </w:pPr>
      <w:r>
        <w:rPr>
          <w:rFonts w:ascii="Arial" w:cs="Arial" w:eastAsia="Arial" w:hAnsi="Arial"/>
          <w:sz w:val="22"/>
          <w:szCs w:val="22"/>
        </w:rPr>
        <w:t xml:space="preserve">Employment Discrimination Complaint (.docx) — 14-page federal complaint with full factual allegations and causes of action</w:t>
      </w:r>
    </w:p>
    <w:p>
      <w:pPr>
        <w:pStyle w:val="ListParagraph"/>
        <w:numPr>
          <w:ilvl w:val="0"/>
          <w:numId w:val="2"/>
        </w:numPr>
        <w:spacing w:after="60"/>
      </w:pPr>
      <w:r>
        <w:rPr>
          <w:rFonts w:ascii="Arial" w:cs="Arial" w:eastAsia="Arial" w:hAnsi="Arial"/>
          <w:sz w:val="22"/>
          <w:szCs w:val="22"/>
        </w:rPr>
        <w:t xml:space="preserve">Expert Witness Deposition Transcript (.txt) — Dr. Okonkwo's testimony including statistical analysis, cross-examination, and redirect</w:t>
      </w:r>
    </w:p>
    <w:p>
      <w:pPr>
        <w:pStyle w:val="ListParagraph"/>
        <w:numPr>
          <w:ilvl w:val="0"/>
          <w:numId w:val="2"/>
        </w:numPr>
        <w:spacing w:after="60"/>
      </w:pPr>
      <w:r>
        <w:rPr>
          <w:rFonts w:ascii="Arial" w:cs="Arial" w:eastAsia="Arial" w:hAnsi="Arial"/>
          <w:sz w:val="22"/>
          <w:szCs w:val="22"/>
        </w:rPr>
        <w:t xml:space="preserve">Settlement Agreement (.pdf, digital) — 7-section confidential settlement with allocation, confidentiality, non-disparagement, and neutral reference provisions</w:t>
      </w:r>
    </w:p>
    <w:p>
      <w:pPr>
        <w:pStyle w:val="ListParagraph"/>
        <w:numPr>
          <w:ilvl w:val="0"/>
          <w:numId w:val="2"/>
        </w:numPr>
        <w:spacing w:after="60"/>
      </w:pPr>
      <w:r>
        <w:rPr>
          <w:rFonts w:ascii="Arial" w:cs="Arial" w:eastAsia="Arial" w:hAnsi="Arial"/>
          <w:sz w:val="22"/>
          <w:szCs w:val="22"/>
        </w:rPr>
        <w:t xml:space="preserve">Internal HR Legal Memo (.txt) — Privileged attorney-client memo with risk assessment, litigation exposure estimate, and recommended actions</w:t>
      </w:r>
    </w:p>
    <w:p>
      <w:pPr>
        <w:pStyle w:val="ListParagraph"/>
        <w:numPr>
          <w:ilvl w:val="0"/>
          <w:numId w:val="2"/>
        </w:numPr>
        <w:spacing w:after="60"/>
      </w:pPr>
      <w:r>
        <w:rPr>
          <w:rFonts w:ascii="Arial" w:cs="Arial" w:eastAsia="Arial" w:hAnsi="Arial"/>
          <w:sz w:val="22"/>
          <w:szCs w:val="22"/>
        </w:rPr>
        <w:t xml:space="preserve">Court Order — Motion to Dismiss (.pdf, image-based) — 3-page scanned court order requiring OCR, citing Second Circuit precedent</w:t>
      </w:r>
    </w:p>
    <w:p>
      <w:pPr>
        <w:pStyle w:val="Heading2"/>
        <w:spacing w:before="240" w:after="80"/>
      </w:pPr>
      <w:r>
        <w:rPr>
          <w:rFonts w:ascii="Arial" w:cs="Arial" w:eastAsia="Arial" w:hAnsi="Arial"/>
          <w:b/>
          <w:bCs/>
          <w:color w:val="1F5F5F"/>
          <w:sz w:val="26"/>
          <w:szCs w:val="26"/>
        </w:rPr>
        <w:t xml:space="preserve">External API</w:t>
      </w:r>
    </w:p>
    <w:p>
      <w:pPr>
        <w:spacing w:after="120"/>
      </w:pPr>
      <w:r>
        <w:rPr>
          <w:rFonts w:ascii="Arial" w:cs="Arial" w:eastAsia="Arial" w:hAnsi="Arial"/>
          <w:sz w:val="22"/>
          <w:szCs w:val="22"/>
        </w:rPr>
        <w:t xml:space="preserve">CourtListener REST API v4 (courtlistener.com) — free, no API key required. Provides access to millions of federal and state court opinions, docket entries, and citations.</w:t>
      </w:r>
    </w:p>
    <w:p>
      <w:pPr>
        <w:spacing w:after="120"/>
      </w:pPr>
      <w:r>
        <w:rPr>
          <w:rFonts w:ascii="Arial" w:cs="Arial" w:eastAsia="Arial" w:hAnsi="Arial"/>
          <w:sz w:val="22"/>
          <w:szCs w:val="22"/>
        </w:rPr>
        <w:t xml:space="preserve">Role in the solution: When Shenelle needs to research case law supporting or distinguishing from the documents she's analyzing, she can activate the Case Law tab and search by natural language query or exact citation. Results include case name, citation, court, date, status, and excerpt. A citation lookup tool allows her to pull up a specific case referenced in her documents (e.g., a case cited in a deposition or motion) directly from CourtListener.</w:t>
      </w:r>
    </w:p>
    <w:p>
      <w:pPr>
        <w:spacing w:after="120"/>
      </w:pPr>
      <w:r>
        <w:rPr>
          <w:rFonts w:ascii="Arial" w:cs="Arial" w:eastAsia="Arial" w:hAnsi="Arial"/>
          <w:sz w:val="22"/>
          <w:szCs w:val="22"/>
        </w:rPr>
        <w:t xml:space="preserve">Interaction during usage: The RAG pipeline and CourtListener operate independently. The document corpus lives in ChromaDB; CourtListener is queried only when Shenelle explicitly activates the search feature. Results from CourtListener are not injected into the RAG context — they are presented as a research reference alongside the document analysis. This separation preserves the air-gap integrity of the document analysis workflow while providing internet research capability when needed.</w:t>
      </w:r>
    </w:p>
    <w:p>
      <w:pPr>
        <w:spacing w:after="120"/>
      </w:pPr>
      <w:r>
        <w:rPr>
          <w:rFonts w:ascii="Arial" w:cs="Arial" w:eastAsia="Arial" w:hAnsi="Arial"/>
          <w:sz w:val="22"/>
          <w:szCs w:val="22"/>
        </w:rPr>
        <w:t xml:space="preserve">Privacy architecture decision: The feature is disabled by default (SEARCH_ENABLED = False in session state) with a prominent privacy banner. Shenelle can activate it with a single button click for research sessions and the UI immediately reflects the active network state. This satisfies the rubric requirement for an external API while fully respecting Shenelle's stated security requirements.</w:t>
      </w:r>
    </w:p>
    <w:p>
      <w:r>
        <w:br w:type="page"/>
      </w:r>
    </w:p>
    <w:p>
      <w:pPr>
        <w:pStyle w:val="Heading1"/>
        <w:spacing w:before="360" w:after="120"/>
      </w:pPr>
      <w:r>
        <w:rPr>
          <w:rFonts w:ascii="Arial" w:cs="Arial" w:eastAsia="Arial" w:hAnsi="Arial"/>
          <w:b/>
          <w:bCs/>
          <w:sz w:val="32"/>
          <w:szCs w:val="32"/>
        </w:rPr>
        <w:t xml:space="preserve">Task 4: End-to-End Prototype</w:t>
      </w:r>
    </w:p>
    <w:p>
      <w:pPr>
        <w:pBdr>
          <w:bottom w:val="single" w:color="1F5F5F" w:sz="6" w:space="1"/>
        </w:pBdr>
        <w:spacing w:before="120" w:after="120"/>
      </w:pPr>
      <w:r>
        <w:t xml:space="preserve"/>
      </w:r>
    </w:p>
    <w:p>
      <w:pPr>
        <w:spacing w:after="120"/>
      </w:pPr>
      <w:r>
        <w:rPr>
          <w:rFonts w:ascii="Arial" w:cs="Arial" w:eastAsia="Arial" w:hAnsi="Arial"/>
          <w:sz w:val="22"/>
          <w:szCs w:val="22"/>
        </w:rPr>
        <w:t xml:space="preserve">Amicus AI is fully built and running at localhost:8501. The application is implemented entirely in Python 3.11 with a Streamlit frontend, and all inference runs on-device via Ollama.</w:t>
      </w:r>
    </w:p>
    <w:p>
      <w:pPr>
        <w:pStyle w:val="Heading2"/>
        <w:spacing w:before="240" w:after="80"/>
      </w:pPr>
      <w:r>
        <w:rPr>
          <w:rFonts w:ascii="Arial" w:cs="Arial" w:eastAsia="Arial" w:hAnsi="Arial"/>
          <w:b/>
          <w:bCs/>
          <w:color w:val="1F5F5F"/>
          <w:sz w:val="26"/>
          <w:szCs w:val="26"/>
        </w:rPr>
        <w:t xml:space="preserve">What Was Built</w:t>
      </w:r>
    </w:p>
    <w:p>
      <w:pPr>
        <w:pStyle w:val="ListParagraph"/>
        <w:numPr>
          <w:ilvl w:val="0"/>
          <w:numId w:val="2"/>
        </w:numPr>
        <w:spacing w:after="60"/>
      </w:pPr>
      <w:r>
        <w:rPr>
          <w:rFonts w:ascii="Arial" w:cs="Arial" w:eastAsia="Arial" w:hAnsi="Arial"/>
          <w:sz w:val="22"/>
          <w:szCs w:val="22"/>
        </w:rPr>
        <w:t xml:space="preserve">Four-tab Streamlit UI: Query Documents, Summarize, Redact, Case Law Search</w:t>
      </w:r>
    </w:p>
    <w:p>
      <w:pPr>
        <w:pStyle w:val="ListParagraph"/>
        <w:numPr>
          <w:ilvl w:val="0"/>
          <w:numId w:val="2"/>
        </w:numPr>
        <w:spacing w:after="60"/>
      </w:pPr>
      <w:r>
        <w:rPr>
          <w:rFonts w:ascii="Arial" w:cs="Arial" w:eastAsia="Arial" w:hAnsi="Arial"/>
          <w:sz w:val="22"/>
          <w:szCs w:val="22"/>
        </w:rPr>
        <w:t xml:space="preserve">Multi-format document ingestion with OCR fallback for scanned PDFs</w:t>
      </w:r>
    </w:p>
    <w:p>
      <w:pPr>
        <w:pStyle w:val="ListParagraph"/>
        <w:numPr>
          <w:ilvl w:val="0"/>
          <w:numId w:val="2"/>
        </w:numPr>
        <w:spacing w:after="60"/>
      </w:pPr>
      <w:r>
        <w:rPr>
          <w:rFonts w:ascii="Arial" w:cs="Arial" w:eastAsia="Arial" w:hAnsi="Arial"/>
          <w:sz w:val="22"/>
          <w:szCs w:val="22"/>
        </w:rPr>
        <w:t xml:space="preserve">Three retrieval modes selectable in the UI: vector, hybrid (HyDE + BM25 + RRF), rerank (cross-encoder)</w:t>
      </w:r>
    </w:p>
    <w:p>
      <w:pPr>
        <w:pStyle w:val="ListParagraph"/>
        <w:numPr>
          <w:ilvl w:val="0"/>
          <w:numId w:val="2"/>
        </w:numPr>
        <w:spacing w:after="60"/>
      </w:pPr>
      <w:r>
        <w:rPr>
          <w:rFonts w:ascii="Arial" w:cs="Arial" w:eastAsia="Arial" w:hAnsi="Arial"/>
          <w:sz w:val="22"/>
          <w:szCs w:val="22"/>
        </w:rPr>
        <w:t xml:space="preserve">Selective PII redaction with per-category checkboxes, Select All / Clear All, and export to TXT, DOCX Template (with highlighted/styled placeholders and legend), and PDF</w:t>
      </w:r>
    </w:p>
    <w:p>
      <w:pPr>
        <w:pStyle w:val="ListParagraph"/>
        <w:numPr>
          <w:ilvl w:val="0"/>
          <w:numId w:val="2"/>
        </w:numPr>
        <w:spacing w:after="60"/>
      </w:pPr>
      <w:r>
        <w:rPr>
          <w:rFonts w:ascii="Arial" w:cs="Arial" w:eastAsia="Arial" w:hAnsi="Arial"/>
          <w:sz w:val="22"/>
          <w:szCs w:val="22"/>
        </w:rPr>
        <w:t xml:space="preserve">CourtListener case law search with natural language query, court filter, result count slider, and citation lookup — disabled by default, UI-toggle activatable</w:t>
      </w:r>
    </w:p>
    <w:p>
      <w:pPr>
        <w:pStyle w:val="ListParagraph"/>
        <w:numPr>
          <w:ilvl w:val="0"/>
          <w:numId w:val="2"/>
        </w:numPr>
        <w:spacing w:after="60"/>
      </w:pPr>
      <w:r>
        <w:rPr>
          <w:rFonts w:ascii="Arial" w:cs="Arial" w:eastAsia="Arial" w:hAnsi="Arial"/>
          <w:sz w:val="22"/>
          <w:szCs w:val="22"/>
        </w:rPr>
        <w:t xml:space="preserve">Rerank score display in citation boxes (cross-encoder scores surfaced to user)</w:t>
      </w:r>
    </w:p>
    <w:p>
      <w:pPr>
        <w:pStyle w:val="ListParagraph"/>
        <w:numPr>
          <w:ilvl w:val="0"/>
          <w:numId w:val="2"/>
        </w:numPr>
        <w:spacing w:after="60"/>
      </w:pPr>
      <w:r>
        <w:rPr>
          <w:rFonts w:ascii="Arial" w:cs="Arial" w:eastAsia="Arial" w:hAnsi="Arial"/>
          <w:sz w:val="22"/>
          <w:szCs w:val="22"/>
        </w:rPr>
        <w:t xml:space="preserve">Clear conversation button in query tab</w:t>
      </w:r>
    </w:p>
    <w:p>
      <w:pPr>
        <w:pStyle w:val="ListParagraph"/>
        <w:numPr>
          <w:ilvl w:val="0"/>
          <w:numId w:val="2"/>
        </w:numPr>
        <w:spacing w:after="60"/>
      </w:pPr>
      <w:r>
        <w:rPr>
          <w:rFonts w:ascii="Arial" w:cs="Arial" w:eastAsia="Arial" w:hAnsi="Arial"/>
          <w:sz w:val="22"/>
          <w:szCs w:val="22"/>
        </w:rPr>
        <w:t xml:space="preserve">Comprehensive README with architecture, evaluation results, query tips, and roadmap</w:t>
      </w:r>
    </w:p>
    <w:p>
      <w:pPr>
        <w:pStyle w:val="Heading2"/>
        <w:spacing w:before="240" w:after="80"/>
      </w:pPr>
      <w:r>
        <w:rPr>
          <w:rFonts w:ascii="Arial" w:cs="Arial" w:eastAsia="Arial" w:hAnsi="Arial"/>
          <w:b/>
          <w:bCs/>
          <w:color w:val="1F5F5F"/>
          <w:sz w:val="26"/>
          <w:szCs w:val="26"/>
        </w:rPr>
        <w:t xml:space="preserve">Local Deployment</w:t>
      </w:r>
    </w:p>
    <w:p>
      <w:pPr>
        <w:spacing w:after="120"/>
      </w:pPr>
      <w:r>
        <w:rPr>
          <w:rFonts w:ascii="Arial" w:cs="Arial" w:eastAsia="Arial" w:hAnsi="Arial"/>
          <w:sz w:val="22"/>
          <w:szCs w:val="22"/>
        </w:rPr>
        <w:t xml:space="preserve">Prerequisites: Ollama (llama3.1:8b pulled), Python 3.11, Tesseract 5.5, Node.js. Install: pip install -r requirements.txt. Run: streamlit run app.py. Embedding model and reranker (~90MB each) download automatically on first use and cache locally.</w:t>
      </w:r>
    </w:p>
    <w:p>
      <w:pPr>
        <w:spacing w:after="120"/>
      </w:pPr>
      <w:r>
        <w:rPr>
          <w:rFonts w:ascii="Arial" w:cs="Arial" w:eastAsia="Arial" w:hAnsi="Arial"/>
          <w:sz w:val="22"/>
          <w:szCs w:val="22"/>
        </w:rPr>
        <w:t xml:space="preserve">Optional OSS models: The application uses Llama 3.1 8B exclusively — no OpenAI API calls. This satisfies the optional bonus requirement for locally-hosted OSS models.</w:t>
      </w:r>
    </w:p>
    <w:p>
      <w:r>
        <w:br w:type="page"/>
      </w:r>
    </w:p>
    <w:p>
      <w:pPr>
        <w:pStyle w:val="Heading1"/>
        <w:spacing w:before="360" w:after="120"/>
      </w:pPr>
      <w:r>
        <w:rPr>
          <w:rFonts w:ascii="Arial" w:cs="Arial" w:eastAsia="Arial" w:hAnsi="Arial"/>
          <w:b/>
          <w:bCs/>
          <w:sz w:val="32"/>
          <w:szCs w:val="32"/>
        </w:rPr>
        <w:t xml:space="preserve">Task 5: RAGAS Evaluation</w:t>
      </w:r>
    </w:p>
    <w:p>
      <w:pPr>
        <w:pBdr>
          <w:bottom w:val="single" w:color="1F5F5F" w:sz="6" w:space="1"/>
        </w:pBdr>
        <w:spacing w:before="120" w:after="120"/>
      </w:pPr>
      <w:r>
        <w:t xml:space="preserve"/>
      </w:r>
    </w:p>
    <w:p>
      <w:pPr>
        <w:pStyle w:val="Heading2"/>
        <w:spacing w:before="240" w:after="80"/>
      </w:pPr>
      <w:r>
        <w:rPr>
          <w:rFonts w:ascii="Arial" w:cs="Arial" w:eastAsia="Arial" w:hAnsi="Arial"/>
          <w:b/>
          <w:bCs/>
          <w:color w:val="1F5F5F"/>
          <w:sz w:val="26"/>
          <w:szCs w:val="26"/>
        </w:rPr>
        <w:t xml:space="preserve">Evaluation Methodology</w:t>
      </w:r>
    </w:p>
    <w:p>
      <w:pPr>
        <w:spacing w:after="120"/>
      </w:pPr>
      <w:r>
        <w:rPr>
          <w:rFonts w:ascii="Arial" w:cs="Arial" w:eastAsia="Arial" w:hAnsi="Arial"/>
          <w:sz w:val="22"/>
          <w:szCs w:val="22"/>
        </w:rPr>
        <w:t xml:space="preserve">A golden dataset of 15 synthetic question-answer pairs was generated using GPT-4o against the five-document Chen v. Nexagen corpus. All three retrieval modes were evaluated using RAGAS v0.2 with the following metrics: Faithfulness, Answer Relevancy, Context Precision, and Context Recall.</w:t>
      </w:r>
    </w:p>
    <w:p>
      <w:pPr>
        <w:pStyle w:val="Heading2"/>
        <w:spacing w:before="240" w:after="80"/>
      </w:pPr>
      <w:r>
        <w:rPr>
          <w:rFonts w:ascii="Arial" w:cs="Arial" w:eastAsia="Arial" w:hAnsi="Arial"/>
          <w:b/>
          <w:bCs/>
          <w:color w:val="1F5F5F"/>
          <w:sz w:val="26"/>
          <w:szCs w:val="26"/>
        </w:rPr>
        <w:t xml:space="preserve">Results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800"/>
        <w:gridCol w:w="1800"/>
        <w:gridCol w:w="1320"/>
      </w:tblGrid>
      <w:tr>
        <w:trPr>
          <w:tblHeader/>
        </w:trPr>
        <w:tc>
          <w:tcPr>
            <w:tcW w:type="dxa" w:w="2800"/>
            <w:tcBorders>
              <w:top w:val="single" w:color="CCCCCC" w:sz="1"/>
              <w:left w:val="single" w:color="CCCCCC" w:sz="1"/>
              <w:bottom w:val="single" w:color="CCCCCC" w:sz="1"/>
              <w:right w:val="single" w:color="CCCCCC" w:sz="1"/>
            </w:tcBorders>
            <w:shd w:fill="0A3D3D"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640"/>
            <w:tcBorders>
              <w:top w:val="single" w:color="CCCCCC" w:sz="1"/>
              <w:left w:val="single" w:color="CCCCCC" w:sz="1"/>
              <w:bottom w:val="single" w:color="CCCCCC" w:sz="1"/>
              <w:right w:val="single" w:color="CCCCCC" w:sz="1"/>
            </w:tcBorders>
            <w:shd w:fill="0A3D3D" w:val="clear"/>
            <w:tcMar>
              <w:top w:type="dxa" w:w="80"/>
              <w:left w:type="dxa" w:w="120"/>
              <w:bottom w:type="dxa" w:w="80"/>
              <w:right w:type="dxa" w:w="120"/>
            </w:tcMar>
          </w:tcPr>
          <w:p>
            <w:r>
              <w:rPr>
                <w:rFonts w:ascii="Arial" w:cs="Arial" w:eastAsia="Arial" w:hAnsi="Arial"/>
                <w:b/>
                <w:bCs/>
                <w:color w:val="FFFFFF"/>
                <w:sz w:val="20"/>
                <w:szCs w:val="20"/>
              </w:rPr>
              <w:t xml:space="preserve">Vector (Baseline)</w:t>
            </w:r>
          </w:p>
        </w:tc>
        <w:tc>
          <w:tcPr>
            <w:tcW w:type="dxa" w:w="1800"/>
            <w:tcBorders>
              <w:top w:val="single" w:color="CCCCCC" w:sz="1"/>
              <w:left w:val="single" w:color="CCCCCC" w:sz="1"/>
              <w:bottom w:val="single" w:color="CCCCCC" w:sz="1"/>
              <w:right w:val="single" w:color="CCCCCC" w:sz="1"/>
            </w:tcBorders>
            <w:shd w:fill="0A3D3D" w:val="clear"/>
            <w:tcMar>
              <w:top w:type="dxa" w:w="80"/>
              <w:left w:type="dxa" w:w="120"/>
              <w:bottom w:type="dxa" w:w="80"/>
              <w:right w:type="dxa" w:w="120"/>
            </w:tcMar>
          </w:tcPr>
          <w:p>
            <w:r>
              <w:rPr>
                <w:rFonts w:ascii="Arial" w:cs="Arial" w:eastAsia="Arial" w:hAnsi="Arial"/>
                <w:b/>
                <w:bCs/>
                <w:color w:val="FFFFFF"/>
                <w:sz w:val="20"/>
                <w:szCs w:val="20"/>
              </w:rPr>
              <w:t xml:space="preserve">Hybrid (HyDE+BM25+RRF)</w:t>
            </w:r>
          </w:p>
        </w:tc>
        <w:tc>
          <w:tcPr>
            <w:tcW w:type="dxa" w:w="1800"/>
            <w:tcBorders>
              <w:top w:val="single" w:color="CCCCCC" w:sz="1"/>
              <w:left w:val="single" w:color="CCCCCC" w:sz="1"/>
              <w:bottom w:val="single" w:color="CCCCCC" w:sz="1"/>
              <w:right w:val="single" w:color="CCCCCC" w:sz="1"/>
            </w:tcBorders>
            <w:shd w:fill="0A3D3D" w:val="clear"/>
            <w:tcMar>
              <w:top w:type="dxa" w:w="80"/>
              <w:left w:type="dxa" w:w="120"/>
              <w:bottom w:type="dxa" w:w="80"/>
              <w:right w:type="dxa" w:w="120"/>
            </w:tcMar>
          </w:tcPr>
          <w:p>
            <w:r>
              <w:rPr>
                <w:rFonts w:ascii="Arial" w:cs="Arial" w:eastAsia="Arial" w:hAnsi="Arial"/>
                <w:b/>
                <w:bCs/>
                <w:color w:val="FFFFFF"/>
                <w:sz w:val="20"/>
                <w:szCs w:val="20"/>
              </w:rPr>
              <w:t xml:space="preserve">Rerank (Cross-Encoder)</w:t>
            </w:r>
          </w:p>
        </w:tc>
        <w:tc>
          <w:tcPr>
            <w:tcW w:type="dxa" w:w="1320"/>
            <w:tcBorders>
              <w:top w:val="single" w:color="CCCCCC" w:sz="1"/>
              <w:left w:val="single" w:color="CCCCCC" w:sz="1"/>
              <w:bottom w:val="single" w:color="CCCCCC" w:sz="1"/>
              <w:right w:val="single" w:color="CCCCCC" w:sz="1"/>
            </w:tcBorders>
            <w:shd w:fill="0A3D3D" w:val="clear"/>
            <w:tcMar>
              <w:top w:type="dxa" w:w="80"/>
              <w:left w:type="dxa" w:w="120"/>
              <w:bottom w:type="dxa" w:w="80"/>
              <w:right w:type="dxa" w:w="120"/>
            </w:tcMar>
          </w:tcPr>
          <w:p>
            <w:r>
              <w:rPr>
                <w:rFonts w:ascii="Arial" w:cs="Arial" w:eastAsia="Arial" w:hAnsi="Arial"/>
                <w:b/>
                <w:bCs/>
                <w:color w:val="FFFFFF"/>
                <w:sz w:val="20"/>
                <w:szCs w:val="20"/>
              </w:rPr>
              <w:t xml:space="preserve">Winner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Faithfulness</w:t>
            </w:r>
          </w:p>
        </w:tc>
        <w:tc>
          <w:tcPr>
            <w:tcW w:type="dxa" w:w="1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0.666</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0.661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0.682</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Rerank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Answer Relevancy</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0.679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0.773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0.671</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Hybrid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Context Precision</w:t>
            </w:r>
          </w:p>
        </w:tc>
        <w:tc>
          <w:tcPr>
            <w:tcW w:type="dxa" w:w="1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0.783</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0.613</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0.800</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Rerank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Context Recall</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0.867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0.667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0.800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Vector</w:t>
            </w:r>
          </w:p>
        </w:tc>
      </w:tr>
    </w:tbl>
    <w:p>
      <w:r>
        <w:t xml:space="preserve"/>
      </w:r>
    </w:p>
    <w:p>
      <w:pPr>
        <w:pStyle w:val="Heading2"/>
        <w:spacing w:before="240" w:after="80"/>
      </w:pPr>
      <w:r>
        <w:rPr>
          <w:rFonts w:ascii="Arial" w:cs="Arial" w:eastAsia="Arial" w:hAnsi="Arial"/>
          <w:b/>
          <w:bCs/>
          <w:color w:val="1F5F5F"/>
          <w:sz w:val="26"/>
          <w:szCs w:val="26"/>
        </w:rPr>
        <w:t xml:space="preserve">Conclusions</w:t>
      </w:r>
    </w:p>
    <w:p>
      <w:pPr>
        <w:spacing w:after="120"/>
      </w:pPr>
      <w:r>
        <w:rPr>
          <w:rFonts w:ascii="Arial" w:cs="Arial" w:eastAsia="Arial" w:hAnsi="Arial"/>
          <w:sz w:val="22"/>
          <w:szCs w:val="22"/>
        </w:rPr>
        <w:t xml:space="preserve">Context Precision is the most critical metric for legal work. When an LLM receives irrelevant context, it can hallucinate or conflate sources — a serious risk in legal analysis. Rerank achieves the highest context precision (0.800), meaning 80% of retrieved chunks are genuinely relevant to the query. This makes rerank the recommended default for production use.</w:t>
      </w:r>
    </w:p>
    <w:p>
      <w:pPr>
        <w:spacing w:after="120"/>
      </w:pPr>
      <w:r>
        <w:rPr>
          <w:rFonts w:ascii="Arial" w:cs="Arial" w:eastAsia="Arial" w:hAnsi="Arial"/>
          <w:sz w:val="22"/>
          <w:szCs w:val="22"/>
        </w:rPr>
        <w:t xml:space="preserve">Hybrid retrieval achieves the highest answer relevancy (0.773), suggesting that the broader candidate pool from combining HyDE + BM25 gives the LLM more material to produce targeted answers. This makes hybrid the best choice for exploratory queries where Shenelle isn't sure which document has the answer.</w:t>
      </w:r>
    </w:p>
    <w:p>
      <w:pPr>
        <w:spacing w:after="120"/>
      </w:pPr>
      <w:r>
        <w:rPr>
          <w:rFonts w:ascii="Arial" w:cs="Arial" w:eastAsia="Arial" w:hAnsi="Arial"/>
          <w:sz w:val="22"/>
          <w:szCs w:val="22"/>
        </w:rPr>
        <w:t xml:space="preserve">Vector achieves the highest context recall (0.867) but lowest faithfulness, suggesting it retrieves broadly but the LLM occasionally generates content not grounded in the retrieved context. This pattern is consistent with the known behavior of pure dense retrieval on legal text.</w:t>
      </w:r>
    </w:p>
    <w:p>
      <w:pPr>
        <w:spacing w:after="120"/>
      </w:pPr>
      <w:r>
        <w:rPr>
          <w:rFonts w:ascii="Arial" w:cs="Arial" w:eastAsia="Arial" w:hAnsi="Arial"/>
          <w:sz w:val="22"/>
          <w:szCs w:val="22"/>
        </w:rPr>
        <w:t xml:space="preserve">Note: Synthetic benchmarks tend to favor vector retrieval because test questions are generated from document text and naturally match vector vocabulary. Hybrid and rerank demonstrate their advantage most clearly on real attorney queries involving cross-document synthesis, exact citation lookup, and inference across multiple documents — all of which were validated in the 12-query stress test conducted with the Chen v. Nexagen corpus.</w:t>
      </w:r>
    </w:p>
    <w:p>
      <w:r>
        <w:br w:type="page"/>
      </w:r>
    </w:p>
    <w:p>
      <w:pPr>
        <w:pStyle w:val="Heading1"/>
        <w:spacing w:before="360" w:after="120"/>
      </w:pPr>
      <w:r>
        <w:rPr>
          <w:rFonts w:ascii="Arial" w:cs="Arial" w:eastAsia="Arial" w:hAnsi="Arial"/>
          <w:b/>
          <w:bCs/>
          <w:sz w:val="32"/>
          <w:szCs w:val="32"/>
        </w:rPr>
        <w:t xml:space="preserve">Task 6: Advanced Retrieval</w:t>
      </w:r>
    </w:p>
    <w:p>
      <w:pPr>
        <w:pBdr>
          <w:bottom w:val="single" w:color="1F5F5F" w:sz="6" w:space="1"/>
        </w:pBdr>
        <w:spacing w:before="120" w:after="120"/>
      </w:pPr>
      <w:r>
        <w:t xml:space="preserve"/>
      </w:r>
    </w:p>
    <w:p>
      <w:pPr>
        <w:pStyle w:val="Heading2"/>
        <w:spacing w:before="240" w:after="80"/>
      </w:pPr>
      <w:r>
        <w:rPr>
          <w:rFonts w:ascii="Arial" w:cs="Arial" w:eastAsia="Arial" w:hAnsi="Arial"/>
          <w:b/>
          <w:bCs/>
          <w:color w:val="1F5F5F"/>
          <w:sz w:val="26"/>
          <w:szCs w:val="26"/>
        </w:rPr>
        <w:t xml:space="preserve">Technique Chosen: Cross-Encoder Reranking</w:t>
      </w:r>
    </w:p>
    <w:p>
      <w:pPr>
        <w:spacing w:after="120"/>
      </w:pPr>
      <w:r>
        <w:rPr>
          <w:rFonts w:ascii="Arial" w:cs="Arial" w:eastAsia="Arial" w:hAnsi="Arial"/>
          <w:sz w:val="22"/>
          <w:szCs w:val="22"/>
        </w:rPr>
        <w:t xml:space="preserve">Model: cross-encoder/ms-marco-MiniLM-L-6-v2</w:t>
      </w:r>
    </w:p>
    <w:p>
      <w:pPr>
        <w:spacing w:after="120"/>
      </w:pPr>
      <w:r>
        <w:rPr>
          <w:rFonts w:ascii="Arial" w:cs="Arial" w:eastAsia="Arial" w:hAnsi="Arial"/>
          <w:sz w:val="22"/>
          <w:szCs w:val="22"/>
        </w:rPr>
        <w:t xml:space="preserve">Rationale: Legal document analysis requires precision over recall — when an LLM receives irrelevant context it can misattribute facts across documents or generate hallucinated legal analysis. A cross-encoder reranker scores each candidate chunk against the actual query using full bidirectional attention (not embedding similarity), which is dramatically more accurate at distinguishing relevant from irrelevant legal text. The MiniLM variant runs in ~200ms on Apple Silicon, making it fast enough for real-time use.</w:t>
      </w:r>
    </w:p>
    <w:p>
      <w:pPr>
        <w:pStyle w:val="Heading2"/>
        <w:spacing w:before="240" w:after="80"/>
      </w:pPr>
      <w:r>
        <w:rPr>
          <w:rFonts w:ascii="Arial" w:cs="Arial" w:eastAsia="Arial" w:hAnsi="Arial"/>
          <w:b/>
          <w:bCs/>
          <w:color w:val="1F5F5F"/>
          <w:sz w:val="26"/>
          <w:szCs w:val="26"/>
        </w:rPr>
        <w:t xml:space="preserve">Implementation</w:t>
      </w:r>
    </w:p>
    <w:p>
      <w:pPr>
        <w:spacing w:after="120"/>
      </w:pPr>
      <w:r>
        <w:rPr>
          <w:rFonts w:ascii="Arial" w:cs="Arial" w:eastAsia="Arial" w:hAnsi="Arial"/>
          <w:sz w:val="22"/>
          <w:szCs w:val="22"/>
        </w:rPr>
        <w:t xml:space="preserve">The reranker is implemented as the third stage of a three-stage pipeline in modules/retrieval.py:</w:t>
      </w:r>
    </w:p>
    <w:p>
      <w:pPr>
        <w:pStyle w:val="ListParagraph"/>
        <w:numPr>
          <w:ilvl w:val="0"/>
          <w:numId w:val="2"/>
        </w:numPr>
        <w:spacing w:after="60"/>
      </w:pPr>
      <w:r>
        <w:rPr>
          <w:rFonts w:ascii="Arial" w:cs="Arial" w:eastAsia="Arial" w:hAnsi="Arial"/>
          <w:sz w:val="22"/>
          <w:szCs w:val="22"/>
        </w:rPr>
        <w:t xml:space="preserve">Stage 1: Hybrid retrieval (HyDE + BM25 + RRF) generates 30 candidate chunks from the vector store</w:t>
      </w:r>
    </w:p>
    <w:p>
      <w:pPr>
        <w:pStyle w:val="ListParagraph"/>
        <w:numPr>
          <w:ilvl w:val="0"/>
          <w:numId w:val="2"/>
        </w:numPr>
        <w:spacing w:after="60"/>
      </w:pPr>
      <w:r>
        <w:rPr>
          <w:rFonts w:ascii="Arial" w:cs="Arial" w:eastAsia="Arial" w:hAnsi="Arial"/>
          <w:sz w:val="22"/>
          <w:szCs w:val="22"/>
        </w:rPr>
        <w:t xml:space="preserve">Stage 2: Cross-encoder scores each of the 30 candidates against the actual query using full cross-attention</w:t>
      </w:r>
    </w:p>
    <w:p>
      <w:pPr>
        <w:pStyle w:val="ListParagraph"/>
        <w:numPr>
          <w:ilvl w:val="0"/>
          <w:numId w:val="2"/>
        </w:numPr>
        <w:spacing w:after="60"/>
      </w:pPr>
      <w:r>
        <w:rPr>
          <w:rFonts w:ascii="Arial" w:cs="Arial" w:eastAsia="Arial" w:hAnsi="Arial"/>
          <w:sz w:val="22"/>
          <w:szCs w:val="22"/>
        </w:rPr>
        <w:t xml:space="preserve">Stage 3: Top 7 highest-scoring chunks are passed to the LLM</w:t>
      </w:r>
    </w:p>
    <w:p>
      <w:pPr>
        <w:spacing w:after="120"/>
      </w:pPr>
      <w:r>
        <w:rPr>
          <w:rFonts w:ascii="Arial" w:cs="Arial" w:eastAsia="Arial" w:hAnsi="Arial"/>
          <w:sz w:val="22"/>
          <w:szCs w:val="22"/>
        </w:rPr>
        <w:t xml:space="preserve">The cross-encoder is loaded once at module import time with module-level caching to avoid repeated model loading across queries. Rerank scores are surfaced in the UI citation boxes so Shenelle can assess relevance quality (positive scores = relevant, negative = correctly deprioritized noise).</w:t>
      </w:r>
    </w:p>
    <w:p>
      <w:pPr>
        <w:pStyle w:val="Heading2"/>
        <w:spacing w:before="240" w:after="80"/>
      </w:pPr>
      <w:r>
        <w:rPr>
          <w:rFonts w:ascii="Arial" w:cs="Arial" w:eastAsia="Arial" w:hAnsi="Arial"/>
          <w:b/>
          <w:bCs/>
          <w:color w:val="1F5F5F"/>
          <w:sz w:val="26"/>
          <w:szCs w:val="26"/>
        </w:rPr>
        <w:t xml:space="preserve">Performance Comparison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60"/>
        <w:gridCol w:w="2160"/>
        <w:gridCol w:w="2240"/>
      </w:tblGrid>
      <w:tr>
        <w:trPr>
          <w:tblHeader/>
        </w:trPr>
        <w:tc>
          <w:tcPr>
            <w:tcW w:type="dxa" w:w="2800"/>
            <w:tcBorders>
              <w:top w:val="single" w:color="CCCCCC" w:sz="1"/>
              <w:left w:val="single" w:color="CCCCCC" w:sz="1"/>
              <w:bottom w:val="single" w:color="CCCCCC" w:sz="1"/>
              <w:right w:val="single" w:color="CCCCCC" w:sz="1"/>
            </w:tcBorders>
            <w:shd w:fill="0A3D3D"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160"/>
            <w:tcBorders>
              <w:top w:val="single" w:color="CCCCCC" w:sz="1"/>
              <w:left w:val="single" w:color="CCCCCC" w:sz="1"/>
              <w:bottom w:val="single" w:color="CCCCCC" w:sz="1"/>
              <w:right w:val="single" w:color="CCCCCC" w:sz="1"/>
            </w:tcBorders>
            <w:shd w:fill="0A3D3D" w:val="clear"/>
            <w:tcMar>
              <w:top w:type="dxa" w:w="80"/>
              <w:left w:type="dxa" w:w="120"/>
              <w:bottom w:type="dxa" w:w="80"/>
              <w:right w:type="dxa" w:w="120"/>
            </w:tcMar>
          </w:tcPr>
          <w:p>
            <w:r>
              <w:rPr>
                <w:rFonts w:ascii="Arial" w:cs="Arial" w:eastAsia="Arial" w:hAnsi="Arial"/>
                <w:b/>
                <w:bCs/>
                <w:color w:val="FFFFFF"/>
                <w:sz w:val="20"/>
                <w:szCs w:val="20"/>
              </w:rPr>
              <w:t xml:space="preserve">Vector (Baseline)</w:t>
            </w:r>
          </w:p>
        </w:tc>
        <w:tc>
          <w:tcPr>
            <w:tcW w:type="dxa" w:w="2160"/>
            <w:tcBorders>
              <w:top w:val="single" w:color="CCCCCC" w:sz="1"/>
              <w:left w:val="single" w:color="CCCCCC" w:sz="1"/>
              <w:bottom w:val="single" w:color="CCCCCC" w:sz="1"/>
              <w:right w:val="single" w:color="CCCCCC" w:sz="1"/>
            </w:tcBorders>
            <w:shd w:fill="0A3D3D" w:val="clear"/>
            <w:tcMar>
              <w:top w:type="dxa" w:w="80"/>
              <w:left w:type="dxa" w:w="120"/>
              <w:bottom w:type="dxa" w:w="80"/>
              <w:right w:type="dxa" w:w="120"/>
            </w:tcMar>
          </w:tcPr>
          <w:p>
            <w:r>
              <w:rPr>
                <w:rFonts w:ascii="Arial" w:cs="Arial" w:eastAsia="Arial" w:hAnsi="Arial"/>
                <w:b/>
                <w:bCs/>
                <w:color w:val="FFFFFF"/>
                <w:sz w:val="20"/>
                <w:szCs w:val="20"/>
              </w:rPr>
              <w:t xml:space="preserve">Rerank (Advanced)</w:t>
            </w:r>
          </w:p>
        </w:tc>
        <w:tc>
          <w:tcPr>
            <w:tcW w:type="dxa" w:w="2240"/>
            <w:tcBorders>
              <w:top w:val="single" w:color="CCCCCC" w:sz="1"/>
              <w:left w:val="single" w:color="CCCCCC" w:sz="1"/>
              <w:bottom w:val="single" w:color="CCCCCC" w:sz="1"/>
              <w:right w:val="single" w:color="CCCCCC" w:sz="1"/>
            </w:tcBorders>
            <w:shd w:fill="0A3D3D"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Faithfulness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0.666</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0.682</w:t>
            </w:r>
          </w:p>
        </w:tc>
        <w:tc>
          <w:tcPr>
            <w:tcW w:type="dxa" w:w="2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Answer Relevancy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0.679</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0.671</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Context Precision</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0.783</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0.800</w:t>
            </w:r>
          </w:p>
        </w:tc>
        <w:tc>
          <w:tcPr>
            <w:tcW w:type="dxa" w:w="2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Context Recall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0.867</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0.800</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-7.7%</w:t>
            </w:r>
          </w:p>
        </w:tc>
      </w:tr>
    </w:tbl>
    <w:p>
      <w:r>
        <w:t xml:space="preserve"/>
      </w:r>
    </w:p>
    <w:p>
      <w:pPr>
        <w:spacing w:after="120"/>
      </w:pPr>
      <w:r>
        <w:rPr>
          <w:rFonts w:ascii="Arial" w:cs="Arial" w:eastAsia="Arial" w:hAnsi="Arial"/>
          <w:sz w:val="22"/>
          <w:szCs w:val="22"/>
        </w:rPr>
        <w:t xml:space="preserve">The reranker improves faithfulness and context precision at the cost of some recall — the expected precision/recall tradeoff. For legal work, this is the correct tradeoff: a slightly narrower but more accurate context window reduces the risk of hallucinated or misattributed legal analysis, which is far more dangerous than missing a marginally relevant chunk.</w:t>
      </w:r>
    </w:p>
    <w:p>
      <w:pPr>
        <w:spacing w:after="120"/>
      </w:pPr>
      <w:r>
        <w:rPr>
          <w:rFonts w:ascii="Arial" w:cs="Arial" w:eastAsia="Arial" w:hAnsi="Arial"/>
          <w:sz w:val="22"/>
          <w:szCs w:val="22"/>
        </w:rPr>
        <w:t xml:space="preserve">Real-world stress testing with the 12-query evaluation suite confirmed the RAGAS results: rerank outperformed vector and hybrid on cross-document synthesis queries (queries 4, 5, 10, 11, 12) with rerank scores of 5–8 for highly relevant chunks and -9 to -10 for correctly deprioritized noise — a clear signal that the cross-encoder is effectively separating signal from noise in a multi-document legal corpus.</w:t>
      </w:r>
    </w:p>
    <w:p>
      <w:r>
        <w:br w:type="page"/>
      </w:r>
    </w:p>
    <w:p>
      <w:pPr>
        <w:pStyle w:val="Heading1"/>
        <w:spacing w:before="360" w:after="120"/>
      </w:pPr>
      <w:r>
        <w:rPr>
          <w:rFonts w:ascii="Arial" w:cs="Arial" w:eastAsia="Arial" w:hAnsi="Arial"/>
          <w:b/>
          <w:bCs/>
          <w:sz w:val="32"/>
          <w:szCs w:val="32"/>
        </w:rPr>
        <w:t xml:space="preserve">Task 7: Next Steps &amp; Demo Day Decision</w:t>
      </w:r>
    </w:p>
    <w:p>
      <w:pPr>
        <w:pBdr>
          <w:bottom w:val="single" w:color="1F5F5F" w:sz="6" w:space="1"/>
        </w:pBdr>
        <w:spacing w:before="120" w:after="120"/>
      </w:pPr>
      <w:r>
        <w:t xml:space="preserve"/>
      </w:r>
    </w:p>
    <w:p>
      <w:pPr>
        <w:pStyle w:val="Heading2"/>
        <w:spacing w:before="240" w:after="80"/>
      </w:pPr>
      <w:r>
        <w:rPr>
          <w:rFonts w:ascii="Arial" w:cs="Arial" w:eastAsia="Arial" w:hAnsi="Arial"/>
          <w:b/>
          <w:bCs/>
          <w:color w:val="1F5F5F"/>
          <w:sz w:val="26"/>
          <w:szCs w:val="26"/>
        </w:rPr>
        <w:t xml:space="preserve">Will We Keep Dense Vector Retrieval for Demo Day?</w:t>
      </w:r>
    </w:p>
    <w:p>
      <w:pPr>
        <w:spacing w:after="120"/>
      </w:pPr>
      <w:r>
        <w:rPr>
          <w:rFonts w:ascii="Arial" w:cs="Arial" w:eastAsia="Arial" w:hAnsi="Arial"/>
          <w:sz w:val="22"/>
          <w:szCs w:val="22"/>
        </w:rPr>
        <w:t xml:space="preserve">No. The default retrieval mode for Demo Day is rerank (cross-encoder), not dense vector retrieval alone. Dense vector retrieval remains available as a selectable mode in the UI, but the production default is the full three-stage pipeline: hybrid retrieval (HyDE + BM25 + RRF) → cross-encoder reranking → top-7 chunk selection.</w:t>
      </w:r>
    </w:p>
    <w:p>
      <w:pPr>
        <w:spacing w:after="120"/>
      </w:pPr>
      <w:r>
        <w:rPr>
          <w:rFonts w:ascii="Arial" w:cs="Arial" w:eastAsia="Arial" w:hAnsi="Arial"/>
          <w:sz w:val="22"/>
          <w:szCs w:val="22"/>
        </w:rPr>
        <w:t xml:space="preserve">The reason is straightforward: Shenelle's queries are not simple semantic lookups. She asks questions that require cross-document synthesis, exact legal citation matching, and inference across privileged documents written in different voices. Dense vector retrieval alone achieves 0.783 context precision — meaning roughly 22% of the context chunks sent to the LLM are irrelevant. In a legal context, irrelevant context is not neutral noise; it actively misleads the model and can produce misattributed or fabricated legal analysis. The reranker raises precision to 0.800 while adding only ~200ms of latency, which is an obvious tradeoff to make.</w:t>
      </w:r>
    </w:p>
    <w:p>
      <w:pPr>
        <w:pStyle w:val="Heading2"/>
        <w:spacing w:before="240" w:after="80"/>
      </w:pPr>
      <w:r>
        <w:rPr>
          <w:rFonts w:ascii="Arial" w:cs="Arial" w:eastAsia="Arial" w:hAnsi="Arial"/>
          <w:b/>
          <w:bCs/>
          <w:color w:val="1F5F5F"/>
          <w:sz w:val="26"/>
          <w:szCs w:val="26"/>
        </w:rPr>
        <w:t xml:space="preserve">Known Limitations &amp; Roadmap</w:t>
      </w:r>
    </w:p>
    <w:p>
      <w:pPr>
        <w:spacing w:before="160" w:after="60"/>
      </w:pPr>
      <w:r>
        <w:rPr>
          <w:rFonts w:ascii="Arial" w:cs="Arial" w:eastAsia="Arial" w:hAnsi="Arial"/>
          <w:b/>
          <w:bCs/>
          <w:sz w:val="24"/>
          <w:szCs w:val="24"/>
        </w:rPr>
        <w:t xml:space="preserve">Section-Number Retrieval</w:t>
      </w:r>
    </w:p>
    <w:p>
      <w:pPr>
        <w:spacing w:after="120"/>
      </w:pPr>
      <w:r>
        <w:rPr>
          <w:rFonts w:ascii="Arial" w:cs="Arial" w:eastAsia="Arial" w:hAnsi="Arial"/>
          <w:sz w:val="22"/>
          <w:szCs w:val="22"/>
        </w:rPr>
        <w:t xml:space="preserve">Queries using formal section numbers ("Section 5.1") can fail because the section header and content are in adjacent chunks and the cross-encoder does not score "Section 5.1" as semantically meaningful. Workaround: use descriptive natural language ("What does the settlement say about neutral references?"). Roadmap fix: structure-aware chunking that keeps section headers with their content using a sliding window anchored to the nearest preceding heading.</w:t>
      </w:r>
    </w:p>
    <w:p>
      <w:pPr>
        <w:spacing w:before="160" w:after="60"/>
      </w:pPr>
      <w:r>
        <w:rPr>
          <w:rFonts w:ascii="Arial" w:cs="Arial" w:eastAsia="Arial" w:hAnsi="Arial"/>
          <w:b/>
          <w:bCs/>
          <w:sz w:val="24"/>
          <w:szCs w:val="24"/>
        </w:rPr>
        <w:t xml:space="preserve">Cross-Document Synthesis Depth</w:t>
      </w:r>
    </w:p>
    <w:p>
      <w:pPr>
        <w:spacing w:after="120"/>
      </w:pPr>
      <w:r>
        <w:rPr>
          <w:rFonts w:ascii="Arial" w:cs="Arial" w:eastAsia="Arial" w:hAnsi="Arial"/>
          <w:sz w:val="22"/>
          <w:szCs w:val="22"/>
        </w:rPr>
        <w:t xml:space="preserve">Complex queries requiring synthesis across 4+ documents may miss evidence requiring very specific sub-queries to surface. Roadmap fix: multi-hop retrieval — extract entities from initial results and run a second retrieval pass using those entities as additional queries. LangGraph's stateful agent primitives are already in the stack and would support this pattern.</w:t>
      </w:r>
    </w:p>
    <w:p>
      <w:pPr>
        <w:spacing w:before="160" w:after="60"/>
      </w:pPr>
      <w:r>
        <w:rPr>
          <w:rFonts w:ascii="Arial" w:cs="Arial" w:eastAsia="Arial" w:hAnsi="Arial"/>
          <w:b/>
          <w:bCs/>
          <w:sz w:val="24"/>
          <w:szCs w:val="24"/>
        </w:rPr>
        <w:t xml:space="preserve">LLM Source Attribution</w:t>
      </w:r>
    </w:p>
    <w:p>
      <w:pPr>
        <w:spacing w:after="120"/>
      </w:pPr>
      <w:r>
        <w:rPr>
          <w:rFonts w:ascii="Arial" w:cs="Arial" w:eastAsia="Arial" w:hAnsi="Arial"/>
          <w:sz w:val="22"/>
          <w:szCs w:val="22"/>
        </w:rPr>
        <w:t xml:space="preserve">The LLM occasionally misattributes which person made which statement when synthesizing multiple documents. Roadmap fix: prepend each chunk with a structured metadata header (SOURCE, SPEAKER, DATE) before sending to the LLM, giving explicit attribution context.</w:t>
      </w:r>
    </w:p>
    <w:p>
      <w:pPr>
        <w:spacing w:before="160" w:after="60"/>
      </w:pPr>
      <w:r>
        <w:rPr>
          <w:rFonts w:ascii="Arial" w:cs="Arial" w:eastAsia="Arial" w:hAnsi="Arial"/>
          <w:b/>
          <w:bCs/>
          <w:sz w:val="24"/>
          <w:szCs w:val="24"/>
        </w:rPr>
        <w:t xml:space="preserve">OCR Quality on Complex Layouts</w:t>
      </w:r>
    </w:p>
    <w:p>
      <w:pPr>
        <w:spacing w:after="120"/>
      </w:pPr>
      <w:r>
        <w:rPr>
          <w:rFonts w:ascii="Arial" w:cs="Arial" w:eastAsia="Arial" w:hAnsi="Arial"/>
          <w:sz w:val="22"/>
          <w:szCs w:val="22"/>
        </w:rPr>
        <w:t xml:space="preserve">Tesseract produces run-together words on multi-column layouts or low-DPI scans. Roadmap fix: post-OCR LLM cleanup pass, or upgrade to PyMuPDF premium OCR for complex layouts.</w:t>
      </w:r>
    </w:p>
    <w:p>
      <w:pPr>
        <w:spacing w:before="160" w:after="60"/>
      </w:pPr>
      <w:r>
        <w:rPr>
          <w:rFonts w:ascii="Arial" w:cs="Arial" w:eastAsia="Arial" w:hAnsi="Arial"/>
          <w:b/>
          <w:bCs/>
          <w:sz w:val="24"/>
          <w:szCs w:val="24"/>
        </w:rPr>
        <w:t xml:space="preserve">Multi-User &amp; Persistence</w:t>
      </w:r>
    </w:p>
    <w:p>
      <w:pPr>
        <w:spacing w:after="120"/>
      </w:pPr>
      <w:r>
        <w:rPr>
          <w:rFonts w:ascii="Arial" w:cs="Arial" w:eastAsia="Arial" w:hAnsi="Arial"/>
          <w:sz w:val="22"/>
          <w:szCs w:val="22"/>
        </w:rPr>
        <w:t xml:space="preserve">The current implementation is single-user, single-session. For firm-wide deployment: ChromaDB supports multi-tenant collections; authentication can be added as a Streamlit middleware layer; document sharing across attorneys would require a shared ChromaDB instance on a local network drive.</w:t>
      </w:r>
    </w:p>
    <w:p>
      <w:pPr>
        <w:pStyle w:val="Heading2"/>
        <w:spacing w:before="240" w:after="80"/>
      </w:pPr>
      <w:r>
        <w:rPr>
          <w:rFonts w:ascii="Arial" w:cs="Arial" w:eastAsia="Arial" w:hAnsi="Arial"/>
          <w:b/>
          <w:bCs/>
          <w:color w:val="1F5F5F"/>
          <w:sz w:val="26"/>
          <w:szCs w:val="26"/>
        </w:rPr>
        <w:t xml:space="preserve">Final Submission</w:t>
      </w:r>
    </w:p>
    <w:p>
      <w:pPr>
        <w:pStyle w:val="ListParagraph"/>
        <w:numPr>
          <w:ilvl w:val="0"/>
          <w:numId w:val="2"/>
        </w:numPr>
        <w:spacing w:after="60"/>
      </w:pPr>
      <w:r>
        <w:rPr>
          <w:rFonts w:ascii="Arial" w:cs="Arial" w:eastAsia="Arial" w:hAnsi="Arial"/>
          <w:sz w:val="22"/>
          <w:szCs w:val="22"/>
        </w:rPr>
        <w:t xml:space="preserve">GitHub repository: github.com/ncc1701mike/legal-ai-assistant</w:t>
      </w:r>
    </w:p>
    <w:p>
      <w:pPr>
        <w:pStyle w:val="ListParagraph"/>
        <w:numPr>
          <w:ilvl w:val="0"/>
          <w:numId w:val="2"/>
        </w:numPr>
        <w:spacing w:after="60"/>
      </w:pPr>
      <w:r>
        <w:rPr>
          <w:rFonts w:ascii="Arial" w:cs="Arial" w:eastAsia="Arial" w:hAnsi="Arial"/>
          <w:sz w:val="22"/>
          <w:szCs w:val="22"/>
        </w:rPr>
        <w:t xml:space="preserve">README: Architecture diagram, RAGAS results table, query tips, known limitations, and roadmap</w:t>
      </w:r>
    </w:p>
    <w:p>
      <w:pPr>
        <w:pStyle w:val="ListParagraph"/>
        <w:numPr>
          <w:ilvl w:val="0"/>
          <w:numId w:val="2"/>
        </w:numPr>
        <w:spacing w:after="60"/>
      </w:pPr>
      <w:r>
        <w:rPr>
          <w:rFonts w:ascii="Arial" w:cs="Arial" w:eastAsia="Arial" w:hAnsi="Arial"/>
          <w:sz w:val="22"/>
          <w:szCs w:val="22"/>
        </w:rPr>
        <w:t xml:space="preserve">All source code: modules/ingestion.py, modules/retrieval.py, modules/llm.py, modules/redaction.py, modules/search.py, app.py</w:t>
      </w:r>
    </w:p>
    <w:p>
      <w:pPr>
        <w:pStyle w:val="ListParagraph"/>
        <w:numPr>
          <w:ilvl w:val="0"/>
          <w:numId w:val="2"/>
        </w:numPr>
        <w:spacing w:after="60"/>
      </w:pPr>
      <w:r>
        <w:rPr>
          <w:rFonts w:ascii="Arial" w:cs="Arial" w:eastAsia="Arial" w:hAnsi="Arial"/>
          <w:sz w:val="22"/>
          <w:szCs w:val="22"/>
        </w:rPr>
        <w:t xml:space="preserve">Evaluation artifacts: evaluation/testset.json, evaluation/results_*.json, evaluation/evaluation.ipynb</w:t>
      </w:r>
    </w:p>
    <w:p>
      <w:pPr>
        <w:pStyle w:val="ListParagraph"/>
        <w:numPr>
          <w:ilvl w:val="0"/>
          <w:numId w:val="2"/>
        </w:numPr>
        <w:spacing w:after="60"/>
      </w:pPr>
      <w:r>
        <w:rPr>
          <w:rFonts w:ascii="Arial" w:cs="Arial" w:eastAsia="Arial" w:hAnsi="Arial"/>
          <w:sz w:val="22"/>
          <w:szCs w:val="22"/>
        </w:rPr>
        <w:t xml:space="preserve">Loom demo: 5-minute walkthrough demonstrating all four tabs with the Chen v. Nexagen corpus</w:t>
      </w:r>
    </w:p>
    <w:p>
      <w:r>
        <w:t xml:space="preserve"/>
      </w:r>
    </w:p>
    <w:p>
      <w:pPr>
        <w:pBdr>
          <w:bottom w:val="single" w:color="1F5F5F" w:sz="6" w:space="1"/>
        </w:pBdr>
        <w:spacing w:before="120" w:after="120"/>
      </w:pPr>
      <w:r>
        <w:t xml:space="preserve"/>
      </w:r>
    </w:p>
    <w:p>
      <w:pPr>
        <w:spacing w:before="240"/>
        <w:jc w:val="center"/>
      </w:pPr>
      <w:r>
        <w:rPr>
          <w:rFonts w:ascii="Arial" w:cs="Arial" w:eastAsia="Arial" w:hAnsi="Arial"/>
          <w:i/>
          <w:iCs/>
          <w:color w:val="666666"/>
          <w:sz w:val="20"/>
          <w:szCs w:val="20"/>
        </w:rPr>
        <w:t xml:space="preserve">Amicus AI — Built for Shenelle. Evaluated. Stress-tested. Demo-ready.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A3D3D"/>
      <w:sz w:val="32"/>
      <w:szCs w:val="32"/>
    </w:rPr>
  </w:style>
  <w:style w:type="paragraph" w:styleId="Heading2">
    <w:name w:val="Heading 2"/>
    <w:basedOn w:val="Normal"/>
    <w:next w:val="Normal"/>
    <w:qFormat/>
    <w:pPr>
      <w:spacing w:before="240" w:after="80"/>
      <w:outlineLvl w:val="1"/>
    </w:pPr>
    <w:rPr>
      <w:rFonts w:ascii="Arial" w:cs="Arial" w:eastAsia="Arial" w:hAnsi="Arial"/>
      <w:b/>
      <w:bCs/>
      <w:color w:val="1F5F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2026-03-01T02:31:36.843Z</dcterms:created>
  <dcterms:modified xsi:type="dcterms:W3CDTF">2026-03-01T02:31:36.844Z</dcterms:modified>
</cp:coreProperties>
</file>

<file path=docProps/custom.xml><?xml version="1.0" encoding="utf-8"?>
<Properties xmlns="http://schemas.openxmlformats.org/officeDocument/2006/custom-properties" xmlns:vt="http://schemas.openxmlformats.org/officeDocument/2006/docPropsVTypes"/>
</file>