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  <w:sz w:val="16"/>
        </w:rPr>
        <w:t>Bahagian Kawalan Penyakit, Kementerian Kesihatan Malaysia</w:t>
      </w:r>
    </w:p>
    <w:p>
      <w:pPr>
        <w:spacing w:after="120"/>
        <w:jc w:val="right"/>
      </w:pPr>
      <w:r>
        <w:rPr>
          <w:b w:val="0"/>
          <w:i w:val="0"/>
          <w:sz w:val="16"/>
        </w:rPr>
        <w:t>LAPORAN.AKHIR/METANOL.FCTC-2026</w:t>
      </w:r>
    </w:p>
    <w:p>
      <w:pPr>
        <w:spacing w:after="200"/>
        <w:jc w:val="center"/>
      </w:pPr>
      <w:r>
        <w:rPr>
          <w:b/>
          <w:i w:val="0"/>
          <w:sz w:val="26"/>
        </w:rPr>
        <w:t>FORMAT LAPORAN AKHIR WABAK / SPORADIK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1247"/>
        </w:trPr>
        <w:tc>
          <w:tcPr>
            <w:tcW w:type="dxa" w:w="3118"/>
          </w:tcPr>
          <w:p>
            <w:r>
              <w:t>1.  Tajuk</w:t>
            </w:r>
          </w:p>
        </w:tc>
        <w:tc>
          <w:tcPr>
            <w:tcW w:type="dxa" w:w="6520"/>
          </w:tcPr>
          <w:p/>
        </w:tc>
      </w:tr>
      <w:tr>
        <w:trPr>
          <w:trHeight w:val="1247"/>
        </w:trPr>
        <w:tc>
          <w:tcPr>
            <w:tcW w:type="dxa" w:w="3118"/>
          </w:tcPr>
          <w:p>
            <w:r>
              <w:t>2.  Sinopsis / ringkasan</w:t>
            </w:r>
          </w:p>
        </w:tc>
        <w:tc>
          <w:tcPr>
            <w:tcW w:type="dxa" w:w="6520"/>
          </w:tcPr>
          <w:p/>
        </w:tc>
      </w:tr>
      <w:tr>
        <w:trPr>
          <w:trHeight w:val="1247"/>
        </w:trPr>
        <w:tc>
          <w:tcPr>
            <w:tcW w:type="dxa" w:w="3118"/>
          </w:tcPr>
          <w:p>
            <w:r>
              <w:t>3.  Pengenalan</w:t>
            </w:r>
          </w:p>
        </w:tc>
        <w:tc>
          <w:tcPr>
            <w:tcW w:type="dxa" w:w="6520"/>
          </w:tcPr>
          <w:p/>
        </w:tc>
      </w:tr>
      <w:tr>
        <w:trPr>
          <w:trHeight w:val="1247"/>
        </w:trPr>
        <w:tc>
          <w:tcPr>
            <w:tcW w:type="dxa" w:w="3118"/>
          </w:tcPr>
          <w:p>
            <w:r>
              <w:t>4.  Objektif penyiasatan</w:t>
            </w:r>
          </w:p>
        </w:tc>
        <w:tc>
          <w:tcPr>
            <w:tcW w:type="dxa" w:w="6520"/>
          </w:tcPr>
          <w:p/>
        </w:tc>
      </w:tr>
      <w:tr>
        <w:trPr>
          <w:trHeight w:val="1247"/>
        </w:trPr>
        <w:tc>
          <w:tcPr>
            <w:tcW w:type="dxa" w:w="3118"/>
          </w:tcPr>
          <w:p>
            <w:r>
              <w:t>5.  Metodologi</w:t>
            </w:r>
          </w:p>
        </w:tc>
        <w:tc>
          <w:tcPr>
            <w:tcW w:type="dxa" w:w="6520"/>
          </w:tcPr>
          <w:p/>
        </w:tc>
      </w:tr>
      <w:tr>
        <w:trPr>
          <w:trHeight w:val="1247"/>
        </w:trPr>
        <w:tc>
          <w:tcPr>
            <w:tcW w:type="dxa" w:w="3118"/>
          </w:tcPr>
          <w:p>
            <w:r>
              <w:t>6.  Keputusan</w:t>
            </w:r>
          </w:p>
        </w:tc>
        <w:tc>
          <w:tcPr>
            <w:tcW w:type="dxa" w:w="6520"/>
          </w:tcPr>
          <w:p/>
        </w:tc>
      </w:tr>
    </w:tbl>
    <w:p/>
    <w:p>
      <w:r>
        <w:rPr>
          <w:b w:val="0"/>
          <w:i w:val="0"/>
        </w:rPr>
        <w:t>Klasifikasi akhir :   ☐ Kes berkemungkinan (Probable Case)</w:t>
      </w:r>
    </w:p>
    <w:p>
      <w:r>
        <w:rPr>
          <w:b w:val="0"/>
          <w:i w:val="0"/>
        </w:rPr>
        <w:t xml:space="preserve">                              ☐ Kes disahkan (Confirmed Case)</w:t>
      </w:r>
    </w:p>
    <w:p>
      <w:pPr>
        <w:spacing w:after="160"/>
      </w:pPr>
      <w:r>
        <w:rPr>
          <w:b w:val="0"/>
          <w:i w:val="0"/>
        </w:rPr>
        <w:t xml:space="preserve">                              ☐ Bukan keracunan metanol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1701"/>
        </w:trPr>
        <w:tc>
          <w:tcPr>
            <w:tcW w:type="dxa" w:w="3118"/>
          </w:tcPr>
          <w:p>
            <w:r>
              <w:t>7.  Tindakan kawalan dan penguatkuasaan</w:t>
            </w:r>
          </w:p>
        </w:tc>
        <w:tc>
          <w:tcPr>
            <w:tcW w:type="dxa" w:w="6520"/>
          </w:tcPr>
          <w:p/>
        </w:tc>
      </w:tr>
      <w:tr>
        <w:trPr>
          <w:trHeight w:val="1701"/>
        </w:trPr>
        <w:tc>
          <w:tcPr>
            <w:tcW w:type="dxa" w:w="3118"/>
          </w:tcPr>
          <w:p>
            <w:r>
              <w:t>8.  Kesimpulan dan cadangan</w:t>
            </w:r>
          </w:p>
        </w:tc>
        <w:tc>
          <w:tcPr>
            <w:tcW w:type="dxa" w:w="6520"/>
          </w:tcPr>
          <w:p/>
        </w:tc>
      </w:tr>
    </w:tbl>
    <w:p/>
    <w:p/>
    <w:p>
      <w:pPr>
        <w:tabs>
          <w:tab w:pos="3118" w:val="left"/>
        </w:tabs>
        <w:spacing w:after="280"/>
      </w:pPr>
      <w:r>
        <w:rPr>
          <w:b w:val="0"/>
          <w:i w:val="0"/>
        </w:rPr>
        <w:t>Disediakan oleh</w:t>
        <w:tab/>
        <w:t>:  ( Pegawai 1 )</w:t>
      </w:r>
    </w:p>
    <w:p>
      <w:pPr>
        <w:tabs>
          <w:tab w:pos="3118" w:val="left"/>
        </w:tabs>
        <w:spacing w:after="280"/>
      </w:pPr>
      <w:r>
        <w:rPr>
          <w:b w:val="0"/>
          <w:i w:val="0"/>
        </w:rPr>
        <w:t>Disemak oleh</w:t>
        <w:tab/>
        <w:t>:  ( Pegawai 2 )</w:t>
      </w:r>
    </w:p>
    <w:p>
      <w:pPr>
        <w:tabs>
          <w:tab w:pos="3118" w:val="left"/>
        </w:tabs>
        <w:spacing w:after="280"/>
      </w:pPr>
      <w:r>
        <w:rPr>
          <w:b w:val="0"/>
          <w:i w:val="0"/>
        </w:rPr>
        <w:t>Disahkan oleh</w:t>
        <w:tab/>
        <w:t>:  ( Pegawai 3 )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