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F3775" w14:textId="77777777" w:rsidR="00DB512A" w:rsidRDefault="00DB512A" w:rsidP="00DB512A">
      <w:pPr>
        <w:spacing w:before="240" w:line="240" w:lineRule="auto"/>
        <w:contextualSpacing/>
        <w:jc w:val="both"/>
        <w:rPr>
          <w:b/>
          <w:bCs/>
          <w:i/>
          <w:iCs/>
          <w:sz w:val="24"/>
          <w:szCs w:val="24"/>
        </w:rPr>
      </w:pPr>
      <w:r>
        <w:rPr>
          <w:b/>
          <w:bCs/>
          <w:i/>
          <w:iCs/>
          <w:sz w:val="24"/>
          <w:szCs w:val="24"/>
        </w:rPr>
        <w:t>Entropy</w:t>
      </w:r>
    </w:p>
    <w:p w14:paraId="635F7757" w14:textId="77777777" w:rsidR="00DB512A" w:rsidRDefault="00DB512A" w:rsidP="00DB512A">
      <w:pPr>
        <w:spacing w:line="240" w:lineRule="auto"/>
        <w:contextualSpacing/>
        <w:jc w:val="both"/>
        <w:rPr>
          <w:sz w:val="20"/>
          <w:szCs w:val="20"/>
        </w:rPr>
      </w:pPr>
      <w:r>
        <w:rPr>
          <w:sz w:val="20"/>
          <w:szCs w:val="20"/>
        </w:rPr>
        <w:t>With our various distributions defined, it is useful to analyze the entropy of each distribution. First, the total entropy of the joint distribution is (</w:t>
      </w:r>
      <w:r>
        <w:rPr>
          <w:b/>
          <w:bCs/>
          <w:sz w:val="20"/>
          <w:szCs w:val="20"/>
        </w:rPr>
        <w:t>Equation 2</w:t>
      </w:r>
      <w:r>
        <w:rPr>
          <w:sz w:val="20"/>
          <w:szCs w:val="20"/>
        </w:rPr>
        <w:t>):</w:t>
      </w:r>
    </w:p>
    <w:p w14:paraId="60723DC3" w14:textId="77777777" w:rsidR="00DB512A" w:rsidRDefault="00DB512A" w:rsidP="00DB512A">
      <w:pPr>
        <w:spacing w:line="240" w:lineRule="auto"/>
        <w:contextualSpacing/>
        <w:jc w:val="both"/>
        <w:rPr>
          <w:sz w:val="20"/>
          <w:szCs w:val="20"/>
        </w:rPr>
      </w:pPr>
    </w:p>
    <w:p w14:paraId="19B85708" w14:textId="77777777" w:rsidR="00DB512A" w:rsidRDefault="00DB512A" w:rsidP="00DB512A">
      <w:pPr>
        <w:spacing w:after="240" w:line="240" w:lineRule="auto"/>
        <w:contextualSpacing/>
        <w:jc w:val="center"/>
        <w:rPr>
          <w:sz w:val="20"/>
          <w:szCs w:val="20"/>
        </w:rPr>
      </w:pPr>
      <m:oMath>
        <m:r>
          <w:rPr>
            <w:rFonts w:ascii="Cambria Math" w:eastAsia="Cambria Math" w:hAnsi="Cambria Math" w:cs="Cambria Math"/>
            <w:sz w:val="20"/>
            <w:szCs w:val="20"/>
          </w:rPr>
          <m:t>H</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e>
        </m:d>
        <m: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i/>
                <w:sz w:val="20"/>
                <w:szCs w:val="20"/>
              </w:rPr>
            </m:ctrlPr>
          </m:naryPr>
          <m:sub>
            <m:r>
              <w:rPr>
                <w:rFonts w:ascii="Cambria Math" w:eastAsia="Cambria Math" w:hAnsi="Cambria Math" w:cs="Cambria Math"/>
                <w:sz w:val="20"/>
                <w:szCs w:val="20"/>
              </w:rPr>
              <m:t>φ∈Φ, c∈C</m:t>
            </m:r>
          </m:sub>
          <m:sup/>
          <m:e>
            <m:r>
              <w:rPr>
                <w:rFonts w:ascii="Cambria Math" w:eastAsia="Cambria Math" w:hAnsi="Cambria Math" w:cs="Cambria Math"/>
                <w:sz w:val="20"/>
                <w:szCs w:val="20"/>
              </w:rPr>
              <m:t>p</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r>
              <w:rPr>
                <w:rFonts w:ascii="Cambria Math" w:eastAsia="Cambria Math" w:hAnsi="Cambria Math" w:cs="Cambria Math"/>
                <w:sz w:val="20"/>
                <w:szCs w:val="20"/>
              </w:rPr>
              <m:t xml:space="preserve"> </m:t>
            </m:r>
            <m:r>
              <m:rPr>
                <m:sty m:val="p"/>
              </m:rPr>
              <w:rPr>
                <w:rFonts w:ascii="Cambria Math" w:eastAsia="Cambria Math" w:hAnsi="Cambria Math" w:cs="Cambria Math"/>
                <w:sz w:val="20"/>
                <w:szCs w:val="20"/>
              </w:rPr>
              <m:t>log</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e>
            </m:d>
          </m:e>
        </m:nary>
      </m:oMath>
      <w:r>
        <w:rPr>
          <w:sz w:val="20"/>
          <w:szCs w:val="20"/>
        </w:rPr>
        <w:t>.</w:t>
      </w:r>
    </w:p>
    <w:p w14:paraId="4FEF84AE" w14:textId="77777777" w:rsidR="00DB512A" w:rsidRDefault="00DB512A" w:rsidP="00DB512A">
      <w:pPr>
        <w:spacing w:after="240" w:line="240" w:lineRule="auto"/>
        <w:contextualSpacing/>
        <w:jc w:val="both"/>
        <w:rPr>
          <w:sz w:val="20"/>
          <w:szCs w:val="20"/>
        </w:rPr>
      </w:pPr>
    </w:p>
    <w:p w14:paraId="32C1D896" w14:textId="77777777" w:rsidR="00DB512A" w:rsidRDefault="00DB512A" w:rsidP="00DB512A">
      <w:pPr>
        <w:spacing w:before="240" w:after="240" w:line="240" w:lineRule="auto"/>
        <w:contextualSpacing/>
        <w:jc w:val="both"/>
        <w:rPr>
          <w:sz w:val="20"/>
          <w:szCs w:val="20"/>
        </w:rPr>
      </w:pPr>
      <w:r>
        <w:rPr>
          <w:sz w:val="20"/>
          <w:szCs w:val="20"/>
        </w:rPr>
        <w:t xml:space="preserve">The entropy of the conditional distributions, (i.e., the clone distribution and the phenotype distribution) are also readily defined by the </w:t>
      </w:r>
      <w:r>
        <w:rPr>
          <w:i/>
          <w:iCs/>
          <w:sz w:val="20"/>
          <w:szCs w:val="20"/>
        </w:rPr>
        <w:t>clonotypic entropy</w:t>
      </w:r>
      <w:r>
        <w:rPr>
          <w:sz w:val="20"/>
          <w:szCs w:val="20"/>
        </w:rPr>
        <w:t xml:space="preserve"> (</w:t>
      </w:r>
      <w:r>
        <w:rPr>
          <w:b/>
          <w:bCs/>
          <w:sz w:val="20"/>
          <w:szCs w:val="20"/>
        </w:rPr>
        <w:t>Equation 3</w:t>
      </w:r>
      <w:r>
        <w:rPr>
          <w:sz w:val="20"/>
          <w:szCs w:val="20"/>
        </w:rPr>
        <w:t>):</w:t>
      </w:r>
    </w:p>
    <w:p w14:paraId="519EB002" w14:textId="77777777" w:rsidR="00DB512A" w:rsidRDefault="00DB512A" w:rsidP="00DB512A">
      <w:pPr>
        <w:spacing w:before="240" w:after="240" w:line="240" w:lineRule="auto"/>
        <w:contextualSpacing/>
        <w:jc w:val="both"/>
        <w:rPr>
          <w:sz w:val="20"/>
          <w:szCs w:val="20"/>
        </w:rPr>
      </w:pPr>
    </w:p>
    <w:p w14:paraId="4FD31B6F" w14:textId="77777777" w:rsidR="00DB512A" w:rsidRDefault="00DB512A" w:rsidP="00DB512A">
      <w:pPr>
        <w:spacing w:before="240" w:after="240" w:line="240" w:lineRule="auto"/>
        <w:contextualSpacing/>
        <w:jc w:val="center"/>
        <w:rPr>
          <w:sz w:val="20"/>
          <w:szCs w:val="20"/>
        </w:rPr>
      </w:pPr>
      <m:oMath>
        <m:r>
          <w:rPr>
            <w:rFonts w:ascii="Cambria Math" w:eastAsia="Cambria Math" w:hAnsi="Cambria Math" w:cs="Cambria Math"/>
            <w:sz w:val="20"/>
            <w:szCs w:val="20"/>
          </w:rPr>
          <m:t>H</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c|φ</m:t>
                </m:r>
              </m:e>
            </m:d>
          </m:e>
        </m:d>
        <m:r>
          <w:rPr>
            <w:rFonts w:ascii="Cambria Math" w:eastAsia="Cambria Math" w:hAnsi="Cambria Math" w:cs="Cambria Math"/>
            <w:sz w:val="20"/>
            <w:szCs w:val="20"/>
          </w:rPr>
          <m:t>= -</m:t>
        </m:r>
        <m:nary>
          <m:naryPr>
            <m:chr m:val="∑"/>
            <m:limLoc m:val="undOvr"/>
            <m:supHide m:val="1"/>
            <m:ctrlPr>
              <w:rPr>
                <w:rFonts w:ascii="Cambria Math" w:eastAsia="Cambria Math" w:hAnsi="Cambria Math" w:cs="Cambria Math"/>
                <w:i/>
                <w:sz w:val="20"/>
                <w:szCs w:val="20"/>
              </w:rPr>
            </m:ctrlPr>
          </m:naryPr>
          <m:sub>
            <m:r>
              <w:rPr>
                <w:rFonts w:ascii="Cambria Math" w:eastAsia="Cambria Math" w:hAnsi="Cambria Math" w:cs="Cambria Math"/>
                <w:sz w:val="20"/>
                <w:szCs w:val="20"/>
              </w:rPr>
              <m:t>c∈C</m:t>
            </m:r>
          </m:sub>
          <m:sup/>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c|φ</m:t>
                </m:r>
              </m:e>
            </m:d>
            <m:r>
              <w:rPr>
                <w:rFonts w:ascii="Cambria Math" w:eastAsia="Cambria Math" w:hAnsi="Cambria Math" w:cs="Cambria Math"/>
                <w:sz w:val="20"/>
                <w:szCs w:val="20"/>
              </w:rPr>
              <m:t xml:space="preserve"> </m:t>
            </m:r>
            <m:r>
              <m:rPr>
                <m:sty m:val="p"/>
              </m:rPr>
              <w:rPr>
                <w:rFonts w:ascii="Cambria Math" w:eastAsia="Cambria Math" w:hAnsi="Cambria Math" w:cs="Cambria Math"/>
                <w:sz w:val="20"/>
                <w:szCs w:val="20"/>
              </w:rPr>
              <m:t>log</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p(c|φ</m:t>
                </m:r>
              </m:e>
            </m:d>
            <m:r>
              <w:rPr>
                <w:rFonts w:ascii="Cambria Math" w:eastAsia="Cambria Math" w:hAnsi="Cambria Math" w:cs="Cambria Math"/>
                <w:sz w:val="20"/>
                <w:szCs w:val="20"/>
              </w:rPr>
              <m:t>)</m:t>
            </m:r>
          </m:e>
        </m:nary>
      </m:oMath>
      <w:r>
        <w:rPr>
          <w:sz w:val="20"/>
          <w:szCs w:val="20"/>
        </w:rPr>
        <w:t>.</w:t>
      </w:r>
    </w:p>
    <w:p w14:paraId="70D061F0" w14:textId="77777777" w:rsidR="00DB512A" w:rsidRDefault="00DB512A" w:rsidP="00DB512A">
      <w:pPr>
        <w:spacing w:before="240" w:after="240" w:line="240" w:lineRule="auto"/>
        <w:contextualSpacing/>
        <w:jc w:val="both"/>
        <w:rPr>
          <w:sz w:val="20"/>
          <w:szCs w:val="20"/>
        </w:rPr>
      </w:pPr>
    </w:p>
    <w:p w14:paraId="054A349E" w14:textId="77777777" w:rsidR="00DB512A" w:rsidRDefault="00DB512A" w:rsidP="00DB512A">
      <w:pPr>
        <w:spacing w:before="240" w:after="240" w:line="240" w:lineRule="auto"/>
        <w:contextualSpacing/>
        <w:jc w:val="both"/>
        <w:rPr>
          <w:sz w:val="20"/>
          <w:szCs w:val="20"/>
        </w:rPr>
      </w:pPr>
      <w:r>
        <w:rPr>
          <w:sz w:val="20"/>
          <w:szCs w:val="20"/>
        </w:rPr>
        <w:t xml:space="preserve">And the </w:t>
      </w:r>
      <w:r>
        <w:rPr>
          <w:i/>
          <w:iCs/>
          <w:sz w:val="20"/>
          <w:szCs w:val="20"/>
        </w:rPr>
        <w:t>phenotypic entropy</w:t>
      </w:r>
      <w:r>
        <w:rPr>
          <w:b/>
          <w:bCs/>
          <w:sz w:val="20"/>
          <w:szCs w:val="20"/>
        </w:rPr>
        <w:t xml:space="preserve"> </w:t>
      </w:r>
      <w:r>
        <w:rPr>
          <w:sz w:val="20"/>
          <w:szCs w:val="20"/>
        </w:rPr>
        <w:t>(</w:t>
      </w:r>
      <w:r>
        <w:rPr>
          <w:b/>
          <w:bCs/>
          <w:sz w:val="20"/>
          <w:szCs w:val="20"/>
        </w:rPr>
        <w:t>Equation 4</w:t>
      </w:r>
      <w:r>
        <w:rPr>
          <w:sz w:val="20"/>
          <w:szCs w:val="20"/>
        </w:rPr>
        <w:t>):</w:t>
      </w:r>
    </w:p>
    <w:p w14:paraId="0AD1519E" w14:textId="77777777" w:rsidR="00DB512A" w:rsidRDefault="00DB512A" w:rsidP="00DB512A">
      <w:pPr>
        <w:spacing w:before="240" w:after="240" w:line="240" w:lineRule="auto"/>
        <w:contextualSpacing/>
        <w:jc w:val="both"/>
        <w:rPr>
          <w:sz w:val="20"/>
          <w:szCs w:val="20"/>
        </w:rPr>
      </w:pPr>
    </w:p>
    <w:p w14:paraId="1B34C110" w14:textId="77777777" w:rsidR="00DB512A" w:rsidRDefault="00DB512A" w:rsidP="00DB512A">
      <w:pPr>
        <w:spacing w:line="240" w:lineRule="auto"/>
        <w:contextualSpacing/>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H</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φ|c</m:t>
                  </m:r>
                </m:e>
              </m:d>
            </m:e>
          </m:d>
          <m: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i/>
                  <w:sz w:val="20"/>
                  <w:szCs w:val="20"/>
                </w:rPr>
              </m:ctrlPr>
            </m:naryPr>
            <m:sub>
              <m:r>
                <w:rPr>
                  <w:rFonts w:ascii="Cambria Math" w:eastAsia="Cambria Math" w:hAnsi="Cambria Math" w:cs="Cambria Math"/>
                  <w:sz w:val="20"/>
                  <w:szCs w:val="20"/>
                </w:rPr>
                <m:t>φ∈Φ</m:t>
              </m:r>
            </m:sub>
            <m:sup/>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φ|c</m:t>
                  </m:r>
                </m:e>
              </m:d>
              <m:box>
                <m:boxPr>
                  <m:opEmu m:val="1"/>
                  <m:ctrlPr>
                    <w:rPr>
                      <w:rFonts w:ascii="Cambria Math" w:eastAsia="Cambria Math" w:hAnsi="Cambria Math" w:cs="Cambria Math"/>
                      <w:iCs/>
                      <w:sz w:val="20"/>
                      <w:szCs w:val="20"/>
                    </w:rPr>
                  </m:ctrlPr>
                </m:boxPr>
                <m:e>
                  <m:r>
                    <m:rPr>
                      <m:sty m:val="p"/>
                    </m:rPr>
                    <w:rPr>
                      <w:rFonts w:ascii="Cambria Math" w:eastAsia="Cambria Math" w:hAnsi="Cambria Math" w:cs="Cambria Math"/>
                      <w:sz w:val="20"/>
                      <w:szCs w:val="20"/>
                    </w:rPr>
                    <m:t>log</m:t>
                  </m:r>
                </m:e>
              </m:box>
              <m:d>
                <m:dPr>
                  <m:ctrlPr>
                    <w:rPr>
                      <w:rFonts w:ascii="Cambria Math" w:eastAsia="Cambria Math" w:hAnsi="Cambria Math" w:cs="Cambria Math"/>
                      <w:sz w:val="20"/>
                      <w:szCs w:val="20"/>
                    </w:rPr>
                  </m:ctrlPr>
                </m:dPr>
                <m:e>
                  <m:r>
                    <w:rPr>
                      <w:rFonts w:ascii="Cambria Math" w:eastAsia="Cambria Math" w:hAnsi="Cambria Math" w:cs="Cambria Math"/>
                      <w:sz w:val="20"/>
                      <w:szCs w:val="20"/>
                    </w:rPr>
                    <m:t>p(φ|c</m:t>
                  </m:r>
                </m:e>
              </m:d>
              <m:r>
                <w:rPr>
                  <w:rFonts w:ascii="Cambria Math" w:eastAsia="Cambria Math" w:hAnsi="Cambria Math" w:cs="Cambria Math"/>
                  <w:sz w:val="20"/>
                  <w:szCs w:val="20"/>
                </w:rPr>
                <m:t>)</m:t>
              </m:r>
            </m:e>
          </m:nary>
          <m:r>
            <w:rPr>
              <w:rFonts w:ascii="Cambria Math" w:hAnsi="Cambria Math"/>
            </w:rPr>
            <m:t xml:space="preserve"> </m:t>
          </m:r>
          <m:r>
            <w:rPr>
              <w:rFonts w:ascii="Cambria Math" w:eastAsia="Cambria Math" w:hAnsi="Cambria Math" w:cs="Cambria Math"/>
              <w:sz w:val="20"/>
              <w:szCs w:val="20"/>
            </w:rPr>
            <m:t>.</m:t>
          </m:r>
        </m:oMath>
      </m:oMathPara>
    </w:p>
    <w:p w14:paraId="51DF5229" w14:textId="77777777" w:rsidR="00DB512A" w:rsidRDefault="00DB512A" w:rsidP="00DB512A">
      <w:pPr>
        <w:spacing w:line="240" w:lineRule="auto"/>
        <w:contextualSpacing/>
        <w:jc w:val="both"/>
        <w:rPr>
          <w:sz w:val="20"/>
          <w:szCs w:val="20"/>
        </w:rPr>
      </w:pPr>
      <w:r>
        <w:rPr>
          <w:sz w:val="20"/>
          <w:szCs w:val="20"/>
        </w:rPr>
        <w:t xml:space="preserve">The entropy of the clone distribution, </w:t>
      </w:r>
      <m:oMath>
        <m:r>
          <w:rPr>
            <w:rFonts w:ascii="Cambria Math" w:eastAsia="Cambria Math" w:hAnsi="Cambria Math" w:cs="Cambria Math"/>
            <w:sz w:val="20"/>
            <w:szCs w:val="20"/>
          </w:rPr>
          <m:t>H</m:t>
        </m:r>
        <m:d>
          <m:dPr>
            <m:ctrlPr>
              <w:rPr>
                <w:rFonts w:ascii="Cambria Math" w:eastAsia="Cambria Math" w:hAnsi="Cambria Math" w:cs="Cambria Math"/>
                <w:sz w:val="20"/>
                <w:szCs w:val="20"/>
              </w:rPr>
            </m:ctrlPr>
          </m:dPr>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c</m:t>
                </m:r>
              </m:e>
            </m:d>
          </m:e>
        </m:d>
      </m:oMath>
      <w:r>
        <w:rPr>
          <w:sz w:val="20"/>
          <w:szCs w:val="20"/>
        </w:rPr>
        <w:t>, has been used many times before and is closely related to the normalized clonality measure used to characterize CDR3 distributions (Kirsch et al. 2015</w:t>
      </w:r>
      <w:r>
        <w:t>)</w:t>
      </w:r>
      <w:r>
        <w:rPr>
          <w:sz w:val="20"/>
          <w:szCs w:val="20"/>
        </w:rPr>
        <w:t xml:space="preserve">. The clonotypic and phenotypic entropies of the conditional distributions have not been studied before in this context. By defining the conditional distribution for these measures, we can also extend the notion of clonality to the conditional distributions and define the T-cell receptor clonality of a specific phenotype. Lastly, as we have a joint probability distribution, </w:t>
      </w:r>
      <m:oMath>
        <m:r>
          <w:rPr>
            <w:rFonts w:ascii="Cambria Math" w:eastAsia="Cambria Math" w:hAnsi="Cambria Math" w:cs="Cambria Math"/>
            <w:sz w:val="20"/>
            <w:szCs w:val="20"/>
          </w:rPr>
          <m:t>p</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r>
          <w:rPr>
            <w:rFonts w:ascii="Cambria Math" w:eastAsia="Cambria Math" w:hAnsi="Cambria Math" w:cs="Cambria Math"/>
            <w:sz w:val="20"/>
            <w:szCs w:val="20"/>
          </w:rPr>
          <m:t>,</m:t>
        </m:r>
      </m:oMath>
      <w:r>
        <w:rPr>
          <w:sz w:val="20"/>
          <w:szCs w:val="20"/>
        </w:rPr>
        <w:t xml:space="preserve"> we can compute the mutual information, </w:t>
      </w:r>
      <m:oMath>
        <m:r>
          <w:rPr>
            <w:rFonts w:ascii="Cambria Math" w:eastAsia="Cambria Math" w:hAnsi="Cambria Math" w:cs="Cambria Math"/>
            <w:sz w:val="20"/>
            <w:szCs w:val="20"/>
          </w:rPr>
          <m:t>I</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oMath>
      <w:r>
        <w:rPr>
          <w:sz w:val="20"/>
          <w:szCs w:val="20"/>
        </w:rPr>
        <w:t>, between clonotype and phenotype. This is given by (</w:t>
      </w:r>
      <w:r>
        <w:rPr>
          <w:b/>
          <w:bCs/>
          <w:sz w:val="20"/>
          <w:szCs w:val="20"/>
        </w:rPr>
        <w:t>Equation 5</w:t>
      </w:r>
      <w:r>
        <w:rPr>
          <w:sz w:val="20"/>
          <w:szCs w:val="20"/>
        </w:rPr>
        <w:t>):</w:t>
      </w:r>
    </w:p>
    <w:p w14:paraId="7F5FD671" w14:textId="77777777" w:rsidR="00DB512A" w:rsidRDefault="00DB512A" w:rsidP="00DB512A">
      <w:pPr>
        <w:spacing w:line="240" w:lineRule="auto"/>
        <w:contextualSpacing/>
        <w:jc w:val="both"/>
      </w:pPr>
    </w:p>
    <w:p w14:paraId="1AB2AE4E" w14:textId="77777777" w:rsidR="00DB512A" w:rsidRDefault="00DB512A" w:rsidP="00DB512A">
      <w:pPr>
        <w:spacing w:before="240" w:after="240" w:line="240" w:lineRule="auto"/>
        <w:contextualSpacing/>
        <w:jc w:val="center"/>
        <w:rPr>
          <w:sz w:val="20"/>
          <w:szCs w:val="20"/>
        </w:rPr>
      </w:pPr>
      <m:oMath>
        <m:r>
          <w:rPr>
            <w:rFonts w:ascii="Cambria Math" w:eastAsia="Cambria Math" w:hAnsi="Cambria Math" w:cs="Cambria Math"/>
            <w:sz w:val="20"/>
            <w:szCs w:val="20"/>
          </w:rPr>
          <m:t>I</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i/>
                <w:sz w:val="20"/>
                <w:szCs w:val="20"/>
              </w:rPr>
            </m:ctrlPr>
          </m:naryPr>
          <m:sub>
            <m:r>
              <w:rPr>
                <w:rFonts w:ascii="Cambria Math" w:eastAsia="Cambria Math" w:hAnsi="Cambria Math" w:cs="Cambria Math"/>
                <w:sz w:val="21"/>
                <w:szCs w:val="21"/>
              </w:rPr>
              <m:t>φ</m:t>
            </m:r>
            <m:r>
              <w:rPr>
                <w:rFonts w:ascii="Cambria Math" w:eastAsia="Cambria Math" w:hAnsi="Cambria Math" w:cs="Cambria Math"/>
                <w:sz w:val="20"/>
                <w:szCs w:val="20"/>
              </w:rPr>
              <m:t>∈Φ, c∈C</m:t>
            </m:r>
          </m:sub>
          <m:sup/>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φ,c</m:t>
                </m:r>
              </m:e>
            </m:d>
            <m:r>
              <m:rPr>
                <m:sty m:val="p"/>
              </m:rPr>
              <w:rPr>
                <w:rFonts w:ascii="Cambria Math" w:eastAsia="Cambria Math" w:hAnsi="Cambria Math" w:cs="Cambria Math"/>
                <w:sz w:val="20"/>
                <w:szCs w:val="20"/>
              </w:rPr>
              <m:t xml:space="preserve"> log</m:t>
            </m:r>
            <m:d>
              <m:dPr>
                <m:ctrlPr>
                  <w:rPr>
                    <w:rFonts w:ascii="Cambria Math" w:eastAsia="Cambria Math" w:hAnsi="Cambria Math" w:cs="Cambria Math"/>
                    <w:sz w:val="20"/>
                    <w:szCs w:val="20"/>
                  </w:rPr>
                </m:ctrlPr>
              </m:dPr>
              <m:e>
                <m:f>
                  <m:fPr>
                    <m:ctrlPr>
                      <w:rPr>
                        <w:rFonts w:ascii="Cambria Math" w:eastAsia="Cambria Math" w:hAnsi="Cambria Math" w:cs="Cambria Math"/>
                        <w:sz w:val="20"/>
                        <w:szCs w:val="20"/>
                      </w:rPr>
                    </m:ctrlPr>
                  </m:fPr>
                  <m:num>
                    <m:r>
                      <w:rPr>
                        <w:rFonts w:ascii="Cambria Math" w:eastAsia="Cambria Math" w:hAnsi="Cambria Math" w:cs="Cambria Math"/>
                        <w:sz w:val="20"/>
                        <w:szCs w:val="20"/>
                      </w:rPr>
                      <m:t>p</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num>
                  <m:den>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φ</m:t>
                        </m:r>
                      </m:e>
                    </m:d>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c</m:t>
                        </m:r>
                      </m:e>
                    </m:d>
                  </m:den>
                </m:f>
              </m:e>
            </m:d>
          </m:e>
        </m:nary>
      </m:oMath>
      <w:r>
        <w:rPr>
          <w:sz w:val="20"/>
          <w:szCs w:val="20"/>
        </w:rPr>
        <w:t>.</w:t>
      </w:r>
    </w:p>
    <w:p w14:paraId="53D5A68C" w14:textId="77777777" w:rsidR="00DB512A" w:rsidRDefault="00DB512A" w:rsidP="00DB512A">
      <w:pPr>
        <w:spacing w:before="240" w:after="240" w:line="240" w:lineRule="auto"/>
        <w:contextualSpacing/>
        <w:jc w:val="both"/>
        <w:rPr>
          <w:sz w:val="20"/>
          <w:szCs w:val="20"/>
        </w:rPr>
      </w:pPr>
    </w:p>
    <w:p w14:paraId="46633C40" w14:textId="77777777" w:rsidR="00DB512A" w:rsidRDefault="00DB512A" w:rsidP="00DB512A">
      <w:pPr>
        <w:spacing w:before="240" w:after="240" w:line="240" w:lineRule="auto"/>
        <w:contextualSpacing/>
        <w:jc w:val="both"/>
        <w:rPr>
          <w:sz w:val="20"/>
          <w:szCs w:val="20"/>
        </w:rPr>
      </w:pPr>
      <w:r>
        <w:rPr>
          <w:sz w:val="20"/>
          <w:szCs w:val="20"/>
        </w:rPr>
        <w:t xml:space="preserve">In the case of extremely skewed numbers of clonotypes being compared, it can be advantageous to normalize </w:t>
      </w:r>
      <m:oMath>
        <m:r>
          <w:rPr>
            <w:rFonts w:ascii="Cambria Math" w:eastAsia="Cambria Math" w:hAnsi="Cambria Math" w:cs="Cambria Math"/>
            <w:sz w:val="20"/>
            <w:szCs w:val="20"/>
          </w:rPr>
          <m:t>I</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oMath>
      <w:r>
        <w:rPr>
          <w:sz w:val="20"/>
          <w:szCs w:val="20"/>
        </w:rPr>
        <w:t>. This is given by (</w:t>
      </w:r>
      <w:r>
        <w:rPr>
          <w:b/>
          <w:bCs/>
          <w:sz w:val="20"/>
          <w:szCs w:val="20"/>
        </w:rPr>
        <w:t>Equation 6</w:t>
      </w:r>
      <w:r>
        <w:rPr>
          <w:sz w:val="20"/>
          <w:szCs w:val="20"/>
        </w:rPr>
        <w:t>):</w:t>
      </w:r>
    </w:p>
    <w:p w14:paraId="680B3299" w14:textId="77777777" w:rsidR="00DB512A" w:rsidRDefault="00DB512A" w:rsidP="00DB512A">
      <w:pPr>
        <w:spacing w:before="240" w:after="240" w:line="240" w:lineRule="auto"/>
        <w:contextualSpacing/>
        <w:jc w:val="both"/>
        <w:rPr>
          <w:b/>
          <w:bCs/>
          <w:i/>
          <w:iCs/>
          <w:sz w:val="24"/>
          <w:szCs w:val="24"/>
        </w:rPr>
      </w:pPr>
    </w:p>
    <w:p w14:paraId="10A0FF23" w14:textId="77777777" w:rsidR="00DB512A" w:rsidRDefault="00DB512A" w:rsidP="00DB512A">
      <w:pPr>
        <w:spacing w:before="240" w:after="240" w:line="240" w:lineRule="auto"/>
        <w:contextualSpacing/>
        <w:jc w:val="center"/>
        <w:rPr>
          <w:b/>
          <w:bCs/>
          <w:i/>
          <w:iCs/>
          <w:sz w:val="24"/>
          <w:szCs w:val="24"/>
        </w:rPr>
      </w:pPr>
      <m:oMath>
        <m:r>
          <w:rPr>
            <w:rFonts w:ascii="Cambria Math" w:eastAsia="Cambria Math" w:hAnsi="Cambria Math" w:cs="Cambria Math"/>
            <w:sz w:val="20"/>
            <w:szCs w:val="20"/>
          </w:rPr>
          <m:t>NMI</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I</m:t>
            </m:r>
            <m:d>
              <m:dPr>
                <m:ctrlPr>
                  <w:rPr>
                    <w:rFonts w:ascii="Cambria Math" w:eastAsia="Cambria Math" w:hAnsi="Cambria Math" w:cs="Cambria Math"/>
                    <w:sz w:val="21"/>
                    <w:szCs w:val="21"/>
                  </w:rPr>
                </m:ctrlPr>
              </m:dPr>
              <m:e>
                <m:r>
                  <w:rPr>
                    <w:rFonts w:ascii="Cambria Math" w:eastAsia="Cambria Math" w:hAnsi="Cambria Math" w:cs="Cambria Math"/>
                    <w:sz w:val="21"/>
                    <w:szCs w:val="21"/>
                  </w:rPr>
                  <m:t>c, φ</m:t>
                </m:r>
              </m:e>
            </m:d>
          </m:num>
          <m:den>
            <m:f>
              <m:fPr>
                <m:ctrlPr>
                  <w:rPr>
                    <w:rFonts w:ascii="Cambria Math" w:eastAsia="Cambria Math" w:hAnsi="Cambria Math" w:cs="Cambria Math"/>
                    <w:sz w:val="20"/>
                    <w:szCs w:val="20"/>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2</m:t>
                </m:r>
              </m:den>
            </m:f>
            <m:d>
              <m:dPr>
                <m:ctrlPr>
                  <w:rPr>
                    <w:rFonts w:ascii="Cambria Math" w:eastAsia="Cambria Math" w:hAnsi="Cambria Math" w:cs="Cambria Math"/>
                    <w:sz w:val="20"/>
                    <w:szCs w:val="20"/>
                  </w:rPr>
                </m:ctrlPr>
              </m:dPr>
              <m:e>
                <m:r>
                  <w:rPr>
                    <w:rFonts w:ascii="Cambria Math" w:eastAsia="Cambria Math" w:hAnsi="Cambria Math" w:cs="Cambria Math"/>
                    <w:sz w:val="20"/>
                    <w:szCs w:val="20"/>
                  </w:rPr>
                  <m:t>H(c) + H(φ)</m:t>
                </m:r>
              </m:e>
            </m:d>
          </m:den>
        </m:f>
      </m:oMath>
      <w:r>
        <w:rPr>
          <w:sz w:val="20"/>
          <w:szCs w:val="20"/>
        </w:rPr>
        <w:t>.</w:t>
      </w:r>
    </w:p>
    <w:p w14:paraId="0B68963E" w14:textId="77777777" w:rsidR="00DB512A" w:rsidRDefault="00DB512A" w:rsidP="00DB512A">
      <w:pPr>
        <w:spacing w:line="240" w:lineRule="auto"/>
        <w:contextualSpacing/>
        <w:jc w:val="both"/>
        <w:rPr>
          <w:b/>
          <w:bCs/>
          <w:i/>
          <w:iCs/>
          <w:sz w:val="24"/>
          <w:szCs w:val="24"/>
        </w:rPr>
      </w:pPr>
    </w:p>
    <w:p w14:paraId="465888A9" w14:textId="77777777" w:rsidR="00DB512A" w:rsidRDefault="00DB512A" w:rsidP="00DB512A">
      <w:pPr>
        <w:spacing w:line="240" w:lineRule="auto"/>
        <w:contextualSpacing/>
        <w:jc w:val="both"/>
        <w:rPr>
          <w:b/>
          <w:bCs/>
          <w:i/>
          <w:iCs/>
          <w:sz w:val="24"/>
          <w:szCs w:val="24"/>
        </w:rPr>
      </w:pPr>
      <w:r>
        <w:rPr>
          <w:b/>
          <w:bCs/>
          <w:i/>
          <w:iCs/>
          <w:sz w:val="24"/>
          <w:szCs w:val="24"/>
        </w:rPr>
        <w:t>Comparing Repertoires</w:t>
      </w:r>
    </w:p>
    <w:p w14:paraId="4D7FA7D1" w14:textId="77777777" w:rsidR="00DB512A" w:rsidRPr="0066721E" w:rsidRDefault="00DB512A" w:rsidP="00DB512A">
      <w:pPr>
        <w:spacing w:line="240" w:lineRule="auto"/>
        <w:contextualSpacing/>
        <w:jc w:val="both"/>
        <w:rPr>
          <w:lang w:val="en-US"/>
        </w:rPr>
      </w:pPr>
      <w:r>
        <w:rPr>
          <w:sz w:val="20"/>
          <w:szCs w:val="20"/>
        </w:rPr>
        <w:t xml:space="preserve">If we have two joint distributions, we can compare them (and the associated marginal and conditional distributions). We use the Kullback-Leibler (KL) divergence between parameterized distributions </w:t>
      </w:r>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x</m:t>
            </m:r>
          </m:e>
        </m:d>
      </m:oMath>
      <w:r>
        <w:t xml:space="preserve"> and </w:t>
      </w:r>
      <m:oMath>
        <m:r>
          <w:rPr>
            <w:rFonts w:ascii="Cambria Math" w:eastAsia="Cambria Math" w:hAnsi="Cambria Math" w:cs="Cambria Math"/>
          </w:rPr>
          <m:t>Q</m:t>
        </m:r>
        <m:d>
          <m:dPr>
            <m:ctrlPr>
              <w:rPr>
                <w:rFonts w:ascii="Cambria Math" w:eastAsia="Cambria Math" w:hAnsi="Cambria Math" w:cs="Cambria Math"/>
              </w:rPr>
            </m:ctrlPr>
          </m:dPr>
          <m:e>
            <m:r>
              <w:rPr>
                <w:rFonts w:ascii="Cambria Math" w:eastAsia="Cambria Math" w:hAnsi="Cambria Math" w:cs="Cambria Math"/>
              </w:rPr>
              <m:t>x</m:t>
            </m:r>
          </m:e>
        </m:d>
      </m:oMath>
      <w:r>
        <w:t xml:space="preserve"> </w:t>
      </w:r>
      <w:r w:rsidRPr="0066721E">
        <w:rPr>
          <w:sz w:val="20"/>
          <w:szCs w:val="20"/>
          <w:lang w:val="en-US"/>
        </w:rPr>
        <w:t>(</w:t>
      </w:r>
      <w:r w:rsidRPr="0066721E">
        <w:rPr>
          <w:b/>
          <w:bCs/>
          <w:sz w:val="20"/>
          <w:szCs w:val="20"/>
          <w:lang w:val="en-US"/>
        </w:rPr>
        <w:t>Equation 7</w:t>
      </w:r>
      <w:r w:rsidRPr="0066721E">
        <w:rPr>
          <w:sz w:val="20"/>
          <w:szCs w:val="20"/>
          <w:lang w:val="en-US"/>
        </w:rPr>
        <w:t>)</w:t>
      </w:r>
      <w:r>
        <w:rPr>
          <w:sz w:val="20"/>
          <w:szCs w:val="20"/>
        </w:rPr>
        <w:t>:</w:t>
      </w:r>
    </w:p>
    <w:p w14:paraId="3555D066" w14:textId="77777777" w:rsidR="00DB512A" w:rsidRPr="0008105D" w:rsidRDefault="00DB512A" w:rsidP="00DB512A">
      <w:pPr>
        <w:spacing w:line="240" w:lineRule="auto"/>
        <w:contextualSpacing/>
        <w:jc w:val="center"/>
        <w:rPr>
          <w:rFonts w:ascii="Cambria Math" w:eastAsia="Cambria Math" w:hAnsi="Cambria Math" w:cs="Cambria Math"/>
          <w:sz w:val="20"/>
          <w:szCs w:val="20"/>
        </w:rPr>
      </w:pPr>
      <m:oMathPara>
        <m:oMath>
          <m:sSub>
            <m:sSubPr>
              <m:ctrlPr>
                <w:rPr>
                  <w:rFonts w:ascii="Cambria Math" w:hAnsi="Cambria Math"/>
                  <w:sz w:val="20"/>
                  <w:szCs w:val="20"/>
                </w:rPr>
              </m:ctrlPr>
            </m:sSubPr>
            <m:e>
              <m:r>
                <w:rPr>
                  <w:rFonts w:ascii="Cambria Math" w:eastAsia="Cambria Math" w:hAnsi="Cambria Math" w:cs="Cambria Math"/>
                  <w:sz w:val="20"/>
                  <w:szCs w:val="20"/>
                </w:rPr>
                <m:t>D</m:t>
              </m:r>
            </m:e>
            <m:sub>
              <m:r>
                <w:rPr>
                  <w:rFonts w:ascii="Cambria Math" w:hAnsi="Cambria Math"/>
                  <w:sz w:val="20"/>
                  <w:szCs w:val="20"/>
                </w:rPr>
                <m:t>KL</m:t>
              </m:r>
            </m:sub>
          </m:sSub>
          <m:r>
            <w:rPr>
              <w:rFonts w:ascii="Cambria Math" w:eastAsia="Cambria Math" w:hAnsi="Cambria Math" w:cs="Cambria Math"/>
              <w:sz w:val="20"/>
              <w:szCs w:val="20"/>
            </w:rPr>
            <m:t>(P || Q)=</m:t>
          </m:r>
          <m:nary>
            <m:naryPr>
              <m:chr m:val="∑"/>
              <m:limLoc m:val="undOvr"/>
              <m:supHide m:val="1"/>
              <m:ctrlPr>
                <w:rPr>
                  <w:rFonts w:ascii="Cambria Math" w:eastAsia="Cambria Math" w:hAnsi="Cambria Math" w:cs="Cambria Math"/>
                  <w:i/>
                  <w:sz w:val="20"/>
                  <w:szCs w:val="20"/>
                </w:rPr>
              </m:ctrlPr>
            </m:naryPr>
            <m:sub>
              <m:r>
                <w:rPr>
                  <w:rFonts w:ascii="Cambria Math" w:eastAsia="Cambria Math" w:hAnsi="Cambria Math" w:cs="Cambria Math"/>
                  <w:sz w:val="20"/>
                  <w:szCs w:val="20"/>
                </w:rPr>
                <m:t>x</m:t>
              </m:r>
            </m:sub>
            <m:sup/>
            <m:e>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box>
                <m:boxPr>
                  <m:opEmu m:val="1"/>
                  <m:ctrlPr>
                    <w:rPr>
                      <w:rFonts w:ascii="Cambria Math" w:eastAsia="Cambria Math" w:hAnsi="Cambria Math" w:cs="Cambria Math"/>
                      <w:sz w:val="20"/>
                      <w:szCs w:val="20"/>
                    </w:rPr>
                  </m:ctrlPr>
                </m:boxPr>
                <m:e>
                  <m:r>
                    <m:rPr>
                      <m:sty m:val="p"/>
                    </m:rPr>
                    <w:rPr>
                      <w:rFonts w:ascii="Cambria Math" w:eastAsia="Cambria Math" w:hAnsi="Cambria Math" w:cs="Cambria Math"/>
                      <w:sz w:val="20"/>
                      <w:szCs w:val="20"/>
                    </w:rPr>
                    <m:t>log</m:t>
                  </m:r>
                </m:e>
              </m:box>
              <m:f>
                <m:fPr>
                  <m:ctrlPr>
                    <w:rPr>
                      <w:rFonts w:ascii="Cambria Math" w:eastAsia="Cambria Math" w:hAnsi="Cambria Math" w:cs="Cambria Math"/>
                      <w:sz w:val="20"/>
                      <w:szCs w:val="20"/>
                    </w:rPr>
                  </m:ctrlPr>
                </m:fPr>
                <m:num>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num>
                <m:den>
                  <m:r>
                    <w:rPr>
                      <w:rFonts w:ascii="Cambria Math" w:eastAsia="Cambria Math" w:hAnsi="Cambria Math" w:cs="Cambria Math"/>
                      <w:sz w:val="20"/>
                      <w:szCs w:val="20"/>
                    </w:rPr>
                    <m:t>Q</m:t>
                  </m:r>
                  <m:d>
                    <m:dPr>
                      <m:ctrlPr>
                        <w:rPr>
                          <w:rFonts w:ascii="Cambria Math" w:eastAsia="Cambria Math" w:hAnsi="Cambria Math" w:cs="Cambria Math"/>
                          <w:sz w:val="20"/>
                          <w:szCs w:val="20"/>
                        </w:rPr>
                      </m:ctrlPr>
                    </m:dPr>
                    <m:e>
                      <m:r>
                        <w:rPr>
                          <w:rFonts w:ascii="Cambria Math" w:eastAsia="Cambria Math" w:hAnsi="Cambria Math" w:cs="Cambria Math"/>
                          <w:sz w:val="20"/>
                          <w:szCs w:val="20"/>
                        </w:rPr>
                        <m:t>x</m:t>
                      </m:r>
                    </m:e>
                  </m:d>
                </m:den>
              </m:f>
            </m:e>
          </m:nary>
          <m:r>
            <w:rPr>
              <w:rFonts w:ascii="Cambria Math" w:eastAsia="Cambria Math" w:hAnsi="Cambria Math" w:cs="Cambria Math"/>
              <w:sz w:val="20"/>
              <w:szCs w:val="20"/>
            </w:rPr>
            <m:t>.</m:t>
          </m:r>
        </m:oMath>
      </m:oMathPara>
    </w:p>
    <w:p w14:paraId="382899DE" w14:textId="77777777" w:rsidR="00DB512A" w:rsidRDefault="00DB512A" w:rsidP="00DB512A">
      <w:pPr>
        <w:spacing w:before="240" w:after="240" w:line="240" w:lineRule="auto"/>
        <w:contextualSpacing/>
        <w:jc w:val="both"/>
        <w:rPr>
          <w:sz w:val="18"/>
          <w:szCs w:val="18"/>
        </w:rPr>
      </w:pPr>
      <w:r>
        <w:rPr>
          <w:sz w:val="20"/>
          <w:szCs w:val="20"/>
        </w:rPr>
        <w:t xml:space="preserve">This quantity is particularly useful when examining the conditional distribution of the phenotype of a given clone </w:t>
      </w:r>
      <m:oMath>
        <m:r>
          <w:rPr>
            <w:rFonts w:ascii="Cambria Math" w:eastAsia="Cambria Math" w:hAnsi="Cambria Math" w:cs="Cambria Math"/>
            <w:sz w:val="20"/>
            <w:szCs w:val="20"/>
          </w:rPr>
          <m:t>p</m:t>
        </m:r>
        <m:d>
          <m:dPr>
            <m:ctrlPr>
              <w:rPr>
                <w:rFonts w:ascii="Cambria Math" w:eastAsia="Cambria Math" w:hAnsi="Cambria Math" w:cs="Cambria Math"/>
                <w:sz w:val="20"/>
                <w:szCs w:val="20"/>
              </w:rPr>
            </m:ctrlPr>
          </m:dPr>
          <m:e>
            <m:r>
              <w:rPr>
                <w:rFonts w:ascii="Cambria Math" w:eastAsia="Cambria Math" w:hAnsi="Cambria Math" w:cs="Cambria Math"/>
                <w:sz w:val="20"/>
                <w:szCs w:val="20"/>
              </w:rPr>
              <m:t>φ|c</m:t>
            </m:r>
          </m:e>
        </m:d>
      </m:oMath>
      <w:r>
        <w:rPr>
          <w:sz w:val="20"/>
          <w:szCs w:val="20"/>
        </w:rPr>
        <w:t xml:space="preserve">. Large KL divergence can highlight a large amount of phenotypic flux associated with a clonotype. Formally, we define the </w:t>
      </w:r>
      <w:r>
        <w:rPr>
          <w:i/>
          <w:iCs/>
          <w:sz w:val="20"/>
          <w:szCs w:val="20"/>
        </w:rPr>
        <w:t>phenotypic flux</w:t>
      </w:r>
      <w:r>
        <w:rPr>
          <w:sz w:val="20"/>
          <w:szCs w:val="20"/>
        </w:rPr>
        <w:t xml:space="preserve">, </w:t>
      </w:r>
      <m:oMath>
        <m:sSub>
          <m:sSubPr>
            <m:ctrlPr>
              <w:rPr>
                <w:rFonts w:ascii="Cambria Math" w:hAnsi="Cambria Math"/>
              </w:rPr>
            </m:ctrlPr>
          </m:sSubPr>
          <m:e>
            <m:r>
              <w:rPr>
                <w:rFonts w:ascii="Cambria Math" w:eastAsia="Cambria Math" w:hAnsi="Cambria Math" w:cs="Cambria Math"/>
              </w:rPr>
              <m:t>D</m:t>
            </m:r>
          </m:e>
          <m:sub>
            <m:r>
              <w:rPr>
                <w:rFonts w:ascii="Cambria Math" w:hAnsi="Cambria Math"/>
              </w:rPr>
              <m:t>KL</m:t>
            </m:r>
          </m:sub>
        </m:sSub>
        <m:r>
          <w:rPr>
            <w:rFonts w:ascii="Cambria Math" w:eastAsia="Cambria Math" w:hAnsi="Cambria Math" w:cs="Cambria Math"/>
          </w:rPr>
          <m:t>(P || Q)</m:t>
        </m:r>
      </m:oMath>
      <w:r>
        <w:rPr>
          <w:sz w:val="20"/>
          <w:szCs w:val="20"/>
        </w:rPr>
        <w:t xml:space="preserve">, as the KL divergence between the phenotype probability distribution in any two conditions. </w:t>
      </w:r>
    </w:p>
    <w:p w14:paraId="1127BF2C" w14:textId="77777777" w:rsidR="00DC1EC2" w:rsidRDefault="00DC1EC2"/>
    <w:sectPr w:rsidR="00DC1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2A"/>
    <w:rsid w:val="009463C9"/>
    <w:rsid w:val="00AC1758"/>
    <w:rsid w:val="00DB512A"/>
    <w:rsid w:val="00DC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9182"/>
  <w15:chartTrackingRefBased/>
  <w15:docId w15:val="{D9FDE68D-CE71-584C-9922-B72311A1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12A"/>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B512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512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512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512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512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512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512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512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512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12A"/>
    <w:rPr>
      <w:rFonts w:eastAsiaTheme="majorEastAsia" w:cstheme="majorBidi"/>
      <w:color w:val="272727" w:themeColor="text1" w:themeTint="D8"/>
    </w:rPr>
  </w:style>
  <w:style w:type="paragraph" w:styleId="Title">
    <w:name w:val="Title"/>
    <w:basedOn w:val="Normal"/>
    <w:next w:val="Normal"/>
    <w:link w:val="TitleChar"/>
    <w:uiPriority w:val="10"/>
    <w:qFormat/>
    <w:rsid w:val="00DB512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1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12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512A"/>
    <w:rPr>
      <w:i/>
      <w:iCs/>
      <w:color w:val="404040" w:themeColor="text1" w:themeTint="BF"/>
    </w:rPr>
  </w:style>
  <w:style w:type="paragraph" w:styleId="ListParagraph">
    <w:name w:val="List Paragraph"/>
    <w:basedOn w:val="Normal"/>
    <w:uiPriority w:val="34"/>
    <w:qFormat/>
    <w:rsid w:val="00DB512A"/>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512A"/>
    <w:rPr>
      <w:i/>
      <w:iCs/>
      <w:color w:val="0F4761" w:themeColor="accent1" w:themeShade="BF"/>
    </w:rPr>
  </w:style>
  <w:style w:type="paragraph" w:styleId="IntenseQuote">
    <w:name w:val="Intense Quote"/>
    <w:basedOn w:val="Normal"/>
    <w:next w:val="Normal"/>
    <w:link w:val="IntenseQuoteChar"/>
    <w:uiPriority w:val="30"/>
    <w:qFormat/>
    <w:rsid w:val="00DB51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512A"/>
    <w:rPr>
      <w:i/>
      <w:iCs/>
      <w:color w:val="0F4761" w:themeColor="accent1" w:themeShade="BF"/>
    </w:rPr>
  </w:style>
  <w:style w:type="character" w:styleId="IntenseReference">
    <w:name w:val="Intense Reference"/>
    <w:basedOn w:val="DefaultParagraphFont"/>
    <w:uiPriority w:val="32"/>
    <w:qFormat/>
    <w:rsid w:val="00DB5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Ceglia, Nicholas</dc:creator>
  <cp:keywords/>
  <dc:description/>
  <cp:lastModifiedBy>Ceglia, Nicholas</cp:lastModifiedBy>
  <cp:revision>1</cp:revision>
  <dcterms:created xsi:type="dcterms:W3CDTF">2026-08-05T18:02:00Z</dcterms:created>
  <dcterms:modified xsi:type="dcterms:W3CDTF">2026-08-05T18:04:00Z</dcterms:modified>
</cp:coreProperties>
</file>