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53" w:rsidRPr="00FF66CB" w:rsidRDefault="00110853" w:rsidP="00110853">
      <w:pPr>
        <w:pStyle w:val="2"/>
        <w:rPr>
          <w:lang w:val="ru-RU"/>
        </w:rPr>
      </w:pPr>
      <w:r w:rsidRPr="00FF66CB">
        <w:rPr>
          <w:lang w:val="ru-RU"/>
        </w:rPr>
        <w:t xml:space="preserve">Заключение </w:t>
      </w:r>
      <w:r w:rsidRPr="00FF66CB">
        <w:rPr>
          <w:lang w:val="ru-RU"/>
        </w:rPr>
        <w:br/>
      </w:r>
      <w:r>
        <w:t>     </w:t>
      </w:r>
      <w:r w:rsidRPr="00FF66CB">
        <w:rPr>
          <w:lang w:val="ru-RU"/>
        </w:rPr>
        <w:t xml:space="preserve"> эксперта Управления фармакологической экспертизы о безопасности и</w:t>
      </w:r>
      <w:r w:rsidRPr="00FF66CB">
        <w:rPr>
          <w:lang w:val="ru-RU"/>
        </w:rPr>
        <w:br/>
      </w:r>
      <w:r>
        <w:t>      </w:t>
      </w:r>
      <w:r w:rsidRPr="00FF66CB">
        <w:rPr>
          <w:lang w:val="ru-RU"/>
        </w:rPr>
        <w:t xml:space="preserve"> эффективности лекарственного средства, поданного на экспертизу</w:t>
      </w:r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1. Проведена экспертиза нормативных документов, характеризующих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безопасность и эффективность лекарственного препарата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32"/>
        <w:gridCol w:w="4541"/>
        <w:gridCol w:w="4155"/>
      </w:tblGrid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Фамилия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имя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отчество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эксперта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Ученая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степень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звание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заявки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Торговое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Международное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непатентованное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(МНН)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1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7.</w:t>
            </w:r>
          </w:p>
        </w:tc>
        <w:tc>
          <w:tcPr>
            <w:tcW w:w="7000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Лекарственный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является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2242BE" wp14:editId="7F673C30">
                  <wp:extent cx="279400" cy="292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оригинальный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67CF8BC" wp14:editId="735F06C1">
                  <wp:extent cx="279400" cy="2921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F931EBD" wp14:editId="6A0EFF9D">
                  <wp:extent cx="279400" cy="2921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Орфанный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5C712AC3" wp14:editId="7C8256EC">
                  <wp:extent cx="279400" cy="2921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F4DA501" wp14:editId="50BFE836">
                  <wp:extent cx="279400" cy="2921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иммунобиологические препараты (ИБП)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D3C3914" wp14:editId="3A66AFD3">
                  <wp:extent cx="279400" cy="2921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лекарственные препараты растительного происхождения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073F95D" wp14:editId="4C3211BE">
                  <wp:extent cx="279400" cy="2921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гомеопатические препараты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7DF7F44" wp14:editId="142213FF">
                  <wp:extent cx="279400" cy="292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Лекарственная субстанция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7A65CB44" wp14:editId="2E33E14C">
                  <wp:extent cx="279400" cy="2921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Лекарственный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756E22D" wp14:editId="7B2F8959">
                  <wp:extent cx="279400" cy="2921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Иммунобиологический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9B51397" wp14:editId="62BD7639">
                  <wp:extent cx="279400" cy="2921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Радиофармацевтический препарат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96D57E7" wp14:editId="12D201AD">
                  <wp:extent cx="279400" cy="2921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Лекарственное природное сырье (не фармакопейное)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D970BA3" wp14:editId="46A6321F">
                  <wp:extent cx="279400" cy="2921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Лекарственный препарат биологического происхождения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Исследования водных растворов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препаратов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Внедрение трансфера производственных и технологических процессов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8.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(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) указать название оригинального лекарственного препарата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Дозировка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Концентрация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12.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Фармакотерапевтическая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группа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13.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Код в соответствии с анатомо-терапевтическо-химической классификацией (АТХ)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14.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отпуска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DDBB28" wp14:editId="0561DCF4">
                  <wp:extent cx="279400" cy="2921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0"/>
                <w:sz w:val="20"/>
              </w:rPr>
              <w:t>по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рецепту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6663404" wp14:editId="69E639D8">
                  <wp:extent cx="279400" cy="292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0"/>
                <w:sz w:val="20"/>
              </w:rPr>
              <w:t>без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рецепта</w:t>
            </w:r>
            <w:proofErr w:type="spellEnd"/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 xml:space="preserve">      2. </w:t>
      </w:r>
      <w:proofErr w:type="spellStart"/>
      <w:r>
        <w:rPr>
          <w:color w:val="000000"/>
          <w:sz w:val="20"/>
        </w:rPr>
        <w:t>Упаковка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32"/>
        <w:gridCol w:w="2111"/>
        <w:gridCol w:w="2311"/>
        <w:gridCol w:w="1101"/>
        <w:gridCol w:w="976"/>
        <w:gridCol w:w="2197"/>
      </w:tblGrid>
      <w:tr w:rsidR="00110853" w:rsidRP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Вид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первичная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вторичная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Размер</w:t>
            </w:r>
            <w:proofErr w:type="spellEnd"/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Объем</w:t>
            </w:r>
            <w:proofErr w:type="spellEnd"/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Кол-во единиц в упаковке</w:t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 xml:space="preserve">      3. </w:t>
      </w:r>
      <w:proofErr w:type="spellStart"/>
      <w:r>
        <w:rPr>
          <w:color w:val="000000"/>
          <w:sz w:val="20"/>
        </w:rPr>
        <w:t>Данные</w:t>
      </w:r>
      <w:proofErr w:type="spellEnd"/>
      <w:r>
        <w:rPr>
          <w:color w:val="000000"/>
          <w:sz w:val="20"/>
        </w:rPr>
        <w:t xml:space="preserve"> о </w:t>
      </w:r>
      <w:proofErr w:type="spellStart"/>
      <w:r>
        <w:rPr>
          <w:color w:val="000000"/>
          <w:sz w:val="20"/>
        </w:rPr>
        <w:t>производителе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4"/>
        <w:gridCol w:w="3670"/>
        <w:gridCol w:w="2093"/>
        <w:gridCol w:w="1092"/>
        <w:gridCol w:w="1969"/>
      </w:tblGrid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Тип организации или участок производства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организации</w:t>
            </w:r>
            <w:proofErr w:type="spellEnd"/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Юридический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адрес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Заявитель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Производитель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Упаковщик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Участок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производства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Держатель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4. Регистрация в стране-производителе и других странах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17"/>
        <w:gridCol w:w="2293"/>
        <w:gridCol w:w="3022"/>
        <w:gridCol w:w="1342"/>
        <w:gridCol w:w="2154"/>
      </w:tblGrid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страны</w:t>
            </w:r>
            <w:proofErr w:type="spellEnd"/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выдачи</w:t>
            </w:r>
            <w:proofErr w:type="spellEnd"/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Срок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действия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2.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5. В результате проведенной экспертизы установлено: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26"/>
        <w:gridCol w:w="6204"/>
        <w:gridCol w:w="2598"/>
      </w:tblGrid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В случае наличия в составе лекарственного средства вещества, подлежащего контролю в соответствии с Законом Республики Казахстан «О наркотических средствах, психотропных веществах,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прекурсорах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 мерах противодействия их незаконному обороту и злоупотреблению ими»: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заключение о принадлежности к подконтрольным веществам (на основании изучения международного непатентованного наименования, торгового названия, химического названия, структурной формулы о принадлежности к подконтрольным веществам с указанием позиции Таблиц Списка, является ли вещество стереоизомером наркотических средств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 тех случаях, когда существование таких изомеров возможно в рамках данного конкретного химического обозначения (если таковые определенно не исключены), солью всех наркотических средств, перечисленных в Таблице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включая соли изомеров, как предусмотрено выше, во всех случаях, когда существование таких солей возможно; солью психотропных веществ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 и Таблицы </w:t>
            </w:r>
            <w:r>
              <w:rPr>
                <w:color w:val="000000"/>
                <w:sz w:val="20"/>
              </w:rPr>
              <w:t>III</w:t>
            </w:r>
            <w:r w:rsidRPr="00FF66CB">
              <w:rPr>
                <w:color w:val="000000"/>
                <w:sz w:val="20"/>
                <w:lang w:val="ru-RU"/>
              </w:rPr>
              <w:t>, когда существование таких солей возможно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научно-обоснованное определение степени риска злоупотребления: высокий риск злоупотребления, или риск злоупотребления отсутствует, или является незначительным; определение максимально допустимого содержания наркотических средств, психотропных веществ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прекурсоров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лекарственных средствах;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в том, что в отношении препарата могут быть сняты некоторые меры контроля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Анализ достоверности качественного и количественного состава активных и вспомогательных веществ, указанных в инструкции по медицинскому применению, сравнивая с заявленным составом в заявлении, аналитическом нормативном документе и макете упаковки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фармакологической совместимости компонентов, в случае регистрации воспроизведенного лекарственного средства провести сравнение с составом оригинального препарата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 w:rsidRPr="00FF66CB">
              <w:rPr>
                <w:color w:val="000000"/>
                <w:sz w:val="20"/>
                <w:lang w:val="ru-RU"/>
              </w:rPr>
              <w:t xml:space="preserve">Разделы заключения для заявок в соответствии с п. 24, 39, 40. </w:t>
            </w:r>
            <w:r>
              <w:rPr>
                <w:color w:val="000000"/>
                <w:sz w:val="20"/>
              </w:rPr>
              <w:t xml:space="preserve">43, 45, 48 </w:t>
            </w:r>
            <w:proofErr w:type="spellStart"/>
            <w:r>
              <w:rPr>
                <w:color w:val="000000"/>
                <w:sz w:val="20"/>
              </w:rPr>
              <w:t>приказа</w:t>
            </w:r>
            <w:proofErr w:type="spellEnd"/>
            <w:r>
              <w:rPr>
                <w:color w:val="000000"/>
                <w:sz w:val="20"/>
              </w:rPr>
              <w:t xml:space="preserve"> МЗ РК  736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Анализ документации по доклиническим исследованиям: токсичности (острая, хроническая, </w:t>
            </w:r>
            <w:r>
              <w:rPr>
                <w:color w:val="000000"/>
                <w:sz w:val="20"/>
              </w:rPr>
              <w:t>LD</w:t>
            </w:r>
            <w:r w:rsidRPr="00FF66CB">
              <w:rPr>
                <w:color w:val="000000"/>
                <w:sz w:val="20"/>
                <w:lang w:val="ru-RU"/>
              </w:rPr>
              <w:t xml:space="preserve">50, </w:t>
            </w:r>
            <w:r>
              <w:rPr>
                <w:color w:val="000000"/>
                <w:sz w:val="20"/>
              </w:rPr>
              <w:t>LD</w:t>
            </w:r>
            <w:r w:rsidRPr="00FF66CB">
              <w:rPr>
                <w:color w:val="000000"/>
                <w:sz w:val="20"/>
                <w:lang w:val="ru-RU"/>
              </w:rPr>
              <w:t xml:space="preserve">100),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канцерогенности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эмбриотоксичности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тератогенности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мутагенности, местно-раздражающего действия, влияния на иммунную систему, специфической фармакологической (биологической) активности.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экспертиза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39-40 приказа, указать препарат-сравнения, использованный на всех этапах сравнительных исследований (от фармацевтической разработки до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клинических исследований): название, активное вещество, производитель, страна-производитель, серия, срок годности.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5.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Анализ документации клинических исследований (фазы клинических исследований,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постмаркетинговые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исследования, протоколы и отчеты, заключения Этической комиссии). При этом необходимо указать место, дату, спонсора проведения исследования, цель, дизайн, длительность исследования, количество, пол возраст испытуемых, режим дозирования препарата, мониторинг побочных действий в процессе проведения клинических исследований, соответствие отчета протоколу, заключение о соотношении «польза-риск»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экспертиза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39-40 приказа, указать препарат-сравнения, использованный на всех этапах сравнительных исследований (от фармацевтической разработки до клинических исследований): название, активное вещество, производитель, страна-производитель, серия, срок годности.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* Разделы заключения для заявок в соответствии с п. 25, 26, 27, 28, 29, 30, 31, 32, 33, 35, 36, 37, 38 приказа МЗ РК № 736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 соответствии с п. 23. в регистрационном досье представлен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фармакокинетических исследований (исследования биоэквивалентности);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фармакодинамических клинических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исследований терапевтической эквивалентности;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Выбрать соответствующий пункт.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Предоставление данных указанных отчетов исследований не требуется для лекарственных средств в соответствии с п. 26.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От заявителя, имеющего документ, подтверждающий соответствие производства надлежащей производственной практики стран-регионов </w:t>
            </w:r>
            <w:r>
              <w:rPr>
                <w:color w:val="000000"/>
                <w:sz w:val="20"/>
              </w:rPr>
              <w:t>ICH</w:t>
            </w:r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r>
              <w:rPr>
                <w:color w:val="000000"/>
                <w:sz w:val="20"/>
              </w:rPr>
              <w:t>PIC</w:t>
            </w:r>
            <w:r w:rsidRPr="00FF66CB">
              <w:rPr>
                <w:color w:val="000000"/>
                <w:sz w:val="20"/>
                <w:lang w:val="ru-RU"/>
              </w:rPr>
              <w:t>/</w:t>
            </w:r>
            <w:r>
              <w:rPr>
                <w:color w:val="000000"/>
                <w:sz w:val="20"/>
              </w:rPr>
              <w:t>S</w:t>
            </w:r>
            <w:r w:rsidRPr="00FF66CB">
              <w:rPr>
                <w:color w:val="000000"/>
                <w:sz w:val="20"/>
                <w:lang w:val="ru-RU"/>
              </w:rPr>
              <w:t>, РК, не требуется предоставление отчетов исследований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при условии, что: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для парентерального применения (например, внутривенно, подкожно или внутримышечно) в виде водных растворов, содержащих одинаковый качественный и количественный состав активного вещества, что и оригинальный препарат, с одинаковыми или подобными вспомогательными веществами в сравниваемых с оригинальным препаратом концентрациях; некоторые вспомогательные вещества (в частности буферные растворы, консерванты, антиоксиданты)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 (исключение – препараты железа, аминокислот, производные крахмала, желатина, комплексообразующие);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 для приема внутрь в форме водных растворов, в виде водных растворов, содержащих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одинаковый качественный и количественный состав активного вещества, что и оригинальный препарат, с одинаковыми или подобными вспомогательными веществами в сравниваемых с оригинальным препаратом концентрациях; необходимо тщательно изучить вспомогательные вещества, о которых известно, что они влияют на прохождение в желудочно-кишечном трактом (далее - ЖКТ), проницаемость в ЖКТ и, таким образом, на абсорбцию и/или стабильность активного вещества в ЖКТ;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в форме порошков для приготовления водных растворов, если раствор отвечает требованиям подпунктов 1 или 2 настоящего пункта;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средства, которые являются газами;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ушные или глазные лекарственные средства, изготовленные в виде водных растворов,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концентрациях; некоторые вспомогательные вещества (в частности буферные растворы, консерванты, вещества, корректирующие плотность, или загустители)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местного действия в виде водных растворов,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средства, которые являются водными растворами и предназначены для ингаляций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небулайзером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или в виде назальных спреев, применяемые с помощью практически одинаковых устройств доставки лекарственного средства и содержащие одинаковый качественный и количественный состав активных веществ, такие же вспомогательные вещества в сравнимых концентрациях, что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референтный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препарат; некоторые вспомогательные вещества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 (исключение – препараты, содержащие гормоны, препараты с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противообструктивным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действием);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 системного действия в виде водных растворов для ректального или вагинального применения,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концентрациях, некоторые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вспомогательные вещества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Провести экспертизу в рамках соответствующего подпункта. 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 случае различий в составе вспомогательных веществ заявитель должен доказать, что при их использовании не предполагается влияние на безопасность и/или эффективность лекарственного средства; в случае, когда заявитель не может предоставить такую информацию и не имеет доступа к соответствующим данным, он должен провести соответствующие исследования (фармацевтические или доклинические или клинические) для доказательства отсутствия влияния различных вспомогательных веществ или вспомогательных устройств на безопасность и/или эффективность лекарственного средства.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От заявителя требуется предоставление доказательства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случае, когда существует риск того, что возможные различия 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биодоступности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могут привести к терапевтической неэквивалентности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референс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-препарату: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лекарственные средства системного действия для орального применения с немедленным высвобождением, если к ним применены один или несколько следующих критериев: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узкий спектр терапевтического действия (предел эффективность/безопасность), крутой наклон кривой доза - ответ;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документально подтвержденные проблемы по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биодоступности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бионеэквивалентности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связанные с активным веществом или ее формами (не имеющих отношения к растворению);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данные о том, что на биоэквивалентность могут влиять полиморфизм активного вещества, вспомогательные вещества;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2) лекарственные средства системного действия, не предназначенные для орального или парентерального применения (такие, как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трансдермальные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пластыри, суппозитории, никотиновые жевательные резинки, гели тестостерона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трансдермальные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контрацептивы);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лекарственные средства системного действия с модифицированным высвобождением;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лекарственные средства системного действия с фиксированной комбинацией, в которых как минимум для одного активного вещества требуется проведение исследования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лекарственные средства несистемного действия, в частности для орального, назального, офтальмологического, дерматологического, ректального или вагинального применения, без системной абсорбции, которые не является водными растворами; в таком случае эквивалентность доказывают путем проведения, сравнительных клинических исследований терапевтической эквивалентности или фармакодинамических исследований,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дерматофармакокинетических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и/или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исследований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6) 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активное вещество которого представлено другой солью, эфиром или производным активного вещества зарегистрированного препарата, предоставляются отчеты соответствующих доклинических и (или) клинических исследований/исследований биоэквивалентности, доказывающие отсутствие изменений 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фармакокинетике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фармакодинамике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 (или) токсичности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в случае непредставления таких доказательств, данное вещество рассматривается как новое активное вещество.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твердых лекарственных формах немедленного высвобождения для приема внутрь и концентрация активного вещества которых может быть измерена в биологических жидкостях организма (плазма крови, моча) предоставляются данные исследований биоэквивалентности.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твердых лекарственных формах немедленного высвобождения для приема внутрь, концентрацию активного вещества которых невозможно измерить в биологических жидкостях организма, предоставляются данные сравнительных фармакодинамических клинических исследований или исследований сравнительной терапевтической эквивалентности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заявленных по процедуре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биовейвер</w:t>
            </w:r>
            <w:proofErr w:type="spellEnd"/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При экспертизе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производимых отечественными производителями на основе полного переноса (трансфера) производственных и технологических процессов, в регистрационном досье должны быть представлены подтверждения того, что условия производства на производственной площадке в Республике Казахстан полностью соответствуют условиям производства площадки вне Казахстана: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договор о переносе производственных и технологических процессов с правом пользования всеми документами и регистрационным досье, в том числе и данными исследований биоэквивалентности, клинических исследований между отечественным производителем и зарубежным производителем;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результаты и периодичность аудита условий производства на отечественной производственной площадке зарубежным производителем, передающим свои производственные и технологические процессы;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3)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валидация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производственных процессов на отечественной производственной площадке;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подтверждение того, что качество исходного сырья (активной субстанции, вспомогательных веществ и др.), используемого на отечественной площадке не влияет на процесс или готовый продукт;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контроль качества препаратов, производимых на отечественной производственной площадке, и препаратов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зарубежного производителя осуществляется по одной спецификации (одинаковый профиль примесей, фармакокинетический профиль растворения (для твердых лекарственных форм), и другие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6) отчеты исследований биоэквивалентности, клинических исследований лекарственных средств, произведенных на производственных площадках вне Казахстана;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7) отчет инспекции уполномоченным органом отечественной производственной площадки и производственной площадки зарубежного производителя, подтверждающий условия соблюдения трансфера.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6.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* Анализ данных по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(протоколы и отчеты, заключения Этической комиссии). При этом необходимо указать место, дату, спонсора проведения исследования, цель, длительность исследования, тест-препарат,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референс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-препарат, указать лекарственную форму, режим дозирования, путь введения препарата, количество испытуемых, пол, возраст, мониторинг побочных действий, соответствие отчета протоколу,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биоаналитические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методы исследования, внутренний стандарт, индивидуальные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хроматограммы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фармакокинетические кривые, статические данные по фармакокинетическим параметрам (в виде таблиц), заключение о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биоэквивалетности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. Соответствие исследований биоэквивалентности требованиям Республики Казахстан.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при предоставлении исследований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(фармакодинамических или терапевтической эквивалентности): цель, дизайн, длительность исследования, количество, пол возраст испытуемых, режим дозирования препарата, мониторинг побочных действий в процессе проведения клинических исследований, соответствие отчета протоколу, заключение о сопоставимой эффективности и безопасности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с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референс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-препаратом.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7. * Разделы заключения для заявок в соответствии с п. 43, 45, 46, 47 приказа МЗ РК № 736</w:t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лекарственных препаратов природного происхождения предоставляются результаты соответствующих фармакологических, токсикологических и клинических исследований. Материалы и документы по доклиническим (неклиническим) и (или) клиническим исследованиям должны включать: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материалы доклинических (неклинических) исследований специфической активности;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материалы исследования острой и хронической токсичности;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данные о местно-раздражающем действии;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4) данные об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аллергизирующих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свойствах;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5) опыт клинического применения в стране-производителе или других странах.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При этом материалы относительно качественных аспектов лекарственного препарата предоставляются в полном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объеме.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Для сборов лекарственного растительного сырья, фито-чаев предоставляется обзор научной литературы по лекарственным растениям, входящих в их состав.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лекарственных средств, содержащих витамины и (или) представляющих собой комплекс витаминов и (или) витаминов и минералов, заявитель представляет один из нижеследующих документов и материалов: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библиографический обзор данных по безопасности лекарственных средств, вместе с отчетом эксперта, включая информацию об эксперте;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научные публикации на заявляемый препарат;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3) данные исследований острой и (или) хронической токсичности.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гомеопатических препаратов заявитель представляет документы и материалы, включающие следующую информацию по Модулям 4 и 5 или частям 3 и 4 Списка: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для препаратов, имеющих многолетний опыт применения: обзор данных научной литературы об эффективности и безопасности гомеопатического препарата в заявляемой области применения;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для новых гомеопатических препаратов, не упоминаемых в фармакопеях и монографиях: данные токсикологических исследований, обоснование подбора различных потенций, данные клинического опыта применения;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инструкцию по медицинскому применению с указанием, что лекарственное средство является гомеопатическим препаратом.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лекарственных средств, активное вещество которых хорошо изучено в медицинском применении с подтвержденной эффективностью и приемлемым уровнем безопасности, применяются следующие специальные требования к материалам регистрационного досье.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Для подтверждения хорошо изученного медицинского применения должны быть представлены следующие данные: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факторы, которые необходимо учитывать при определении хорошо изученного медицинского применения компонентов лекарственных средств: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время, в течение которого используется активное вещество в медицинской практике;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количественные аспекты использования активного вещества;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степень научного интереса и актуальности в использовании активного вещества в последние 5 лет до подачи заявления (со ссылкой на опубликованные научные источники);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последовательность научных оценок.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Для определения хорошо изученного применения различных активных веществ может понадобиться оценка за различные периоды времени. Период времени, необходимый для определения хорошо изученного медицинского применения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активного вещества, должен быть не менее 20 лет с даты первого систематического и документированного использования этого активного вещества как лекарственного средства;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2) материалы регистрационного досье, предоставленные заявителем, должны включать все аспекты оценки безопасности и эффективности, содержать или давать ссылку на обзор соответствующей литературы с учетом пред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и опубликованной научной литературы относительно результатов эпидемиологических исследований и особенно сравнительных эпидемиологических исследований, всю документацию, как положительную, так и отрицательную. «Библиографическая ссылка» на другие источники доказательств (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исследования, эпидемиологические исследования и т.п.), кроме данных, касающихся методов контроля и испытаний, может быть доказательством безопасности и эффективности лекарственного средства при условии, что в материалах регистрационного досье четко объяснено и обосновано использование этих источников информации;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необходимо обосновать, почему может считаться доказанным приемлемый уровень безопасности и/или эффективности, несмотря на отсутствие некоторых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в доклинических и/или клинических обзорах необходимо объяснить значимость любых представленных данных, касающихся уже зарегистрированного лекарственного средства, отличного от того, который предлагается к перерегистрации. Необходимо предоставить обоснование по поводу того, можно ли заявленное ЛС считать подобным уже зарегистрированному лекарственному средству, несмотря на существующие разногласия;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послерегистрационный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опыт использования может содержать информацию о использовании других лекарственных средств, содержащих те же компоненты;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6) периодический обновляемый отчет по безопасности лекарственного препарата за последние 5 лет до подачи заявления и подтверждение интенсивного применения его в стране-производителе за последние 5 лет до подачи заявления (для иностранных производителей).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8.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источника происхождения (кровь, органы и ткани человека и животных) и специфической активности для иммунобиологических препаратов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Оценка безопасности и эффективности лекарственного средства по результатам клинических исследований в отношении заявленных возрастных групп больных, обоснованности выбора показаний к применению, противопоказаний, предостережений при применении препарата, профиля побочных действий.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Заполняется только при подаче на заявления государственную перерегистрацию лекарственного препарата.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Оценка безопасности и эффективности лекарственного средства на основе данных периодически обновляемых отчетов о безопасности - анализ профиля безопасности, внесении новых побочных действий, противопоказаний в краткую характеристику лекарственного препарата и инструкцию по медицинскому применению или отказе в перерегистрации препарата, изменения в регистрационном статусе препарата в других странах, обновленные данные о мерах, принятых регуляторным органом или производителем по соображениям безопасности, изменения в информации по безопасности препарата, объем продаж, количество пациентов, получивших препарат за отчетный период, изучение описания индивидуальных случаев и перечня побочных действий и сводных таблиц, индивидуальных случаев проявления побочных действий выявленных держателем регистрационного удостоверения, характер и количество серьезных побочных действий и ранее не зарегистрированных компанией. Общая оценка безопасности на основе данных периодически обновляемых отчетов о безопасности и заключение о сохранении или изменении профиля безопасности, внесении новых побочных действий, противопоказаний в инструкцию по медицинскому применению или отказе в перерегистрации препарата.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проведение экспертизы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41 приказа: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На экспертизу при государственной перерегистрации биологического лекарственного средства, в том числе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предоставляются Модули 1-3 формата ОТД, из Модуля 5 формата ОТД: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периодически обновляемый отчет по безопасности или периодически отчет;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результаты мониторинга Плана управления рисками и минимизации риска, иммуногенности, при применении биологического лекарственного средства, в том числе в РК, полученных в результате: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3) пострегистрационных наблюдательных исследований безопасности и эффективности ЛС (методом активного мониторинга, методом случай – контроль 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когортных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ретроспективных и/или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проспективных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анализа Регистров пациентов, получающих лечение определенным биологическим ЛС;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постмаркетинговых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клинических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6) проведения обучающих мероприятий по повышению информированности врачей, фармацевтов и пациентов с целью снижения рисков, связанных с применением биологического лекарственного средства в РК.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11.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безопасности и эффективности лекарственного средства с учетом соотношения «польза-риск» - противопоказания, предупреждения и предостережения при применении препарата. Требуется обратить особое внимание на детский возраст, беременных и кормящих женщин, пожилой возраст, пациентов с почечной и печеночной недостаточностью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12.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Экспертиза инструкции по медицинскому применению проводится в сравнении с краткой характеристикой лекарственного препарата. Делается заключение о соответствии или несоответствии показаний к применению, побочных действий, противопоказаний, особых указаний, лекарственных взаимодействий, передозировки, указанных в инструкции по медицинскому применению лекарственного средства, краткой характеристике лекарственного препарата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13. 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о наличии или отсутствии в названии лекарственного средства: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графических сходств с ранее зарегистрированными лекарственными препаратами и слов с неблагозвучными выражениями;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способности ввести в заблуждение относительно истинного состава и действия препарата;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сходства МНН и/или сходные с ними названия для лекарственного средства другого химического состава или действия.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14.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правильности присвоения кода Анатомо-терапевтическо-химической (АТХ) классификации, соответствия фармакотерапевтической группы коду АТХ классификации, фармакологическому действию, показаниям к применению. В случае не правильно заявленных АТХ кода и фармакотерапевтической группы, требуется указать рекомендуемые экспертом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15.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Проверка адекватности заявленных доз и режима дозирования согласно фармакокинетическим параметрам (периода полувыведения, степени связывания с белками плазмы крови, влияние на активность печеночных ферментов, время сохранения бактериостатической/бактерицидной концентрации в случае антибактериальных препаратов). Требуется обратить особое внимание на дозы, рекомендуемые детям, пожилым, больным с нарушениями функции почек и печени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16.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Проверка соответствия заявленного срока хранения, указанного в заявлении, в краткой характеристике лекарственного препарата, инструкции по медицинскому применению, макетах упаковки со сроком хранения, указанным в нормативном документе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17.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Соответствие представленной инструкции по медицинскому применению действующему законодательству Республики Казахстан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6. Детальное описание системы </w:t>
      </w:r>
      <w:proofErr w:type="spellStart"/>
      <w:r w:rsidRPr="00FF66CB">
        <w:rPr>
          <w:color w:val="000000"/>
          <w:sz w:val="20"/>
          <w:lang w:val="ru-RU"/>
        </w:rPr>
        <w:t>фармаконадзора</w:t>
      </w:r>
      <w:proofErr w:type="spellEnd"/>
      <w:r w:rsidRPr="00FF66CB">
        <w:rPr>
          <w:color w:val="000000"/>
          <w:sz w:val="20"/>
          <w:lang w:val="ru-RU"/>
        </w:rPr>
        <w:t xml:space="preserve"> и управления рисками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34"/>
        <w:gridCol w:w="6510"/>
        <w:gridCol w:w="2284"/>
      </w:tblGrid>
      <w:tr w:rsidR="00110853" w:rsidRPr="00110853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Краткая характеристика системы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держателя регистрационного удостоверения должна включать следующие элементы: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доказательство того, что держатель регистрационного удостоверения имеет в своем распоряжении ответственное лицо за глобальный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контактные данные ответственного лица за глобальный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- декларация, подписанная держателем регистрационного удостоверения о том, что он имеет систему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для выполнения задач и обязанностей по пострегистрационному контролю безопасности лекарственных средств;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ссылка на место (адрес), где хранится мастер-файл системы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. 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2.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Ответственное лицо за локальный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документ, подтверждающий назначение ответственного лица за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контактные данные ответственного лица за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РК.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План управления рисками при медицинском применении лекарственного средства, заявленного на регистрацию/перерегистрацию или внесение изменений (для оригинальных препаратов,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вакцин, препаратов крови,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генерическим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препаратам требующего особого контроля)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 xml:space="preserve">7. </w:t>
      </w:r>
      <w:proofErr w:type="spellStart"/>
      <w:r>
        <w:rPr>
          <w:color w:val="000000"/>
          <w:sz w:val="20"/>
        </w:rPr>
        <w:t>Рекомендации</w:t>
      </w:r>
      <w:proofErr w:type="spellEnd"/>
      <w:r>
        <w:rPr>
          <w:color w:val="000000"/>
          <w:sz w:val="20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96"/>
        <w:gridCol w:w="6228"/>
        <w:gridCol w:w="2504"/>
      </w:tblGrid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рекомендовать лекарственный препарат к государственной регистрации, перерегистрации (с указанием срока регистрации, перерегистрации лекарственного средства, необходимости согласования инструкции по медицинскому применению, макета упаковки) с указанием одобренных показаний к применению, противопоказаний, особых указаний и лекарственных взаимодействий;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Направить план управления рисками при медицинском применении лекарственного средства 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пострегистарционный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период в уполномоченный орган для утверждения. 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рассмотреть документы повторно после предоставления дополнительных материалов по запросу эксперта (с обоснованием необходимости представления дополнительных материалов, подтверждающих безопасность и эффективность лекарственного средства или проведения дополнительных доклинических или клинических испытаний)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110853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не рекомендовать лекарственный препарат к государственной регистрации, перерегистрации (с обоснованием в отказе):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Отрицательное заключение безопасности, эффективности лекарственного средства при проведении экспертизы выдается в случаях, в соответствии с п. 88 приказа: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непредставления полного комплекта регистрационного досье после выдачи замечаний заявителю в процессе проведения экспертизы в сроки, установленные настоящим приказом;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представления заявителем недостоверных сведений;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более низкой безопасности и эффективности лекарственного средства по сравнению с ранее зарегистрированными аналогами;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более низких показателей качества и безопасности, регламентированных Государственной Фармакопеей Республики Казахстан, или фармакопеями, признанными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действующими на территории Республики Казахстан, или в сравнении с ранее зарегистрированными аналогами;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наличия в составе лекарственного средства веществ и материалов, запрещенных к применению в Республике Казахстан;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получения отрицательных результатов одного из этапов экспертизы;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отказа заявителя от организации посещения предприятия (производственной площадки) с целью оценки условий производства в соответствии с требованиями законодательства Республики Казахстан. 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lastRenderedPageBreak/>
              <w:t>Необходимо подробно описать обоснование отрицательного заключения и выбрать соответствующий подпункт.</w:t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lastRenderedPageBreak/>
        <w:t>     </w:t>
      </w:r>
      <w:r w:rsidRPr="00FF66CB">
        <w:rPr>
          <w:color w:val="000000"/>
          <w:sz w:val="20"/>
          <w:lang w:val="ru-RU"/>
        </w:rPr>
        <w:t xml:space="preserve"> ПРИМЕЧАНИЕ: отмеченные * разделы заключения не заполняются при перерегистрации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поступления документов эксперту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завершения экспертизы документов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Все данные, приведенные в экспертном заключении, достоверны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соответствуют современным требованиям, что подтверждаю личной подписью.</w:t>
      </w:r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Фамилия, имя, отчество, эксперта _______________ 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Подпись __________________________</w:t>
      </w:r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</w:t>
      </w:r>
    </w:p>
    <w:p w:rsidR="000528DF" w:rsidRPr="00110853" w:rsidRDefault="00110853" w:rsidP="00110853">
      <w:bookmarkStart w:id="0" w:name="_GoBack"/>
      <w:bookmarkEnd w:id="0"/>
    </w:p>
    <w:sectPr w:rsidR="000528DF" w:rsidRPr="0011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97"/>
    <w:rsid w:val="00110853"/>
    <w:rsid w:val="00410997"/>
    <w:rsid w:val="00506087"/>
    <w:rsid w:val="00A73EEF"/>
    <w:rsid w:val="00C56737"/>
    <w:rsid w:val="00E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0A6EB-5CFE-44E2-8C4E-B82DDE2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7"/>
    <w:pPr>
      <w:spacing w:after="200" w:line="276" w:lineRule="auto"/>
    </w:pPr>
    <w:rPr>
      <w:rFonts w:ascii="Consolas" w:eastAsia="Consolas" w:hAnsi="Consolas" w:cs="Consolas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06087"/>
    <w:pPr>
      <w:keepNext/>
      <w:keepLines/>
      <w:spacing w:before="200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6087"/>
    <w:rPr>
      <w:rFonts w:ascii="Consolas" w:eastAsia="Consolas" w:hAnsi="Consolas" w:cs="Consolas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 Group</dc:creator>
  <cp:keywords/>
  <dc:description/>
  <cp:lastModifiedBy>Invest Group</cp:lastModifiedBy>
  <cp:revision>2</cp:revision>
  <dcterms:created xsi:type="dcterms:W3CDTF">2017-01-30T09:10:00Z</dcterms:created>
  <dcterms:modified xsi:type="dcterms:W3CDTF">2017-01-30T09:10:00Z</dcterms:modified>
</cp:coreProperties>
</file>