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53" w:rsidRPr="00FF66CB" w:rsidRDefault="00110853" w:rsidP="00110853">
      <w:pPr>
        <w:pStyle w:val="2"/>
        <w:rPr>
          <w:lang w:val="ru-RU"/>
        </w:rPr>
      </w:pPr>
      <w:r w:rsidRPr="00FF66CB">
        <w:rPr>
          <w:lang w:val="ru-RU"/>
        </w:rPr>
        <w:t xml:space="preserve">Заключение </w:t>
      </w:r>
      <w:r w:rsidRPr="00FF66CB">
        <w:rPr>
          <w:lang w:val="ru-RU"/>
        </w:rPr>
        <w:br/>
      </w:r>
      <w:r>
        <w:t>     </w:t>
      </w:r>
      <w:r w:rsidRPr="00FF66CB">
        <w:rPr>
          <w:lang w:val="ru-RU"/>
        </w:rPr>
        <w:t xml:space="preserve"> эксперта Управления фармакологической экспертизы о безопасности и</w:t>
      </w:r>
      <w:r w:rsidRPr="00FF66CB">
        <w:rPr>
          <w:lang w:val="ru-RU"/>
        </w:rPr>
        <w:br/>
      </w:r>
      <w:r>
        <w:t>      </w:t>
      </w:r>
      <w:r w:rsidRPr="00FF66CB">
        <w:rPr>
          <w:lang w:val="ru-RU"/>
        </w:rPr>
        <w:t xml:space="preserve"> эффективности лекарственного средства, поданного на экспертизу</w:t>
      </w:r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1. Проведена экспертиза нормативных документов, характеризующих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безопасность и эффективность лекарственного препарата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32"/>
        <w:gridCol w:w="4541"/>
        <w:gridCol w:w="4155"/>
      </w:tblGrid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Фамилия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имя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отчество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эксперта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  <w:proofErr w:type="spellStart"/>
            <w:r w:rsidR="00F66DE7" w:rsidRPr="00F66DE7">
              <w:t>CurrentEmployeeName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Ученая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степень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звание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заявки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  <w:proofErr w:type="spellStart"/>
            <w:r w:rsidR="00F66DE7" w:rsidRPr="00F66DE7">
              <w:t>CurrentDate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Торговое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Международное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непатентованное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(МНН)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14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7.</w:t>
            </w:r>
          </w:p>
        </w:tc>
        <w:tc>
          <w:tcPr>
            <w:tcW w:w="7000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Лекарственный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препарат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является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A2242BE" wp14:editId="7F673C30">
                  <wp:extent cx="279400" cy="292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оригинальный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67CF8BC" wp14:editId="735F06C1">
                  <wp:extent cx="279400" cy="2921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F931EBD" wp14:editId="6A0EFF9D">
                  <wp:extent cx="279400" cy="2921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Орфанный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5C712AC3" wp14:editId="7C8256EC">
                  <wp:extent cx="279400" cy="2921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</w:t>
            </w:r>
            <w:proofErr w:type="spellEnd"/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2F4DA501" wp14:editId="50BFE836">
                  <wp:extent cx="279400" cy="2921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иммунобиологические препараты (ИБП)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D3C3914" wp14:editId="3A66AFD3">
                  <wp:extent cx="279400" cy="2921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лекарственные препараты растительного происхождения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073F95D" wp14:editId="4C3211BE">
                  <wp:extent cx="279400" cy="2921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гомеопатические препараты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37DF7F44" wp14:editId="142213FF">
                  <wp:extent cx="279400" cy="292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Лекарственная субстанция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7A65CB44" wp14:editId="2E33E14C">
                  <wp:extent cx="279400" cy="2921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Лекарственный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756E22D" wp14:editId="7B2F8959">
                  <wp:extent cx="279400" cy="2921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 xml:space="preserve">Иммунобиологический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балк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-продукт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69B51397" wp14:editId="62BD7639">
                  <wp:extent cx="279400" cy="2921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Радиофармацевтический препарат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96D57E7" wp14:editId="12D201AD">
                  <wp:extent cx="279400" cy="2921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Лекарственное природное сырье (не фармакопейное)</w:t>
            </w:r>
            <w:r w:rsidRPr="00FF66CB">
              <w:rPr>
                <w:lang w:val="ru-RU"/>
              </w:rPr>
              <w:br/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D970BA3" wp14:editId="46A6321F">
                  <wp:extent cx="279400" cy="2921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66CB">
              <w:rPr>
                <w:color w:val="000000"/>
                <w:sz w:val="20"/>
                <w:lang w:val="ru-RU"/>
              </w:rPr>
              <w:t>Лекарственный препарат биологического происхождения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Исследования водных растворов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препаратов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110853" w:rsidRPr="00FF66CB" w:rsidRDefault="00110853" w:rsidP="00E752B5">
            <w:pPr>
              <w:rPr>
                <w:lang w:val="ru-RU"/>
              </w:rPr>
            </w:pP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Внедрение трансфера производственных и технологических процессов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(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) указать название оригинального лекарственного препарата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Лекарственная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Дозировка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Концентрация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12.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Фармакотерапевтическая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группа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13.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Код в соответствии с анатомо-терапевтическо-химической классификацией (АТХ)</w:t>
            </w:r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14.</w:t>
            </w:r>
          </w:p>
        </w:tc>
        <w:tc>
          <w:tcPr>
            <w:tcW w:w="7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отпуска</w:t>
            </w:r>
            <w:proofErr w:type="spellEnd"/>
          </w:p>
        </w:tc>
        <w:tc>
          <w:tcPr>
            <w:tcW w:w="6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DDBB28" wp14:editId="0561DCF4">
                  <wp:extent cx="279400" cy="2921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0"/>
                <w:sz w:val="20"/>
              </w:rPr>
              <w:t>по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рецепту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16663404" wp14:editId="69E639D8">
                  <wp:extent cx="279400" cy="292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color w:val="000000"/>
                <w:sz w:val="20"/>
              </w:rPr>
              <w:t>без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рецепта</w:t>
            </w:r>
            <w:proofErr w:type="spellEnd"/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 xml:space="preserve">      2. </w:t>
      </w:r>
      <w:proofErr w:type="spellStart"/>
      <w:r>
        <w:rPr>
          <w:color w:val="000000"/>
          <w:sz w:val="20"/>
        </w:rPr>
        <w:t>Упаковка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32"/>
        <w:gridCol w:w="2111"/>
        <w:gridCol w:w="2311"/>
        <w:gridCol w:w="1101"/>
        <w:gridCol w:w="976"/>
        <w:gridCol w:w="2197"/>
      </w:tblGrid>
      <w:tr w:rsidR="00110853" w:rsidRPr="00F66DE7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Вид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упаковки</w:t>
            </w:r>
            <w:proofErr w:type="spellEnd"/>
            <w:r>
              <w:rPr>
                <w:color w:val="000000"/>
                <w:sz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</w:rPr>
              <w:t>первичная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вторичная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Размер</w:t>
            </w:r>
            <w:proofErr w:type="spellEnd"/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Объем</w:t>
            </w:r>
            <w:proofErr w:type="spellEnd"/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Кол-во единиц в упаковке</w:t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...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4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71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 xml:space="preserve">      3. </w:t>
      </w:r>
      <w:proofErr w:type="spellStart"/>
      <w:r>
        <w:rPr>
          <w:color w:val="000000"/>
          <w:sz w:val="20"/>
        </w:rPr>
        <w:t>Данные</w:t>
      </w:r>
      <w:proofErr w:type="spellEnd"/>
      <w:r>
        <w:rPr>
          <w:color w:val="000000"/>
          <w:sz w:val="20"/>
        </w:rPr>
        <w:t xml:space="preserve"> о </w:t>
      </w:r>
      <w:proofErr w:type="spellStart"/>
      <w:r>
        <w:rPr>
          <w:color w:val="000000"/>
          <w:sz w:val="20"/>
        </w:rPr>
        <w:t>производителе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4"/>
        <w:gridCol w:w="3670"/>
        <w:gridCol w:w="2093"/>
        <w:gridCol w:w="1092"/>
        <w:gridCol w:w="1969"/>
      </w:tblGrid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Тип организации или участок производства</w:t>
            </w:r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организации</w:t>
            </w:r>
            <w:proofErr w:type="spellEnd"/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Страна</w:t>
            </w:r>
            <w:proofErr w:type="spellEnd"/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Юридический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адрес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Заявитель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Производитель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Упаковщик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Участок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производства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6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</w:pPr>
            <w:proofErr w:type="spellStart"/>
            <w:r>
              <w:rPr>
                <w:color w:val="000000"/>
                <w:sz w:val="20"/>
              </w:rPr>
              <w:t>Держатель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3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1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4. Регистрация в стране-производителе и других странах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17"/>
        <w:gridCol w:w="2293"/>
        <w:gridCol w:w="3022"/>
        <w:gridCol w:w="1342"/>
        <w:gridCol w:w="2154"/>
      </w:tblGrid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Название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страны</w:t>
            </w:r>
            <w:proofErr w:type="spellEnd"/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№ </w:t>
            </w:r>
            <w:proofErr w:type="spellStart"/>
            <w:r>
              <w:rPr>
                <w:color w:val="000000"/>
                <w:sz w:val="20"/>
              </w:rPr>
              <w:t>регистрационного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удостоверения</w:t>
            </w:r>
            <w:proofErr w:type="spellEnd"/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Дата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выдачи</w:t>
            </w:r>
            <w:proofErr w:type="spellEnd"/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proofErr w:type="spellStart"/>
            <w:r>
              <w:rPr>
                <w:color w:val="000000"/>
                <w:sz w:val="20"/>
              </w:rPr>
              <w:t>Срок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действия</w:t>
            </w:r>
            <w:proofErr w:type="spellEnd"/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2.</w:t>
            </w:r>
          </w:p>
        </w:tc>
        <w:tc>
          <w:tcPr>
            <w:tcW w:w="3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4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2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  <w:tc>
          <w:tcPr>
            <w:tcW w:w="34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0"/>
            </w:pPr>
            <w: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5. В результате проведенной экспертизы установлено: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26"/>
        <w:gridCol w:w="6204"/>
        <w:gridCol w:w="2598"/>
      </w:tblGrid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 случае наличия в составе лекарственного средства вещества, подлежащего контролю в соответствии с Законом Республики Казахстан «О наркотических средствах, психотропных веществах, прекурсорах и мерах противодействия их незаконному обороту и злоупотреблению ими»: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заключение о принадлежности к подконтрольным веществам (на основании изучения международного непатентованного наименования, торгового названия, химического названия, структурной формулы о принадлежности к подконтрольным веществам с указанием позиции Таблиц Списка, является ли вещество стереоизомером наркотических средств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 тех случаях, когда существование таких изомеров возможно в рамках данного конкретного химического обозначения (если таковые определенно не исключены), солью всех наркотических средств, перечисленных в Таблице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, включая соли изомеров, как предусмотрено выше, во всех случаях, когда существование таких солей возможно; солью психотропных веществ Таблицы </w:t>
            </w:r>
            <w:r>
              <w:rPr>
                <w:color w:val="000000"/>
                <w:sz w:val="20"/>
              </w:rPr>
              <w:t>II</w:t>
            </w:r>
            <w:r w:rsidRPr="00FF66CB">
              <w:rPr>
                <w:color w:val="000000"/>
                <w:sz w:val="20"/>
                <w:lang w:val="ru-RU"/>
              </w:rPr>
              <w:t xml:space="preserve"> и Таблицы </w:t>
            </w:r>
            <w:r>
              <w:rPr>
                <w:color w:val="000000"/>
                <w:sz w:val="20"/>
              </w:rPr>
              <w:t>III</w:t>
            </w:r>
            <w:r w:rsidRPr="00FF66CB">
              <w:rPr>
                <w:color w:val="000000"/>
                <w:sz w:val="20"/>
                <w:lang w:val="ru-RU"/>
              </w:rPr>
              <w:t>, когда существование таких солей возможно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научно-обоснованное определение степени риска злоупотребления: высокий риск злоупотребления, или риск злоупотребления отсутствует, или является незначительным; определение максимально допустимого содержания наркотических средств, психотропных веществ и прекурсоров в лекарственных средствах;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3)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в том, что в отношении препарата могут быть сняты некоторые меры контроля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Анализ достоверности качественного и количественного состава активных и вспомогательных веществ, указанных в инструкции по медицинскому применению, сравнивая с заявленным составом в заявлении, аналитическом нормативном документе и макете упаковки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фармакологической совместимости компонентов, в случае регистрации воспроизведенного лекарственного средства провести сравнение с составом оригинального препарата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 w:rsidRPr="00FF66CB">
              <w:rPr>
                <w:color w:val="000000"/>
                <w:sz w:val="20"/>
                <w:lang w:val="ru-RU"/>
              </w:rPr>
              <w:t xml:space="preserve">Разделы заключения для заявок в соответствии с п. 24, 39, 40. </w:t>
            </w:r>
            <w:r>
              <w:rPr>
                <w:color w:val="000000"/>
                <w:sz w:val="20"/>
              </w:rPr>
              <w:t xml:space="preserve">43, 45, 48 </w:t>
            </w:r>
            <w:proofErr w:type="spellStart"/>
            <w:r>
              <w:rPr>
                <w:color w:val="000000"/>
                <w:sz w:val="20"/>
              </w:rPr>
              <w:t>приказа</w:t>
            </w:r>
            <w:proofErr w:type="spellEnd"/>
            <w:r>
              <w:rPr>
                <w:color w:val="000000"/>
                <w:sz w:val="20"/>
              </w:rPr>
              <w:t xml:space="preserve"> МЗ РК  736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Анализ документации по доклиническим исследованиям: токсичности (острая, хроническая, </w:t>
            </w:r>
            <w:r>
              <w:rPr>
                <w:color w:val="000000"/>
                <w:sz w:val="20"/>
              </w:rPr>
              <w:t>LD</w:t>
            </w:r>
            <w:r w:rsidRPr="00FF66CB">
              <w:rPr>
                <w:color w:val="000000"/>
                <w:sz w:val="20"/>
                <w:lang w:val="ru-RU"/>
              </w:rPr>
              <w:t xml:space="preserve">50, </w:t>
            </w:r>
            <w:r>
              <w:rPr>
                <w:color w:val="000000"/>
                <w:sz w:val="20"/>
              </w:rPr>
              <w:t>LD</w:t>
            </w:r>
            <w:r w:rsidRPr="00FF66CB">
              <w:rPr>
                <w:color w:val="000000"/>
                <w:sz w:val="20"/>
                <w:lang w:val="ru-RU"/>
              </w:rPr>
              <w:t xml:space="preserve">100),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канцерогенности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эмбриотоксичности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тератогенности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мутагенности, местно-раздражающего действия, влияния на иммунную систему, специфической фармакологической (биологической) активности.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экспертиза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39-40 приказа, указать препарат-сравнения, использованный на всех этапах сравнительных исследований (от фармацевтической разработки до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клинических исследований): название, активное вещество, производитель, страна-производитель, серия, срок годности.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5.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Анализ документации клинических исследований (фазы клинических исследований,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постмаркетинговые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исследования, протоколы и отчеты, заключения Этической комиссии). При этом необходимо указать место, дату, спонсора проведения исследования, цель, дизайн, длительность исследования, количество, пол возраст испытуемых, режим дозирования препарата, мониторинг побочных действий в процессе проведения клинических исследований, соответствие отчета протоколу, заключение о соотношении «польза-риск»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экспертиза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39-40 приказа, указать препарат-сравнения, использованный на всех этапах сравнительных исследований (от фармацевтической разработки до клинических исследований): название, активное вещество, производитель, страна-производитель, серия, срок годности.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* Разделы заключения для заявок в соответствии с п. 25, 26, 27, 28, 29, 30, 31, 32, 33, 35, 36, 37, 38 приказа МЗ РК № 736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 соответствии с п. 23. в регистрационном досье представлен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фармакокинетических исследований (исследования биоэквивалентности);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фармакодинамических клинических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исследований терапевтической эквивалентности;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отчет сравнительных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Выбрать соответствующий пункт.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Предоставление данных указанных отчетов исследований не требуется для лекарственных средств в соответствии с п. 26.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От заявителя, имеющего документ, подтверждающий соответствие производства надлежащей производственной практики стран-регионов </w:t>
            </w:r>
            <w:r>
              <w:rPr>
                <w:color w:val="000000"/>
                <w:sz w:val="20"/>
              </w:rPr>
              <w:t>ICH</w:t>
            </w:r>
            <w:r w:rsidRPr="00FF66CB">
              <w:rPr>
                <w:color w:val="000000"/>
                <w:sz w:val="20"/>
                <w:lang w:val="ru-RU"/>
              </w:rPr>
              <w:t xml:space="preserve">, </w:t>
            </w:r>
            <w:r>
              <w:rPr>
                <w:color w:val="000000"/>
                <w:sz w:val="20"/>
              </w:rPr>
              <w:t>PIC</w:t>
            </w:r>
            <w:r w:rsidRPr="00FF66CB">
              <w:rPr>
                <w:color w:val="000000"/>
                <w:sz w:val="20"/>
                <w:lang w:val="ru-RU"/>
              </w:rPr>
              <w:t>/</w:t>
            </w:r>
            <w:r>
              <w:rPr>
                <w:color w:val="000000"/>
                <w:sz w:val="20"/>
              </w:rPr>
              <w:t>S</w:t>
            </w:r>
            <w:r w:rsidRPr="00FF66CB">
              <w:rPr>
                <w:color w:val="000000"/>
                <w:sz w:val="20"/>
                <w:lang w:val="ru-RU"/>
              </w:rPr>
              <w:t>, РК, не требуется предоставление отчетов исследований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при условии, что: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для парентерального применения (например, внутривенно, подкожно или внутримышечно) в виде водных растворов, содержащих одинаковый качественный и количественный состав активного вещества, что и оригинальный препарат, с одинаковыми или подобными вспомогательными веществами в сравниваемых с оригинальным препаратом концентрациях; некоторые вспомогательные вещества (в частности буферные растворы, консерванты, антиоксиданты)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 (исключение – препараты железа, аминокислот, производные крахмала, желатина, комплексообразующие);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 для приема внутрь в форме водных растворов, в виде водных растворов, содержащих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одинаковый качественный и количественный состав активного вещества, что и оригинальный препарат, с одинаковыми или подобными вспомогательными веществами в сравниваемых с оригинальным препаратом концентрациях; необходимо тщательно изучить вспомогательные вещества, о которых известно, что они влияют на прохождение в желудочно-кишечном трактом (далее - ЖКТ), проницаемость в ЖКТ и, таким образом, на абсорбцию и/или стабильность активного вещества в ЖКТ;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в форме порошков для приготовления водных растворов, если раствор отвечает требованиям подпунктов 1 или 2 настоящего пункта;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средства, которые являются газами;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ушные или глазные лекарственные средства, изготовленные в виде водных растворов,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концентрациях; некоторые вспомогательные вещества (в частности буферные растворы, консерванты, вещества, корректирующие плотность, или загустители)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лекарственные средства местного действия в виде водных растворов,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средства, которые являются водными растворами и предназначены для ингаляций небулайзером или в виде назальных спреев, применяемые с помощью практически одинаковых устройств доставки лекарственного средства и содержащие одинаковый качественный и количественный состав активных веществ, такие же вспомогательные вещества в сравнимых концентрациях, что и референтный препарат; некоторые вспомогательные вещества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 (исключение – препараты, содержащие гормоны, препараты с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противообструктивным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действием);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лекарственные средства системного действия в виде водных растворов для ректального или вагинального применения, содержащих одинаковый качественный и количественный состав активных веществ, что и оригинальный препарат, с одинаковыми или подобными вспомогательными веществами в сравниваемых с оригинальным препаратом концентрациях, некоторые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вспомогательные вещества могут отличаться при условии доказательства любым способом, что в данных концентрациях они не влияют на безопасность и/или эффективность лекарственного средства.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Провести экспертизу в рамках соответствующего подпункта. 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В случае различий в составе вспомогательных веществ заявитель должен доказать, что при их использовании не предполагается влияние на безопасность и/или эффективность лекарственного средства; в случае, когда заявитель не может предоставить такую информацию и не имеет доступа к соответствующим данным, он должен провести соответствующие исследования (фармацевтические или доклинические или клинические) для доказательства отсутствия влияния различных вспомогательных веществ или вспомогательных устройств на безопасность и/или эффективность лекарственного средства.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От заявителя требуется предоставление доказательства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случае, когда существует риск того, что возможные различия 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биодоступности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могут привести к терапевтической неэквивалентности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референс-препарату: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лекарственные средства системного действия для орального применения с немедленным высвобождением, если к ним применены один или несколько следующих критериев: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узкий спектр терапевтического действия (предел эффективность/безопасность), крутой наклон кривой доза - ответ;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документально подтвержденные проблемы по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биодоступности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бионеэквивалентности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связанные с активным веществом или ее формами (не имеющих отношения к растворению);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данные о том, что на биоэквивалентность могут влиять полиморфизм активного вещества, вспомогательные вещества;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2) лекарственные средства системного действия, не предназначенные для орального или парентерального применения (такие, как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трансдермальные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пластыри, суппозитории, никотиновые жевательные резинки, гели тестостерона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трансдермальные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контрацептивы);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лекарственные средства системного действия с модифицированным высвобождением;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лекарственные средства системного действия с фиксированной комбинацией, в которых как минимум для одного активного вещества требуется проведение исследования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лекарственные средства несистемного действия, в частности для орального, назального, офтальмологического, дерматологического, ректального или вагинального применения, без системной абсорбции, которые не является водными растворами; в таком случае эквивалентность доказывают путем проведения, сравнительных клинических исследований терапевтической эквивалентности или фармакодинамических исследований,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дерматофармакокинетических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и/или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исследований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6) 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активное вещество которого представлено другой солью, эфиром или производным активного вещества зарегистрированного препарата, предоставляются отчеты соответствующих доклинических и (или) клинических исследований/исследований биоэквивалентности, доказывающие отсутствие изменений в фармакокинетике,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фармакодинамике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 (или) токсичности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в случае непредставления таких доказательств, данное вещество рассматривается как новое активное вещество.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твердых лекарственных формах немедленного высвобождения для приема внутрь и концентрация активного вещества которых может быть измерена в биологических жидкостях организма (плазма крови, моча) предоставляются данные исследований биоэквивалентности.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твердых лекарственных формах немедленного высвобождения для приема внутрь, концентрацию активного вещества которых невозможно измерить в биологических жидкостях организма, предоставляются данные сравнительных фармакодинамических клинических исследований или исследований сравнительной терапевтической эквивалентности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Для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заявленных по процедуре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биовейвер</w:t>
            </w:r>
            <w:proofErr w:type="spellEnd"/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При экспертизе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производимых отечественными производителями на основе полного переноса (трансфера) производственных и технологических процессов, в регистрационном досье должны быть представлены подтверждения того, что условия производства на производственной площадке в Республике Казахстан полностью соответствуют условиям производства площадки вне Казахстана: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договор о переносе производственных и технологических процессов с правом пользования всеми документами и регистрационным досье, в том числе и данными исследований биоэквивалентности, клинических исследований между отечественным производителем и зарубежным производителем;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результаты и периодичность аудита условий производства на отечественной производственной площадке зарубежным производителем, передающим свои производственные и технологические процессы;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валидация производственных процессов на отечественной производственной площадке;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подтверждение того, что качество исходного сырья (активной субстанции, вспомогательных веществ и др.), используемого на отечественной площадке не влияет на процесс или готовый продукт;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контроль качества препаратов, производимых на отечественной производственной площадке, и препаратов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зарубежного производителя осуществляется по одной спецификации (одинаковый профиль примесей, фармакокинетический профиль растворения (для твердых лекарственных форм), и другие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витро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6) отчеты исследований биоэквивалентности, клинических исследований лекарственных средств, произведенных на производственных площадках вне Казахстана;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7) отчет инспекции уполномоченным органом отечественной производственной площадки и производственной площадки зарубежного производителя, подтверждающий условия соблюдения трансфера.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* Анализ данных по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(протоколы и отчеты, заключения Этической комиссии). При этом необходимо указать место, дату, спонсора проведения исследования, цель, длительность исследования, тест-препарат, референс-препарат, указать лекарственную форму, режим дозирования, путь введения препарата, количество испытуемых, пол, возраст, мониторинг побочных действий, соответствие отчета протоколу,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биоаналитические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методы исследования, внутренний стандарт, индивидуальные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хроматограммы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фармакокинетические кривые, статические данные по фармакокинетическим параметрам (в виде таблиц), заключение о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биоэквивалетности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. Соответствие исследований биоэквивалентности требованиям Республики Казахстан.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при предоставлении исследований эквивалентности ин-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виво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(фармакодинамических или терапевтической эквивалентности): цель, дизайн, длительность исследования, количество, пол возраст испытуемых, режим дозирования препарата, мониторинг побочных действий в процессе проведения клинических исследований, соответствие отчета протоколу, заключение о сопоставимой эффективности и безопасности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генерика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с референс-препаратом.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jc w:val="center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7. * Разделы заключения для заявок в соответствии с п. 43, 45, 46, 47 приказа МЗ РК № 736</w:t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лекарственных препаратов природного происхождения предоставляются результаты соответствующих фармакологических, токсикологических и клинических исследований. Материалы и документы по доклиническим (неклиническим) и (или) клиническим исследованиям должны включать: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материалы доклинических (неклинических) исследований специфической активности;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материалы исследования острой и хронической токсичности;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данные о местно-раздражающем действии;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4) данные об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аллергизирующих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свойствах;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5) опыт клинического применения в стране-производителе или других странах.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При этом материалы относительно качественных аспектов лекарственного препарата предоставляются в полном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объеме.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Для сборов лекарственного растительного сырья, фито-чаев предоставляется обзор научной литературы по лекарственным растениям, входящих в их состав.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лекарственных средств, содержащих витамины и (или) представляющих собой комплекс витаминов и (или) витаминов и минералов, заявитель представляет один из нижеследующих документов и материалов: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библиографический обзор данных по безопасности лекарственных средств, вместе с отчетом эксперта, включая информацию об эксперте;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научные публикации на заявляемый препарат;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3) данные исследований острой и (или) хронической токсичности.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экспертизы гомеопатических препаратов заявитель представляет документы и материалы, включающие следующую информацию по Модулям 4 и 5 или частям 3 и 4 Списка: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для препаратов, имеющих многолетний опыт применения: обзор данных научной литературы об эффективности и безопасности гомеопатического препарата в заявляемой области применения;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для новых гомеопатических препаратов, не упоминаемых в фармакопеях и монографиях: данные токсикологических исследований, обоснование подбора различных потенций, данные клинического опыта применения;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инструкцию по медицинскому применению с указанием, что лекарственное средство является гомеопатическим препаратом.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Для лекарственных средств, активное вещество которых хорошо изучено в медицинском применении с подтвержденной эффективностью и приемлемым уровнем безопасности, применяются следующие специальные требования к материалам регистрационного досье.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Для подтверждения хорошо изученного медицинского применения должны быть представлены следующие данные: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факторы, которые необходимо учитывать при определении хорошо изученного медицинского применения компонентов лекарственных средств: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время, в течение которого используется активное вещество в медицинской практике;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количественные аспекты использования активного вещества;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степень научного интереса и актуальности в использовании активного вещества в последние 5 лет до подачи заявления (со ссылкой на опубликованные научные источники);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последовательность научных оценок.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Для определения хорошо изученного применения различных активных веществ может понадобиться оценка за различные периоды времени. Период времени, необходимый для определения хорошо изученного медицинского применения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активного вещества, должен быть не менее 20 лет с даты первого систематического и документированного использования этого активного вещества как лекарственного средства;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2) материалы регистрационного досье, предоставленные заявителем, должны включать все аспекты оценки безопасности и эффективности, содержать или давать ссылку на обзор соответствующей литературы с учетом пред 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 и опубликованной научной литературы относительно результатов эпидемиологических исследований и особенно сравнительных эпидемиологических исследований, всю документацию, как положительную, так и отрицательную. «Библиографическая ссылка» на другие источники доказательств (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послерегистрационные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исследования, эпидемиологические исследования и т.п.), кроме данных, касающихся методов контроля и испытаний, может быть доказательством безопасности и эффективности лекарственного средства при условии, что в материалах регистрационного досье четко объяснено и обосновано использование этих источников информации;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необходимо обосновать, почему может считаться доказанным приемлемый уровень безопасности и/или эффективности, несмотря на отсутствие некоторых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в доклинических и/или клинических обзорах необходимо объяснить значимость любых представленных данных, касающихся уже зарегистрированного лекарственного средства, отличного от того, который предлагается к перерегистрации. Необходимо предоставить обоснование по поводу того, можно ли заявленное ЛС считать подобным уже зарегистрированному лекарственному средству, несмотря на существующие разногласия;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послерегистрационный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опыт использования может содержать информацию о использовании других лекарственных средств, содержащих те же компоненты;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6) периодический обновляемый отчет по безопасности лекарственного препарата за последние 5 лет до подачи заявления и подтверждение интенсивного применения его в стране-производителе за последние 5 лет до подачи заявления (для иностранных производителей).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источника происхождения (кровь, органы и ткани человека и животных) и специфической активности для иммунобиологических препаратов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9.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* Оценка безопасности и эффективности лекарственного средства по результатам клинических исследований в отношении заявленных возрастных групп больных, обоснованности выбора показаний к применению, противопоказаний, предостережений при применении препарата, профиля побочных действий.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10.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Заполняется только при подаче на заявления государственную перерегистрацию лекарственного препарата.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Оценка безопасности и эффективности лекарственного средства на основе данных периодически обновляемых отчетов о безопасности - анализ профиля безопасности, внесении новых побочных действий, противопоказаний в краткую характеристику лекарственного препарата и инструкцию по медицинскому применению или отказе в перерегистрации препарата, изменения в регистрационном статусе препарата в других странах, обновленные данные о мерах, принятых регуляторным органом или производителем по соображениям безопасности, изменения в информации по безопасности препарата, объем продаж, количество пациентов, получивших препарат за отчетный период, изучение описания индивидуальных случаев и перечня побочных действий и сводных таблиц, индивидуальных случаев проявления побочных действий выявленных держателем регистрационного удостоверения, характер и количество серьезных побочных действий и ранее не зарегистрированных компанией. Общая оценка безопасности на основе данных периодически обновляемых отчетов о безопасности и заключение о сохранении или изменении профиля безопасности, внесении новых побочных действий, противопоказаний в инструкцию по медицинскому применению или отказе в перерегистрации препарата.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ПРИМЕЧАНИЕ: проведение экспертизы препаратов-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соответствии с п. 41 приказа: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На экспертизу при государственной перерегистрации биологического лекарственного средства, в том числе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, предоставляются Модули 1-3 формата ОТД, из Модуля 5 формата ОТД: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периодически обновляемый отчет по безопасности или периодически отчет;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результаты мониторинга Плана управления рисками и минимизации риска, иммуногенности, при применении биологического лекарственного средства, в том числе в РК, полученных в результате: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3) пострегистрационных наблюдательных исследований безопасности и эффективности ЛС (методом активного мониторинга, методом случай – контроль 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когортных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ретроспективных и/или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проспективных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исследований);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4) анализа Регистров пациентов, получающих лечение определенным биологическим ЛС;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5)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постмаркетинговых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клинических исследований;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6) проведения обучающих мероприятий по повышению информированности врачей, фармацевтов и пациентов с целью снижения рисков, связанных с применением биологического лекарственного средства в РК. 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11.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безопасности и эффективности лекарственного средства с учетом соотношения «польза-риск» - противопоказания, предупреждения и предостережения при применении препарата. Требуется обратить особое внимание на детский возраст, беременных и кормящих женщин, пожилой возраст, пациентов с почечной и печеночной недостаточностью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lastRenderedPageBreak/>
              <w:t>12.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Экспертиза инструкции по медицинскому применению проводится в сравнении с краткой характеристикой лекарственного препарата. Делается заключение о соответствии или несоответствии показаний к применению, побочных действий, противопоказаний, особых указаний, лекарственных взаимодействий, передозировки, указанных в инструкции по медицинскому применению лекарственного средства, краткой характеристике лекарственного препарата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 xml:space="preserve">13. 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Заключение о наличии или отсутствии в названии лекарственного средства: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1) графических сходств с ранее зарегистрированными лекарственными препаратами и слов с неблагозвучными выражениями;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2) способности ввести в заблуждение относительно истинного состава и действия препарата;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3) сходства МНН и/или сходные с ними названия для лекарственного средства другого химического состава или действия.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14.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Оценка правильности присвоения кода Анатомо-терапевтическо-химической (АТХ) классификации, соответствия фармакотерапевтической группы коду АТХ классификации, фармакологическому действию, показаниям к применению. В случае не правильно заявленных АТХ кода и фармакотерапевтической группы, требуется указать рекомендуемые экспертом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15.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Проверка адекватности заявленных доз и режима дозирования согласно фармакокинетическим параметрам (периода полувыведения, степени связывания с белками плазмы крови, влияние на активность печеночных ферментов, время сохранения бактериостатической/бактерицидной концентрации в случае антибактериальных препаратов). Требуется обратить особое внимание на дозы, рекомендуемые детям, пожилым, больным с нарушениями функции почек и печени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16.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Проверка соответствия заявленного срока хранения, указанного в заявлении, в краткой характеристике лекарственного препарата, инструкции по медицинскому применению, макетах упаковки со сроком хранения, указанным в нормативном документе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17.</w:t>
            </w:r>
          </w:p>
        </w:tc>
        <w:tc>
          <w:tcPr>
            <w:tcW w:w="98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Соответствие представленной инструкции по медицинскому применению действующему законодательству Республики Казахстан</w:t>
            </w:r>
          </w:p>
        </w:tc>
        <w:tc>
          <w:tcPr>
            <w:tcW w:w="33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6. Детальное описание системы </w:t>
      </w:r>
      <w:proofErr w:type="spellStart"/>
      <w:r w:rsidRPr="00FF66CB">
        <w:rPr>
          <w:color w:val="000000"/>
          <w:sz w:val="20"/>
          <w:lang w:val="ru-RU"/>
        </w:rPr>
        <w:t>фармаконадзора</w:t>
      </w:r>
      <w:proofErr w:type="spellEnd"/>
      <w:r w:rsidRPr="00FF66CB">
        <w:rPr>
          <w:color w:val="000000"/>
          <w:sz w:val="20"/>
          <w:lang w:val="ru-RU"/>
        </w:rPr>
        <w:t xml:space="preserve"> и управления рисками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34"/>
        <w:gridCol w:w="6510"/>
        <w:gridCol w:w="2284"/>
      </w:tblGrid>
      <w:tr w:rsidR="00110853" w:rsidRPr="00F66DE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Краткая характеристика системы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держателя регистрационного удостоверения должна включать следующие элементы: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доказательство того, что держатель регистрационного удостоверения имеет в своем распоряжении ответственное лицо за глобальный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контактные данные ответственного лица за глобальный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>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 xml:space="preserve">- декларация, подписанная держателем регистрационного удостоверения о том, что он имеет систему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для выполнения задач и обязанностей по пострегистрационному контролю безопасности лекарственных средств;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ссылка на место (адрес), где хранится мастер-файл системы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фармаконадзора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. 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lastRenderedPageBreak/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Ответственное лицо за локальный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документ, подтверждающий назначение ответственного лица за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контактные данные ответственного лица за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фармаконадзор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в РК.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93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 xml:space="preserve">План управления рисками при медицинском применении лекарственного средства, заявленного на регистрацию/перерегистрацию или внесение изменений (для оригинальных препаратов,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биосимиляров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, вакцин, препаратов крови,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генерическим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препаратам требующего особого контроля)</w:t>
            </w:r>
          </w:p>
        </w:tc>
        <w:tc>
          <w:tcPr>
            <w:tcW w:w="410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</w:tbl>
    <w:p w:rsidR="00110853" w:rsidRDefault="00110853" w:rsidP="00110853">
      <w:pPr>
        <w:spacing w:after="0"/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</w:t>
      </w:r>
      <w:r>
        <w:rPr>
          <w:color w:val="000000"/>
          <w:sz w:val="20"/>
        </w:rPr>
        <w:t xml:space="preserve">7. </w:t>
      </w:r>
      <w:proofErr w:type="spellStart"/>
      <w:r>
        <w:rPr>
          <w:color w:val="000000"/>
          <w:sz w:val="20"/>
        </w:rPr>
        <w:t>Рекомендации</w:t>
      </w:r>
      <w:proofErr w:type="spellEnd"/>
      <w:r>
        <w:rPr>
          <w:color w:val="000000"/>
          <w:sz w:val="20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96"/>
        <w:gridCol w:w="6228"/>
        <w:gridCol w:w="2504"/>
      </w:tblGrid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1.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рекомендовать лекарственный препарат к государственной регистрации, перерегистрации (с указанием срока регистрации, перерегистрации лекарственного средства, необходимости согласования инструкции по медицинскому применению, макета упаковки) с указанием одобренных показаний к применению, противопоказаний, особых указаний и лекарственных взаимодействий;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Направить план управления рисками при медицинском применении лекарственного средства в </w:t>
            </w:r>
            <w:proofErr w:type="spellStart"/>
            <w:r w:rsidRPr="00FF66CB">
              <w:rPr>
                <w:color w:val="000000"/>
                <w:sz w:val="20"/>
                <w:lang w:val="ru-RU"/>
              </w:rPr>
              <w:t>пострегистарционный</w:t>
            </w:r>
            <w:proofErr w:type="spellEnd"/>
            <w:r w:rsidRPr="00FF66CB">
              <w:rPr>
                <w:color w:val="000000"/>
                <w:sz w:val="20"/>
                <w:lang w:val="ru-RU"/>
              </w:rPr>
              <w:t xml:space="preserve"> период в уполномоченный орган для утверждения. 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рассмотреть документы повторно после предоставления дополнительных материалов по запросу эксперта (с обоснованием необходимости представления дополнительных материалов, подтверждающих безопасность и эффективность лекарственного средства или проведения дополнительных доклинических или клинических испытаний)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0"/>
              <w:rPr>
                <w:lang w:val="ru-RU"/>
              </w:rPr>
            </w:pPr>
            <w:r w:rsidRPr="00FF66CB">
              <w:rPr>
                <w:lang w:val="ru-RU"/>
              </w:rPr>
              <w:br/>
            </w:r>
          </w:p>
        </w:tc>
      </w:tr>
      <w:tr w:rsidR="00110853" w:rsidRPr="00F66DE7" w:rsidTr="00E752B5">
        <w:trPr>
          <w:trHeight w:val="30"/>
          <w:tblCellSpacing w:w="0" w:type="auto"/>
        </w:trPr>
        <w:tc>
          <w:tcPr>
            <w:tcW w:w="70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Default="00110853" w:rsidP="00E752B5">
            <w:pPr>
              <w:spacing w:after="20"/>
              <w:ind w:left="20"/>
              <w:jc w:val="center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1004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t>не рекомендовать лекарственный препарат к государственной регистрации, перерегистрации (с обоснованием в отказе):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Отрицательное заключение безопасности, эффективности лекарственного средства при проведении экспертизы выдается в случаях, в соответствии с п. 88 приказа: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непредставления полного комплекта регистрационного досье после выдачи замечаний заявителю в процессе проведения экспертизы в сроки, установленные настоящим приказом;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представления заявителем недостоверных сведений;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более низкой безопасности и эффективности лекарственного средства по сравнению с ранее зарегистрированными аналогами;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более низких показателей качества и безопасности, регламентированных Государственной Фармакопеей Республики Казахстан, или фармакопеями, признанными </w:t>
            </w:r>
            <w:r w:rsidRPr="00FF66CB">
              <w:rPr>
                <w:color w:val="000000"/>
                <w:sz w:val="20"/>
                <w:lang w:val="ru-RU"/>
              </w:rPr>
              <w:lastRenderedPageBreak/>
              <w:t>действующими на территории Республики Казахстан, или в сравнении с ранее зарегистрированными аналогами;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наличия в составе лекарственного средства веществ и материалов, запрещенных к применению в Республике Казахстан;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>- получения отрицательных результатов одного из этапов экспертизы;</w:t>
            </w:r>
            <w:r w:rsidRPr="00FF66CB">
              <w:rPr>
                <w:lang w:val="ru-RU"/>
              </w:rPr>
              <w:br/>
            </w:r>
            <w:r w:rsidRPr="00FF66CB">
              <w:rPr>
                <w:color w:val="000000"/>
                <w:sz w:val="20"/>
                <w:lang w:val="ru-RU"/>
              </w:rPr>
              <w:t xml:space="preserve">- отказа заявителя от организации посещения предприятия (производственной площадки) с целью оценки условий производства в соответствии с требованиями законодательства Республики Казахстан. </w:t>
            </w:r>
          </w:p>
        </w:tc>
        <w:tc>
          <w:tcPr>
            <w:tcW w:w="3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0853" w:rsidRPr="00FF66CB" w:rsidRDefault="00110853" w:rsidP="00E752B5">
            <w:pPr>
              <w:spacing w:after="20"/>
              <w:ind w:left="20"/>
              <w:rPr>
                <w:lang w:val="ru-RU"/>
              </w:rPr>
            </w:pPr>
            <w:r w:rsidRPr="00FF66CB">
              <w:rPr>
                <w:color w:val="000000"/>
                <w:sz w:val="20"/>
                <w:lang w:val="ru-RU"/>
              </w:rPr>
              <w:lastRenderedPageBreak/>
              <w:t>Необходимо подробно описать обоснование отрицательного заключения и выбрать соответствующий подпункт.</w:t>
            </w:r>
          </w:p>
        </w:tc>
      </w:tr>
    </w:tbl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ПРИМЕЧАНИЕ: отмеченные * разделы заключения не заполняются при перерегистрации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поступления документов эксперту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завершения экспертизы документов</w:t>
      </w:r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Все данные, приведенные в экспертном заключении, достоверны и</w:t>
      </w:r>
      <w:r w:rsidRPr="00FF66CB">
        <w:rPr>
          <w:lang w:val="ru-RU"/>
        </w:rPr>
        <w:br/>
      </w:r>
      <w:r w:rsidRPr="00FF66CB">
        <w:rPr>
          <w:color w:val="000000"/>
          <w:sz w:val="20"/>
          <w:lang w:val="ru-RU"/>
        </w:rPr>
        <w:t>соответствуют современным требованиям, что подтверждаю личной подписью.</w:t>
      </w:r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Фамилия, имя, отчество, эксперта </w:t>
      </w:r>
      <w:proofErr w:type="spellStart"/>
      <w:r w:rsidR="00F66DE7" w:rsidRPr="00F66DE7">
        <w:rPr>
          <w:color w:val="000000"/>
          <w:sz w:val="20"/>
          <w:u w:val="single"/>
          <w:lang w:val="ru-RU"/>
        </w:rPr>
        <w:t>CurrentEmployeeName</w:t>
      </w:r>
      <w:proofErr w:type="spellEnd"/>
      <w:r w:rsidRPr="00FF66CB">
        <w:rPr>
          <w:lang w:val="ru-RU"/>
        </w:rPr>
        <w:br/>
      </w: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Подпись __________________________</w:t>
      </w:r>
      <w:bookmarkStart w:id="0" w:name="_GoBack"/>
      <w:bookmarkEnd w:id="0"/>
    </w:p>
    <w:p w:rsidR="00110853" w:rsidRPr="00FF66CB" w:rsidRDefault="00110853" w:rsidP="00110853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F66CB">
        <w:rPr>
          <w:color w:val="000000"/>
          <w:sz w:val="20"/>
          <w:lang w:val="ru-RU"/>
        </w:rPr>
        <w:t xml:space="preserve"> Дата </w:t>
      </w:r>
      <w:proofErr w:type="spellStart"/>
      <w:r w:rsidR="00F66DE7" w:rsidRPr="00F66DE7">
        <w:rPr>
          <w:color w:val="000000"/>
          <w:sz w:val="20"/>
          <w:lang w:val="ru-RU"/>
        </w:rPr>
        <w:t>CurrentDate</w:t>
      </w:r>
      <w:proofErr w:type="spellEnd"/>
    </w:p>
    <w:p w:rsidR="000528DF" w:rsidRPr="00110853" w:rsidRDefault="00F66DE7" w:rsidP="00110853"/>
    <w:sectPr w:rsidR="000528DF" w:rsidRPr="0011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97"/>
    <w:rsid w:val="00110853"/>
    <w:rsid w:val="00410997"/>
    <w:rsid w:val="00506087"/>
    <w:rsid w:val="00A73EEF"/>
    <w:rsid w:val="00C56737"/>
    <w:rsid w:val="00EB7720"/>
    <w:rsid w:val="00F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0A6EB-5CFE-44E2-8C4E-B82DDE2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6087"/>
    <w:pPr>
      <w:spacing w:after="200" w:line="276" w:lineRule="auto"/>
    </w:pPr>
    <w:rPr>
      <w:rFonts w:ascii="Consolas" w:eastAsia="Consolas" w:hAnsi="Consolas" w:cs="Consolas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06087"/>
    <w:pPr>
      <w:keepNext/>
      <w:keepLines/>
      <w:spacing w:before="200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6087"/>
    <w:rPr>
      <w:rFonts w:ascii="Consolas" w:eastAsia="Consolas" w:hAnsi="Consolas" w:cs="Consolas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 Group</dc:creator>
  <cp:keywords/>
  <dc:description/>
  <cp:lastModifiedBy>Кайрат Бейсенов</cp:lastModifiedBy>
  <cp:revision>4</cp:revision>
  <dcterms:created xsi:type="dcterms:W3CDTF">2017-01-30T09:10:00Z</dcterms:created>
  <dcterms:modified xsi:type="dcterms:W3CDTF">2017-02-03T11:10:00Z</dcterms:modified>
</cp:coreProperties>
</file>