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big-picture circulatory map</w:t>
      </w:r>
    </w:p>
    <w:p>
      <w:r>
        <w:t>It is tempting to picture the circulation as a pump connected to a run of pipes, but that image quickly leads to physiologic inconsistencies. A more useful model, simple enough to reason with yet rich enough to explain the shock states, treats the circulation as a single closed loop broken into a handful of interfaces where flow is handed off and where things can go wrong.</w:t>
      </w:r>
    </w:p>
    <w:p>
      <w:r>
        <w:t>There are four. The left ventricle drives blood into the arteries (Interface I), and how well it does so depends on the match between contractility and arterial load, the idea captured by ventriculo-arterial coupling. The arterioles hand off to the capillaries (Interface II), where macrocirculation meets microcirculation and excessive tone can raise the tissue's critical closing pressure so that a normal-looking MAP still fails to perfuse. Blood then drains through the capillaries back toward the right atrium (Interface III), a step that depends entirely on the pressure gradient into the central veins. Finally the right ventricle sends blood through the lungs to the left atrium (Interface IV), where RV-PA coupling governs whether the left heart is adequately filled. Because the heart and great veins sit inside the chest, every breath ties Interfaces I, III, and IV together, which is why heart-lung interactions matter so much later on.</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assessing-shock-2024-version-with-voice_slide001_6c238a7c.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closed loop drawn as interfaces: the stressed volume of the venous reservoir generates MSFP, blood returns across the venous resistance to the right atrium (RAP), crosses the lungs (PVR) to the left heart, and is ejected against the arterial resistance (SVR) toward the critical closing pressure (Pcrit). The whole diagram sits inside the pleural space.Source: Assessing Shock deck, slide 9. Attribution to confirm.</w:t>
      </w:r>
    </w:p>
    <w:p>
      <w:r>
        <w:rPr>
          <w:i/>
          <w:color w:val="C0392B"/>
          <w:sz w:val="19"/>
        </w:rPr>
        <w:t>[Layout note: figure shown small here; on the web it is capped at ~520px wide. Say if you want it smaller/larger, moved, cropped, or replaced.]</w:t>
      </w:r>
    </w:p>
    <w:p>
      <w:pPr>
        <w:pStyle w:val="Heading2"/>
      </w:pPr>
      <w:r>
        <w:t>One equation behind every interface</w:t>
      </w:r>
    </w:p>
    <w:p>
      <w:r>
        <w:t>The reason this map is worth learning is that a single relationship governs each interface. Flow through any segment is driven by the pressure that falls across it, divided by the resistance it meets, which is the Hagen-Poiseuille law reduced to its clinical skeleton:</w:t>
      </w:r>
    </w:p>
    <w:p>
      <w:r>
        <w:rPr>
          <w:rFonts w:ascii="Consolas" w:hAnsi="Consolas"/>
          <w:sz w:val="21"/>
        </w:rPr>
        <w:t>P1 − P2 = CO × RThe pressure drop across any circuit equals cardiac output times the resistance of that circuit, assuming laminar flow through a non-distensible tube.</w:t>
      </w:r>
    </w:p>
    <w:p>
      <w:r>
        <w:t>Written out interface by interface, the same skeleton produces the pressure drops we measure at the bedside. On the arterial side the fall is from the MAP down to the critical closing pressure of the distal arterioles, not to zero and not to the right atrium, a subtlety worth naming because it is the downstream term Magder describes in his account of the highs and lows of blood pressure.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Circuit</w:t>
            </w:r>
          </w:p>
        </w:tc>
        <w:tc>
          <w:tcPr>
            <w:tcW w:type="dxa" w:w="2880"/>
          </w:tcPr>
          <w:p>
            <w:r>
              <w:rPr>
                <w:sz w:val="18"/>
              </w:rPr>
              <w:t>Upstream − downstream</w:t>
            </w:r>
          </w:p>
        </w:tc>
        <w:tc>
          <w:tcPr>
            <w:tcW w:type="dxa" w:w="2880"/>
          </w:tcPr>
          <w:p>
            <w:r>
              <w:rPr>
                <w:sz w:val="18"/>
              </w:rPr>
              <w:t>Resistance</w:t>
            </w:r>
          </w:p>
        </w:tc>
      </w:tr>
      <w:tr>
        <w:tc>
          <w:tcPr>
            <w:tcW w:type="dxa" w:w="2880"/>
          </w:tcPr>
          <w:p>
            <w:r>
              <w:rPr>
                <w:sz w:val="18"/>
              </w:rPr>
              <w:t>Arterial (Interface I to II)</w:t>
            </w:r>
          </w:p>
        </w:tc>
        <w:tc>
          <w:tcPr>
            <w:tcW w:type="dxa" w:w="2880"/>
          </w:tcPr>
          <w:p>
            <w:r>
              <w:rPr>
                <w:sz w:val="18"/>
              </w:rPr>
              <w:t>MAP − Pcrit</w:t>
            </w:r>
          </w:p>
        </w:tc>
        <w:tc>
          <w:tcPr>
            <w:tcW w:type="dxa" w:w="2880"/>
          </w:tcPr>
          <w:p>
            <w:r>
              <w:rPr>
                <w:sz w:val="18"/>
              </w:rPr>
              <w:t>SVR</w:t>
            </w:r>
          </w:p>
        </w:tc>
      </w:tr>
      <w:tr>
        <w:tc>
          <w:tcPr>
            <w:tcW w:type="dxa" w:w="2880"/>
          </w:tcPr>
          <w:p>
            <w:r>
              <w:rPr>
                <w:sz w:val="18"/>
              </w:rPr>
              <w:t>Venous return (Interface III)</w:t>
            </w:r>
          </w:p>
        </w:tc>
        <w:tc>
          <w:tcPr>
            <w:tcW w:type="dxa" w:w="2880"/>
          </w:tcPr>
          <w:p>
            <w:r>
              <w:rPr>
                <w:sz w:val="18"/>
              </w:rPr>
              <w:t>Pms − PRA</w:t>
            </w:r>
          </w:p>
        </w:tc>
        <w:tc>
          <w:tcPr>
            <w:tcW w:type="dxa" w:w="2880"/>
          </w:tcPr>
          <w:p>
            <w:r>
              <w:rPr>
                <w:sz w:val="18"/>
              </w:rPr>
              <w:t>Rv</w:t>
            </w:r>
          </w:p>
        </w:tc>
      </w:tr>
      <w:tr>
        <w:tc>
          <w:tcPr>
            <w:tcW w:type="dxa" w:w="2880"/>
          </w:tcPr>
          <w:p>
            <w:r>
              <w:rPr>
                <w:sz w:val="18"/>
              </w:rPr>
              <w:t>Pulmonary (Interface IV)</w:t>
            </w:r>
          </w:p>
        </w:tc>
        <w:tc>
          <w:tcPr>
            <w:tcW w:type="dxa" w:w="2880"/>
          </w:tcPr>
          <w:p>
            <w:r>
              <w:rPr>
                <w:sz w:val="18"/>
              </w:rPr>
              <w:t>mPAP − LAP</w:t>
            </w:r>
          </w:p>
        </w:tc>
        <w:tc>
          <w:tcPr>
            <w:tcW w:type="dxa" w:w="2880"/>
          </w:tcPr>
          <w:p>
            <w:r>
              <w:rPr>
                <w:sz w:val="18"/>
              </w:rPr>
              <w:t>PVR</w:t>
            </w:r>
          </w:p>
        </w:tc>
      </w:tr>
    </w:tbl>
    <w:p>
      <w:r>
        <w:t>Each row equals CO times its resistance, and the oxygen-delivery equation from the last module, DO2 = CO × CaO2, hangs on the very same multiplicative frame. Cardiac output is the common denominator running through all of them, which is exactly why the next module can lay the shock types out on a single grid.</w:t>
      </w:r>
    </w:p>
    <w:p>
      <w:pPr>
        <w:pStyle w:val="Heading2"/>
      </w:pPr>
      <w:r>
        <w:t>Why the loop is the point</w:t>
      </w:r>
    </w:p>
    <w:p>
      <w:r>
        <w:t>The loop is closed, so over any stretch of time the blood returning to the heart has to equal the blood the heart pumps out. Venous return and cardiac output are not two separate problems; they are two views of one balance, and a lasting mismatch is impossible: the heart can only eject what the veins deliver to it, and the veins can only return what the heart has forwarded. Hold onto that constraint, because the next module turns it into the single most useful picture in hemodynamics.</w:t>
      </w:r>
    </w:p>
    <w:p>
      <w:pPr>
        <w:pStyle w:val="Heading2"/>
      </w:pPr>
      <w:r>
        <w:t>The venous reservoir</w:t>
      </w:r>
    </w:p>
    <w:p>
      <w:r>
        <w:t>Here is the fact that reorganizes everything: most of the blood volume is not in the heart or the arteries, it is sitting in the veins. The venous system behaves like a large, compliant reservoir, and the blood in it comes in two functional flavors. Unstressed volume is the blood needed just to fill the vessels to their natural, unstretched shape, like the volume in a limp balloon; it fills the container but exerts no outward push and does nothing to drive flow back to the heart. Stressed volume is the additional blood that actually distends the vessel walls. That stretch creates an outward pressure, and the average of that pressure across the whole system is the mean systemic filling pressure (Pms, also written MSFP). Because so much volume is parked in high-capacitance veins, Pms is actually quite low, on the order of 8 to 10 mmHg.</w:t>
      </w:r>
    </w:p>
    <w:p>
      <w:r>
        <w:drawing>
          <wp:inline xmlns:a="http://schemas.openxmlformats.org/drawingml/2006/main" xmlns:pic="http://schemas.openxmlformats.org/drawingml/2006/picture">
            <wp:extent cx="2834640" cy="1634663"/>
            <wp:docPr id="2" name="Picture 2"/>
            <wp:cNvGraphicFramePr>
              <a:graphicFrameLocks noChangeAspect="1"/>
            </wp:cNvGraphicFramePr>
            <a:graphic>
              <a:graphicData uri="http://schemas.openxmlformats.org/drawingml/2006/picture">
                <pic:pic>
                  <pic:nvPicPr>
                    <pic:cNvPr id="0" name="hemodynamics-module-v2022-full_slide046_eb6b300b.png"/>
                    <pic:cNvPicPr/>
                  </pic:nvPicPr>
                  <pic:blipFill>
                    <a:blip r:embed="rId10"/>
                    <a:stretch>
                      <a:fillRect/>
                    </a:stretch>
                  </pic:blipFill>
                  <pic:spPr>
                    <a:xfrm>
                      <a:off x="0" y="0"/>
                      <a:ext cx="2834640" cy="1634663"/>
                    </a:xfrm>
                    <a:prstGeom prst="rect"/>
                  </pic:spPr>
                </pic:pic>
              </a:graphicData>
            </a:graphic>
          </wp:inline>
        </w:drawing>
      </w:r>
    </w:p>
    <w:p>
      <w:r>
        <w:rPr>
          <w:color w:val="777777"/>
          <w:sz w:val="19"/>
        </w:rPr>
        <w:t>Blood pumped from the heart fills a reservoir whose total volume and compliance set the split between unstressed and stressed volume. The distending pressure of the stressed volume is Pms, the upstream pressure that drives return to the right heart.Source: Hemodynamics v2022 deck, slide 46. Attribution to confirm.</w:t>
      </w:r>
    </w:p>
    <w:p>
      <w:r>
        <w:rPr>
          <w:i/>
          <w:color w:val="C0392B"/>
          <w:sz w:val="19"/>
        </w:rPr>
        <w:t>[Layout note: figure shown small here; on the web it is capped at ~520px wide. Say if you want it smaller/larger, moved, cropped, or replaced.]</w:t>
      </w:r>
    </w:p>
    <w:p>
      <w:pPr>
        <w:pStyle w:val="Heading2"/>
      </w:pPr>
      <w:r>
        <w:t>What sets Pms is volume and tone, not the heart</w:t>
      </w:r>
    </w:p>
    <w:p>
      <w:r>
        <w:t>A century-old experiment makes the point vividly. In the 1890s Bayliss and Starling briefly stopped a dog's heart; with flow arrested, the arterial and venous pressures collapsed toward each other and met at a single value, the mean systemic filling pressure. Restart the heart and the arterial side rises while the right atrial side falls, but the average, Pms, is unchanged. The lesson is that Pms does not depend on the left ventricle. It depends on only two things: the volume in the reservoir, which we change by giving or removing fluid, and the compliance or tone of the veins, which we change with sympathetic activity or vasoactive drugs. Adding fluid expands the stressed compartment and shifts Pms upward; a vasopressor with venular tropism decreases venous compliance and converts unstressed volume into stressed volume, raising the effective filling pressure without a drop of added fluid.</w:t>
      </w:r>
    </w:p>
    <w:p>
      <w:r>
        <w:rPr>
          <w:i/>
          <w:color w:val="9A6B00"/>
          <w:sz w:val="19"/>
        </w:rPr>
        <w:t>[Offshoot / At-the-Bedside link: At the bedside. This is why norepinephrine can help a vasodilated septic patient on two fronts at once. Squeezing the venous reservoir recruits unstressed into stressed volume and raises Pms, while the drug's beta-1 activity lends a modest inotropic lift, so venous return, contractility, and cardiac output can rise together even before a bag of fluid is hung.]</w:t>
      </w:r>
    </w:p>
    <w:p>
      <w:pPr>
        <w:pStyle w:val="Heading2"/>
      </w:pPr>
      <w:r>
        <w:t>Venous return is a pressure gradient</w:t>
      </w:r>
    </w:p>
    <w:p>
      <w:r>
        <w:t>With Pms defined, venous return becomes simple. Blood moves back to the heart down a pressure gradient, from the upstream reservoir (Pms) to the downstream right atrium (PRA), against the resistance of the venous circuit:</w:t>
      </w:r>
    </w:p>
    <w:p>
      <w:r>
        <w:rPr>
          <w:rFonts w:ascii="Consolas" w:hAnsi="Consolas"/>
          <w:sz w:val="21"/>
        </w:rPr>
        <w:t>Venous return = (Pms − PRA) ÷ RvHagen-Poiseuille applied to the venous limb: return flow is the filling-to-atrial gradient divided by the resistance to venous return.</w:t>
      </w:r>
    </w:p>
    <w:p>
      <w:r>
        <w:t>Read this and the failure modes jump out. Lose volume or venous tone and Pms falls, shrinking the gradient from the top. Let the right atrial pressure climb, whether from a failing right heart or from positive pleural pressure transmitted to the thin-walled right atrium, and the gradient shrinks from the bottom; the same rising PRA also acts as a back pressure on the tissues, so venous congestion is not just a filling number but an impediment to capillary drainage. Resistance matters too: most of it sits not in the countless small venules but in the great veins, so anything that narrows the cavae, such as raised intra-abdominal pressure, flattens the return curve and limits flow. Whichever term moves, because the loop is closed, output follows return. The next module puts this venous-return relationship on the same axes as the heart's own function curve and shows where the two settle.</w:t>
      </w:r>
    </w:p>
    <w:p>
      <w:r>
        <w:rPr>
          <w:i/>
        </w:rPr>
        <w:t>If venous return and cardiac output must balance, what sets each of them, and how do they settle on one operating point? Two curves make that concrete, and they are what finally explain the shock-type grid.</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Sylvester JT, Goldberg HS, Permutt S. The role of the vasculature in the regulation of cardiac output. Clin Chest Med. 1983 May;4(2):111-126.</w:t>
      </w:r>
    </w:p>
    <w:p>
      <w:pPr>
        <w:pStyle w:val="ListNumber"/>
      </w:pPr>
      <w:r>
        <w:rPr>
          <w:sz w:val="19"/>
        </w:rPr>
        <w:t>Rola P, Kattan E, Siuba MT, Haycock K, Crager S, Spiegel R, Hockstein M, Bhardwaj V, Miller A, Kenny JE, Ospina-Tascon GA, Hernandez G. Point of View: A Holistic Four-Interface Conceptual Model for Personalizing Shock Resuscitation. J Pers Med. 2025;15(5):207.</w:t>
      </w:r>
    </w:p>
    <w:p>
      <w:pPr>
        <w:pStyle w:val="ListNumber"/>
      </w:pPr>
      <w:r>
        <w:rPr>
          <w:sz w:val="19"/>
        </w:rPr>
        <w:t>Magder S. The highs and lows of blood pressure: toward meaningful clinical targets in patients with shock. Crit Care Med. 2014;42(5):1241-1251.</w:t>
      </w:r>
    </w:p>
    <w:p>
      <w:pPr>
        <w:pStyle w:val="ListNumber"/>
      </w:pPr>
      <w:r>
        <w:rPr>
          <w:sz w:val="19"/>
        </w:rPr>
        <w:t>Guyton AC, Hall JE. Textbook of Medical Physiology. 12th ed. Philadelphia: Saunders Elsevier; 2011.</w:t>
      </w:r>
    </w:p>
    <w:p>
      <w:pPr>
        <w:pStyle w:val="ListNumber"/>
      </w:pPr>
      <w:r>
        <w:rPr>
          <w:sz w:val="19"/>
        </w:rPr>
        <w:t>Hamzaoui O, Jozwiak M, Geffriaud T, Sztrymf B, Prat D, Jacobs F, Monnet X, Trouiller P, Richard C, Teboul JL. Norepinephrine exerts an inotropic effect during the early phase of human septic shock. Br J Anaesth. 2018;120(3):517-524.</w:t>
      </w:r>
    </w:p>
    <w:p>
      <w:pPr/>
      <w:r>
        <w:rPr>
          <w:color w:val="777777"/>
          <w:sz w:val="19"/>
        </w:rPr>
        <w:t>Figures imported from the source decks (slide cited on each caption); attribution to confirm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