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N6</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The ACT method</w:t>
      </w:r>
    </w:p>
    <w:p>
      <w:r>
        <w:t>We now have a way of thinking about the circulation, the closed loop with its interfaces and its two curves, and a way of reading it, the shock-type grid. The last step is to turn all of that into something you can actually do at the bedside, again and again, as the patient changes. That method is A.C.T.: a deliberate, repeatable loop that forces you to make sense of the data you already have, name what you think is wrong, and then prove it with a single number.</w:t>
      </w:r>
    </w:p>
    <w:p>
      <w:pPr>
        <w:pStyle w:val="ListBullet"/>
      </w:pPr>
      <w:r>
        <w:rPr>
          <w:b/>
        </w:rPr>
        <w:t xml:space="preserve">A - Assess: </w:t>
      </w:r>
      <w:r>
        <w:t>Gather and interpret what is already in front of you.</w:t>
      </w:r>
    </w:p>
    <w:p>
      <w:pPr>
        <w:pStyle w:val="ListBullet"/>
      </w:pPr>
      <w:r>
        <w:rPr>
          <w:b/>
        </w:rPr>
        <w:t xml:space="preserve">C - Create a hypothesis: </w:t>
      </w:r>
      <w:r>
        <w:t>Localize the failing point in the loop.</w:t>
      </w:r>
    </w:p>
    <w:p>
      <w:pPr>
        <w:pStyle w:val="ListBullet"/>
      </w:pPr>
      <w:r>
        <w:rPr>
          <w:b/>
        </w:rPr>
        <w:t xml:space="preserve">T - Test: </w:t>
      </w:r>
      <w:r>
        <w:t>Prove it with one measurable parameter.</w:t>
      </w:r>
    </w:p>
    <w:p>
      <w:r>
        <w:t>The thinking process is not novel; what makes it powerful is that it is conscious. Saying each step out loud is what moves you from the subconscious competence of an experienced clinician toward a process a learner can repeat and a whole team can follow, even when a case refuses to behave the way the textbook says it should.</w:t>
      </w:r>
    </w:p>
    <w:p>
      <w:pPr>
        <w:pStyle w:val="Heading2"/>
      </w:pPr>
      <w:r>
        <w:t>Before you A.C.T.: the B.U.S. gate</w:t>
      </w:r>
    </w:p>
    <w:p>
      <w:r>
        <w:t>A.C.T. is not something you run on every patient. The B.U.S. exam from earlier answers the two screening questions that decide whether the full workup is worth it: is shock present? and is the etiology obvious? If perfusion is failing and the cause is already clear, you simply treat. It is when shock is present but the type is not obvious, or when a patient you thought you understood is quietly worsening, that you commit to the Advanced Hemodynamic Evaluation and walk the loop. Put simply: walk into the room, take the B.U.S., and if it is positive and the shock type is unclear, A.C.T.</w:t>
      </w:r>
    </w:p>
    <w:p>
      <w:pPr>
        <w:pStyle w:val="Heading2"/>
      </w:pPr>
      <w:r>
        <w:t>Assess: start with the data you already have</w:t>
      </w:r>
    </w:p>
    <w:p>
      <w:r>
        <w:t>Assess is everything in front of you before you order anything new: the B.U.S. findings, the vital signs, the monitor, the trends, the labs, and the bedside echo. The only question is "what data do we have?" Take the deck's guiding case: a 79-year-old woman with abdominal pain and nausea, a history of atrial fibrillation and coronary disease, on warfarin and metoprolol, now with HR 120, BP 75/45 (MAP 65), clear lungs, and a soft but tender right lower quadrant. None of this is a diagnosis yet. It is the raw material the next two steps organize.</w:t>
      </w:r>
    </w:p>
    <w:p>
      <w:r>
        <w:drawing>
          <wp:inline xmlns:a="http://schemas.openxmlformats.org/drawingml/2006/main" xmlns:pic="http://schemas.openxmlformats.org/drawingml/2006/picture">
            <wp:extent cx="2834640" cy="1592707"/>
            <wp:docPr id="1" name="Picture 1"/>
            <wp:cNvGraphicFramePr>
              <a:graphicFrameLocks noChangeAspect="1"/>
            </wp:cNvGraphicFramePr>
            <a:graphic>
              <a:graphicData uri="http://schemas.openxmlformats.org/drawingml/2006/picture">
                <pic:pic>
                  <pic:nvPicPr>
                    <pic:cNvPr id="0" name="assessing-shock-2024-version-with-voice_slide018_b24b9ada.png"/>
                    <pic:cNvPicPr/>
                  </pic:nvPicPr>
                  <pic:blipFill>
                    <a:blip r:embed="rId9"/>
                    <a:stretch>
                      <a:fillRect/>
                    </a:stretch>
                  </pic:blipFill>
                  <pic:spPr>
                    <a:xfrm>
                      <a:off x="0" y="0"/>
                      <a:ext cx="2834640" cy="1592707"/>
                    </a:xfrm>
                    <a:prstGeom prst="rect"/>
                  </pic:spPr>
                </pic:pic>
              </a:graphicData>
            </a:graphic>
          </wp:inline>
        </w:drawing>
      </w:r>
    </w:p>
    <w:p>
      <w:r>
        <w:rPr>
          <w:color w:val="777777"/>
          <w:sz w:val="19"/>
        </w:rPr>
        <w:t>Assess begins with the patient already in front of you: the 79-year-old woman of the guiding case, HR 120, BP 75/45 (MAP 65), tender right lower quadrant. Everything here is data to be organized, not yet a diagnosis.Source: Assessing Shock deck, slide 18. Attribution to be confirmed - see the Graphics Follow-Up document.</w:t>
      </w:r>
    </w:p>
    <w:p>
      <w:r>
        <w:rPr>
          <w:i/>
          <w:color w:val="C0392B"/>
          <w:sz w:val="19"/>
        </w:rPr>
        <w:t>[Layout note: figure shown small here; on the web it is capped at ~520px wide. Say if you want it smaller/larger, moved, cropped, or replaced.]</w:t>
      </w:r>
    </w:p>
    <w:p>
      <w:pPr>
        <w:pStyle w:val="Heading2"/>
      </w:pPr>
      <w:r>
        <w:t>Create a hypothesis: localize the lesion in the loop</w:t>
      </w:r>
    </w:p>
    <w:p>
      <w:r>
        <w:t>This is where the last two modules pay off. Instead of reaching for a label, you go back to the graphs and the equations and ask where in the loop this circulation is failing. Draw the normal Guyton and Frank-Starling curves, shift them to match each candidate etiology, and read off what the grid should show.</w:t>
      </w:r>
    </w:p>
    <w:p>
      <w:r>
        <w:rPr>
          <w:rFonts w:ascii="Consolas" w:hAnsi="Consolas"/>
          <w:sz w:val="21"/>
        </w:rPr>
        <w:t>MAP - Pcrit = CO × SVR</w:t>
      </w:r>
      <w:r>
        <w:rPr>
          <w:rFonts w:ascii="Consolas" w:hAnsi="Consolas"/>
          <w:sz w:val="21"/>
        </w:rPr>
        <w:br/>
        <w:t>MSFP - RAP = CO × VR</w:t>
      </w:r>
      <w:r>
        <w:rPr>
          <w:rFonts w:ascii="Consolas" w:hAnsi="Consolas"/>
          <w:sz w:val="21"/>
        </w:rPr>
        <w:br/>
        <w:t>mPAP - LAP = CO × PVRThe three interface gradients. Each is a pressure difference driving flow against a resistance; read together they trace blood from the arterial side, through the venous reservoir, and across the lungs. In shock, the failing point shows up as a deranged term in one of these lines.</w:t>
      </w:r>
    </w:p>
    <w:p>
      <w:r>
        <w:t>Each interface has components you can measure, components you wish you could measure, and components that are calculated from the rest. The shock-type grid is simply the map from a suspected mechanism to the pattern of measurable values it should produce.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t>Shock type</w:t>
            </w:r>
          </w:p>
        </w:tc>
        <w:tc>
          <w:tcPr>
            <w:tcW w:type="dxa" w:w="1234"/>
          </w:tcPr>
          <w:p>
            <w:r>
              <w:rPr>
                <w:sz w:val="18"/>
              </w:rPr>
              <w:t>MAP</w:t>
            </w:r>
          </w:p>
        </w:tc>
        <w:tc>
          <w:tcPr>
            <w:tcW w:type="dxa" w:w="1234"/>
          </w:tcPr>
          <w:p>
            <w:r>
              <w:rPr>
                <w:sz w:val="18"/>
              </w:rPr>
              <w:t>CO</w:t>
            </w:r>
          </w:p>
        </w:tc>
        <w:tc>
          <w:tcPr>
            <w:tcW w:type="dxa" w:w="1234"/>
          </w:tcPr>
          <w:p>
            <w:r>
              <w:rPr>
                <w:sz w:val="18"/>
              </w:rPr>
              <w:t>RAP</w:t>
            </w:r>
          </w:p>
        </w:tc>
        <w:tc>
          <w:tcPr>
            <w:tcW w:type="dxa" w:w="1234"/>
          </w:tcPr>
          <w:p>
            <w:r>
              <w:rPr>
                <w:sz w:val="18"/>
              </w:rPr>
              <w:t>PAPm</w:t>
            </w:r>
          </w:p>
        </w:tc>
        <w:tc>
          <w:tcPr>
            <w:tcW w:type="dxa" w:w="1234"/>
          </w:tcPr>
          <w:p>
            <w:r>
              <w:rPr>
                <w:sz w:val="18"/>
              </w:rPr>
              <w:t>LAP</w:t>
            </w:r>
          </w:p>
        </w:tc>
        <w:tc>
          <w:tcPr>
            <w:tcW w:type="dxa" w:w="1234"/>
          </w:tcPr>
          <w:p>
            <w:r>
              <w:rPr>
                <w:sz w:val="18"/>
              </w:rPr>
              <w:t>SVR</w:t>
            </w:r>
          </w:p>
        </w:tc>
      </w:tr>
      <w:tr>
        <w:tc>
          <w:tcPr>
            <w:tcW w:type="dxa" w:w="1234"/>
          </w:tcPr>
          <w:p>
            <w:r>
              <w:rPr>
                <w:sz w:val="18"/>
              </w:rPr>
              <w:t>Cardiac (LV)</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Obstructive (RV)</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Distributive</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Hypovolemic</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bl>
    <w:p>
      <w:r>
        <w:t>For the 79-year-old woman, fever, abdominal pain, and age point first toward sepsis. Walk that across the curves: venous capacitance rises as small veins actively dilate, so stressed volume shifts to unstressed and the venous-return curve slides left, dropping CO at first; but the catecholamine response lifts the cardiac-function curve up and to the left, and dilation of the large veins with shunting into fast, low-resistance beds lowers venous resistance and augments return, restoring the slope. The net prediction for distributive shock is a low RAP with a normal-to-high cardiac output. That is a testable statement, not a hunch.</w:t>
      </w:r>
    </w:p>
    <w:p>
      <w:pPr>
        <w:pStyle w:val="Heading2"/>
      </w:pPr>
      <w:r>
        <w:t>Test: pick the one parameter that decides</w:t>
      </w:r>
    </w:p>
    <w:p>
      <w:r>
        <w:t>Test is the discipline that turns a guess into a method. Of the six columns in the grid, MAP is low in every shock state, and mPAP and LAP usually require invasive measurement or advanced echo, so the Advanced Hemodynamic Evaluation trims the grid to the three things you can characterize at almost any bedside, an approach worth naming as Tone, Filling, and Flow.</w:t>
      </w:r>
    </w:p>
    <w:p>
      <w:pPr>
        <w:pStyle w:val="ListBullet"/>
      </w:pPr>
      <w:r>
        <w:rPr>
          <w:b/>
        </w:rPr>
        <w:t xml:space="preserve">SVR - Tone: </w:t>
      </w:r>
      <w:r>
        <w:t>Diastolic pressure, skin temperature, mottling. Is the vasculature clamped down or wide open?</w:t>
      </w:r>
    </w:p>
    <w:p>
      <w:pPr>
        <w:pStyle w:val="ListBullet"/>
      </w:pPr>
      <w:r>
        <w:rPr>
          <w:b/>
        </w:rPr>
        <w:t xml:space="preserve">RAP - Filling: </w:t>
      </w:r>
      <w:r>
        <w:t>JVD, IVC, CVP. How full is the venous reservoir the heart is drawing from?</w:t>
      </w:r>
    </w:p>
    <w:p>
      <w:pPr>
        <w:pStyle w:val="ListBullet"/>
      </w:pPr>
      <w:r>
        <w:rPr>
          <w:b/>
        </w:rPr>
        <w:t xml:space="preserve">CO - Flow: </w:t>
      </w:r>
      <w:r>
        <w:t>Echo VTI, thermodilution, or Fick. How much blood is actually moving?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Shock type</w:t>
            </w:r>
          </w:p>
        </w:tc>
        <w:tc>
          <w:tcPr>
            <w:tcW w:type="dxa" w:w="2160"/>
          </w:tcPr>
          <w:p>
            <w:r>
              <w:rPr>
                <w:sz w:val="18"/>
              </w:rPr>
              <w:t>Tone (SVR)</w:t>
            </w:r>
          </w:p>
        </w:tc>
        <w:tc>
          <w:tcPr>
            <w:tcW w:type="dxa" w:w="2160"/>
          </w:tcPr>
          <w:p>
            <w:r>
              <w:rPr>
                <w:sz w:val="18"/>
              </w:rPr>
              <w:t>Filling (RAP)</w:t>
            </w:r>
          </w:p>
        </w:tc>
        <w:tc>
          <w:tcPr>
            <w:tcW w:type="dxa" w:w="2160"/>
          </w:tcPr>
          <w:p>
            <w:r>
              <w:rPr>
                <w:sz w:val="18"/>
              </w:rPr>
              <w:t>Flow (CO)</w:t>
            </w:r>
          </w:p>
        </w:tc>
      </w:tr>
      <w:tr>
        <w:tc>
          <w:tcPr>
            <w:tcW w:type="dxa" w:w="2160"/>
          </w:tcPr>
          <w:p>
            <w:r>
              <w:rPr>
                <w:sz w:val="18"/>
              </w:rPr>
              <w:t>Cardiac (LV)</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Obstructive (RV)</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Distributive</w:t>
            </w:r>
          </w:p>
        </w:tc>
        <w:tc>
          <w:tcPr>
            <w:tcW w:type="dxa" w:w="2160"/>
          </w:tcPr>
          <w:p>
            <w:r>
              <w:rPr>
                <w:sz w:val="18"/>
              </w:rPr>
              <w:t>↓</w:t>
            </w:r>
          </w:p>
        </w:tc>
        <w:tc>
          <w:tcPr>
            <w:tcW w:type="dxa" w:w="2160"/>
          </w:tcPr>
          <w:p>
            <w:r>
              <w:rPr>
                <w:sz w:val="18"/>
              </w:rPr>
              <w:t>↓</w:t>
            </w:r>
          </w:p>
        </w:tc>
        <w:tc>
          <w:tcPr>
            <w:tcW w:type="dxa" w:w="2160"/>
          </w:tcPr>
          <w:p>
            <w:r>
              <w:rPr>
                <w:sz w:val="18"/>
              </w:rPr>
              <w:t>↔/↑</w:t>
            </w:r>
          </w:p>
        </w:tc>
      </w:tr>
      <w:tr>
        <w:tc>
          <w:tcPr>
            <w:tcW w:type="dxa" w:w="2160"/>
          </w:tcPr>
          <w:p>
            <w:r>
              <w:rPr>
                <w:sz w:val="18"/>
              </w:rPr>
              <w:t>Hypovolemic</w:t>
            </w:r>
          </w:p>
        </w:tc>
        <w:tc>
          <w:tcPr>
            <w:tcW w:type="dxa" w:w="2160"/>
          </w:tcPr>
          <w:p>
            <w:r>
              <w:rPr>
                <w:sz w:val="18"/>
              </w:rPr>
              <w:t>↑</w:t>
            </w:r>
          </w:p>
        </w:tc>
        <w:tc>
          <w:tcPr>
            <w:tcW w:type="dxa" w:w="2160"/>
          </w:tcPr>
          <w:p>
            <w:r>
              <w:rPr>
                <w:sz w:val="18"/>
              </w:rPr>
              <w:t>↓</w:t>
            </w:r>
          </w:p>
        </w:tc>
        <w:tc>
          <w:tcPr>
            <w:tcW w:type="dxa" w:w="2160"/>
          </w:tcPr>
          <w:p>
            <w:r>
              <w:rPr>
                <w:sz w:val="18"/>
              </w:rPr>
              <w:t>↓</w:t>
            </w:r>
          </w:p>
        </w:tc>
      </w:tr>
    </w:tbl>
    <w:p>
      <w:r>
        <w:t>The key move is narrower than "measure everything." Before you act, look across the row of your working hypothesis and the rows you want to rule out, and commit to the single parameter that separates them. For the septic hypothesis, a low RAP would narrow things to distributive or hypovolemic, but cardiac output is better still: it is the one variable that distinguishes distributive shock from every other type. So you go and measure the CO, and in the case it comes back at 4 L/min.</w:t>
      </w:r>
    </w:p>
    <w:p>
      <w:r>
        <w:t>Whatever tool you reach for, respect its limits. Echo VTI, thermodilution, and Fick will not always agree; thermodilution and Fick show relatively poor agreement whether cardiac output is preserved or depressed, and even in severe tricuspid regurgitation. The number is a piece of evidence, not a verdict, which is exactly why the loop does not end here.</w:t>
      </w:r>
    </w:p>
    <w:p>
      <w:r>
        <w:rPr>
          <w:i/>
          <w:color w:val="9A6B00"/>
          <w:sz w:val="19"/>
        </w:rPr>
        <w:t>[Offshoot / At-the-Bedside link: At the Bedside]</w:t>
      </w:r>
    </w:p>
    <w:p>
      <w:r>
        <w:t>A quick way to frame Assess and Create before you dig into the equations is to place the patient on a warm-or-cold by wet-or-dry map, using flow surrogates (LVOT VTI, pulse) and congestion markers (JVD, IVC, VExUS). Two patients with the same MAP can sit in different quadrants with opposite treatment priorities, which is the whole warning against treating shock by pressure alone. It is a snapshot to organize thinking, not a substitute for the interface-by-interface look that Test demands.</w:t>
      </w:r>
    </w:p>
    <w:p>
      <w:pPr>
        <w:pStyle w:val="Heading2"/>
      </w:pPr>
      <w:r>
        <w:t>A.C.T. is a loop, not a checklist</w:t>
      </w:r>
    </w:p>
    <w:p>
      <w:r>
        <w:t>When the cardiac output returns low, it becomes new data, and it feeds straight back into Assess. In the case, a CO of 4 L/min refutes the septic hypothesis outright. You are not done; you reassess. New history surfaces, a recent fall at home while anticoagulated, and the differential collapses to cardiogenic or obstructive versus hypovolemic. Both of those show a low CO, so cardiac output no longer discriminates; now it is RAP that does, high when the heart is the problem and low when volume is, so the next turn of the loop tests filling. The loop keeps turning as the patient evolves. That is the whole method: not a script, but the habit of always knowing which number you are about to change, and why.</w:t>
      </w:r>
    </w:p>
    <w:p>
      <w:r>
        <w:rPr>
          <w:i/>
        </w:rPr>
        <w:t>Most of A.C.T. can be run with your eyes, your hands, and a bedside echo. Some patients, though, need the filling and flow numbers that only a pulmonary artery catheter can give directly, which is where we go next.</w:t>
      </w:r>
    </w:p>
    <w:p>
      <w:r>
        <w:rPr>
          <w:i/>
          <w:color w:val="9A6B00"/>
          <w:sz w:val="19"/>
        </w:rPr>
        <w:t>[FIGURE PLACEHOLDER - to import at build: Figure placeholder · the A.C.T. schematic, Assess to Create a hypothesis to Test and back to Assess, drawn as an iterative loop.Built as a vector (.emf) graphic in the Assessing Shock deck, slides 17 and 26; export a static raster during the N6 build. Logged in the Graphics Follow-Up document.]</w:t>
      </w:r>
    </w:p>
    <w:p>
      <w:pPr/>
    </w:p>
    <w:p>
      <w:pPr>
        <w:pStyle w:val="Heading2"/>
      </w:pPr>
      <w:r>
        <w:rPr>
          <w:sz w:val="19"/>
        </w:rPr>
        <w:t>References</w:t>
      </w:r>
    </w:p>
    <w:p>
      <w:pPr/>
      <w:r>
        <w:rPr>
          <w:i/>
          <w:color w:val="C0392B"/>
          <w:sz w:val="19"/>
        </w:rPr>
        <w:t>[Citations are editable: correct authors, years, journals, or page ranges directly, add a missing source, or flag one you want checked. These mirror the reference list at the foot of the web page.]</w:t>
      </w:r>
    </w:p>
    <w:p>
      <w:pPr>
        <w:pStyle w:val="ListNumber"/>
      </w:pPr>
      <w:r>
        <w:rPr>
          <w:sz w:val="19"/>
        </w:rPr>
        <w:t>Assessing Shock at the Bedside (HemoSim teaching deck; Kattan E, Hernandez G, et al.). A.C.T. method, the Advanced Hemodynamic Evaluation (Tone/Filling/Flow), the shock-type grid, and the worked 79-year-old case (slides 16-27, 51).</w:t>
      </w:r>
    </w:p>
    <w:p>
      <w:pPr>
        <w:pStyle w:val="ListNumber"/>
      </w:pPr>
      <w:r>
        <w:rPr>
          <w:sz w:val="19"/>
        </w:rPr>
        <w:t>Comparison of cardiac output measured by thermodilution and the Fick method: relatively poor agreement regardless of whether output is preserved or depressed, and in the presence or absence of severe tricuspid regurgitation. Am J Respir Crit Care Med. 1999;160(2):535-541.</w:t>
      </w:r>
    </w:p>
    <w:p>
      <w:pPr>
        <w:pStyle w:val="ListNumber"/>
      </w:pPr>
      <w:r>
        <w:rPr>
          <w:sz w:val="19"/>
        </w:rPr>
        <w:t>Rola P, Kattan E, Siuba MT, Haycock K, Crager S, Spiegel R, Hockstein M, Bhardwaj V, Miller A, Kenny JE, Ospina-Tascon GA, Hernandez G. Point of View: A Holistic Four-Interface Conceptual Model for Personalizing Shock Resuscitation. J Pers Med. 2025;15(5):207. doi:10.3390/jpm15050207.</w:t>
      </w:r>
    </w:p>
    <w:p>
      <w:pPr>
        <w:pStyle w:val="ListNumber"/>
      </w:pPr>
      <w:r>
        <w:rPr>
          <w:sz w:val="19"/>
        </w:rPr>
        <w:t>Forrester JS, Diamond GA, Swan HJC. Medical therapy of acute myocardial infarction by application of hemodynamic subsets. N Engl J Med. 1976 (original Forrester hemodynamic-quadrant diagram; adapted for critical care by Kenny et al.).</w:t>
      </w:r>
    </w:p>
    <w:p>
      <w:pPr>
        <w:pStyle w:val="ListNumber"/>
      </w:pPr>
      <w:r>
        <w:rPr>
          <w:sz w:val="19"/>
        </w:rPr>
        <w:t>Magder S. Right atrial pressure interpretation and volume responsiveness. J Intensive Care Med. 2007;22:44-51.</w:t>
      </w:r>
    </w:p>
    <w:p>
      <w:pPr/>
      <w:r>
        <w:rPr>
          <w:color w:val="777777"/>
          <w:sz w:val="19"/>
        </w:rPr>
        <w:t>Figures imported from the source decks (slide cited on each caption); attribution to confirm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