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N7-Topic4-CardiacOutput</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pPr>
        <w:pStyle w:val="Heading1"/>
      </w:pPr>
      <w:r>
        <w:t>Cardiac output measurement</w:t>
      </w:r>
    </w:p>
    <w:p>
      <w:r>
        <w:t>The catheter measures cardiac output two ways, and each has conditions that break it. Knowing which to trust is the last piece of using the catheter well.</w:t>
      </w:r>
    </w:p>
    <w:p>
      <w:pPr>
        <w:pStyle w:val="Heading2"/>
      </w:pPr>
      <w:r>
        <w:t>Thermodilution, the bedside workhorse</w:t>
      </w:r>
    </w:p>
    <w:p>
      <w:r>
        <w:t>A cold bolus goes in the proximal (blue) port, mixes in the right heart, and the thermistor at the tip records how fast the blood temperature returns to baseline. Output is inversely proportional to the area under that temperature curve: a high output sweeps the bolus past quickly and gives an early, sharp, small curve, while a low output gives a broad, lazy curve. Read at end-expiration, average three that agree within about 15 percent, and expect roughly 10 percent variation run to run even in a stable patient.</w:t>
      </w:r>
    </w:p>
    <w:p>
      <w:r>
        <w:t>Technique drives the error. The single largest source of scatter is inconsistent injectate volume and speed, followed by injectate temperature and catheter position. Two conditions break it outright: an intracardiac shunt, which lets injectate leave the circuit, and severe tricuspid regurgitation, which recirculates it. A smaller-than-set volume or a too-warm injectate reads falsely high; a larger volume or tricuspid regurgitation reads falsely low.</w:t>
      </w:r>
    </w:p>
    <w:p>
      <w:pPr>
        <w:pStyle w:val="Heading2"/>
      </w:pPr>
      <w:r>
        <w:t>The Fick principle</w:t>
      </w:r>
    </w:p>
    <w:p>
      <w:r>
        <w:t>Fick reasons backward from oxygen: consumption equals output times the arteriovenous oxygen content difference, so if you know the oxygen used and the oxygen in and out, you know the flow.</w:t>
      </w:r>
    </w:p>
    <w:p>
      <w:r>
        <w:rPr>
          <w:rFonts w:ascii="Consolas" w:hAnsi="Consolas"/>
          <w:sz w:val="21"/>
        </w:rPr>
        <w:t>CO = VO2 ÷ (CaO2 − CvO2)</w:t>
      </w:r>
      <w:r>
        <w:rPr>
          <w:rFonts w:ascii="Consolas" w:hAnsi="Consolas"/>
          <w:sz w:val="21"/>
        </w:rPr>
        <w:br/>
        <w:t>CaO2 = 1.34 × Hb × SaO2  (+ 0.003 × PaO2)</w:t>
      </w:r>
      <w:r>
        <w:rPr>
          <w:rFonts w:ascii="Consolas" w:hAnsi="Consolas"/>
          <w:sz w:val="21"/>
        </w:rPr>
        <w:br/>
        <w:t>VO2 estimated = 125 × BSA  (about 250 mL/min)</w:t>
      </w:r>
    </w:p>
    <w:p>
      <w:r>
        <w:t>Direct Fick, with a measured oxygen consumption, is the true gold standard and runs about plus or minus 8 percent. Indirect Fick estimates VO2 from a nomogram, and that is its weakness: assuming a basal VO2 underestimates output in a hypermetabolic patient, while pulmonary oxygen consumption (as in pneumonia) or a narrow A-V difference in high-output states inflates the error, and a shunt corrupts the content values independent of flow.</w:t>
      </w:r>
    </w:p>
    <w:p>
      <w:pPr>
        <w:pStyle w:val="Heading2"/>
      </w:pPr>
      <w:r>
        <w:t>Mixed venous oxygen saturation</w:t>
      </w:r>
    </w:p>
    <w:p>
      <w:r>
        <w:t>The distal port also lets you draw a mixed venous oxygen saturation, the blended saturation of all venous return and one of the best single markers of whether delivery is meeting demand. A low SvO2 points to inadequate delivery (low output, anemia, hypoxemia) or high extraction; a high SvO2 can mean too much delivery or too little demand, but in sepsis it can be falsely reassuring from microvascular shunting, and in cyanide toxicity from cells that cannot use the oxygen. When thermodilution is unreliable (tricuspid regurgitation or a shunt), the mixed venous saturation and Fick are the way to estimate output.</w:t>
      </w:r>
    </w:p>
    <w:p>
      <w:r>
        <w:rPr>
          <w:i/>
          <w:color w:val="9A6B00"/>
          <w:sz w:val="19"/>
        </w:rPr>
        <w:t>[FIGURE PLACEHOLDER - to import at build: Figure placeholder · thermodilution washout curves (high vs low output) beside the Fick equationImport from PAC-based cardiac output deck (thermodilution curves) + PAC Modules deck slides 91-101 at build.]</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PAC Modules deck (Patrick Lindsay) · PA Catheter Topic 4 question bank · sim-day mastery checklist. Supporting decks: Arunachalam PAC, PAC-based cardiac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