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2"/>
        </w:rPr>
        <w:t>ENGINEERING GUIDEBOOK</w:t>
      </w:r>
    </w:p>
    <w:p>
      <w:pPr>
        <w:spacing w:after="160"/>
        <w:jc w:val="center"/>
      </w:pPr>
      <w:r>
        <w:rPr>
          <w:rFonts w:ascii="Calibri" w:hAnsi="Calibri"/>
          <w:b/>
          <w:color w:val="1F4D78"/>
          <w:sz w:val="56"/>
        </w:rPr>
        <w:t>Enterprise Sales Intelligence Platform</w:t>
      </w:r>
    </w:p>
    <w:p>
      <w:pPr>
        <w:spacing w:after="920"/>
        <w:jc w:val="center"/>
      </w:pPr>
      <w:r>
        <w:rPr>
          <w:rFonts w:ascii="Calibri" w:hAnsi="Calibri"/>
          <w:b w:val="0"/>
          <w:color w:val="595959"/>
          <w:sz w:val="30"/>
        </w:rPr>
        <w:t>ESIP - Data Integration Foundation</w:t>
      </w:r>
    </w:p>
    <w:p>
      <w:pPr>
        <w:jc w:val="center"/>
      </w:pPr>
      <w:r>
        <w:rPr>
          <w:rFonts w:ascii="Calibri" w:hAnsi="Calibri"/>
          <w:b/>
          <w:color w:val="1F4D78"/>
          <w:sz w:val="24"/>
        </w:rPr>
        <w:t>Version 0.2 | Living Document</w:t>
      </w:r>
    </w:p>
    <w:p>
      <w:pPr>
        <w:jc w:val="center"/>
      </w:pPr>
      <w:r>
        <w:rPr>
          <w:rFonts w:ascii="Calibri" w:hAnsi="Calibri"/>
          <w:b w:val="0"/>
          <w:color w:val="595959"/>
          <w:sz w:val="20"/>
        </w:rPr>
        <w:t>Window Asia Public Company Limited</w:t>
        <w:br/>
        <w:t>22 July 2026</w:t>
      </w:r>
    </w:p>
    <w:p>
      <w:r>
        <w:br w:type="page"/>
      </w:r>
    </w:p>
    <w:p>
      <w:pPr>
        <w:pStyle w:val="Heading1"/>
      </w:pPr>
      <w:r>
        <w:t>Document control</w:t>
      </w:r>
    </w:p>
    <w:tbl>
      <w:tblPr>
        <w:tblW w:type="auto" w:w="0"/>
        <w:jc w:val="left"/>
        <w:tblLayout w:type="fixed"/>
        <w:tblLook w:firstColumn="1" w:firstRow="1" w:lastColumn="0" w:lastRow="0" w:noHBand="0" w:noVBand="1" w:val="04A0"/>
      </w:tblPr>
      <w:tblGrid>
        <w:gridCol w:w="4680"/>
        <w:gridCol w:w="4680"/>
      </w:tblGrid>
      <w:tr>
        <w:tc>
          <w:tcPr>
            <w:tcW w:type="dxa" w:w="2520"/>
            <w:shd w:fill="E8EEF5"/>
            <w:vAlign w:val="center"/>
            <w:tcMar>
              <w:top w:w="80" w:type="dxa"/>
              <w:bottom w:w="80" w:type="dxa"/>
              <w:start w:w="120" w:type="dxa"/>
              <w:end w:w="120" w:type="dxa"/>
            </w:tcMar>
          </w:tcPr>
          <w:p>
            <w:pPr>
              <w:spacing w:after="0"/>
            </w:pPr>
            <w:r>
              <w:rPr>
                <w:rFonts w:ascii="Calibri" w:hAnsi="Calibri"/>
                <w:b/>
                <w:color w:val="1F4D78"/>
                <w:sz w:val="18"/>
              </w:rPr>
              <w:t>Field</w:t>
            </w:r>
          </w:p>
        </w:tc>
        <w:tc>
          <w:tcPr>
            <w:tcW w:type="dxa" w:w="6840"/>
            <w:shd w:fill="E8EEF5"/>
            <w:vAlign w:val="center"/>
            <w:tcMar>
              <w:top w:w="80" w:type="dxa"/>
              <w:bottom w:w="80" w:type="dxa"/>
              <w:start w:w="120" w:type="dxa"/>
              <w:end w:w="120" w:type="dxa"/>
            </w:tcMar>
          </w:tcPr>
          <w:p>
            <w:pPr>
              <w:spacing w:after="0"/>
            </w:pPr>
            <w:r>
              <w:rPr>
                <w:rFonts w:ascii="Calibri" w:hAnsi="Calibri"/>
                <w:b/>
                <w:color w:val="1F4D78"/>
                <w:sz w:val="18"/>
              </w:rPr>
              <w:t>Value</w:t>
            </w:r>
          </w:p>
        </w:tc>
      </w:tr>
      <w:tr>
        <w:tc>
          <w:tcPr>
            <w:tcW w:type="dxa" w:w="2520"/>
            <w:vAlign w:val="center"/>
            <w:tcMar>
              <w:top w:w="80" w:type="dxa"/>
              <w:bottom w:w="80" w:type="dxa"/>
              <w:start w:w="120" w:type="dxa"/>
              <w:end w:w="120" w:type="dxa"/>
            </w:tcMar>
          </w:tcPr>
          <w:p>
            <w:pPr>
              <w:spacing w:after="0"/>
            </w:pPr>
            <w:r>
              <w:rPr>
                <w:rFonts w:ascii="Calibri" w:hAnsi="Calibri"/>
                <w:b w:val="0"/>
                <w:sz w:val="18"/>
              </w:rPr>
              <w:t>Document</w:t>
            </w:r>
          </w:p>
        </w:tc>
        <w:tc>
          <w:tcPr>
            <w:tcW w:type="dxa" w:w="6840"/>
            <w:vAlign w:val="center"/>
            <w:tcMar>
              <w:top w:w="80" w:type="dxa"/>
              <w:bottom w:w="80" w:type="dxa"/>
              <w:start w:w="120" w:type="dxa"/>
              <w:end w:w="120" w:type="dxa"/>
            </w:tcMar>
          </w:tcPr>
          <w:p>
            <w:pPr>
              <w:spacing w:after="0"/>
            </w:pPr>
            <w:r>
              <w:rPr>
                <w:rFonts w:ascii="Calibri" w:hAnsi="Calibri"/>
                <w:b w:val="0"/>
                <w:sz w:val="18"/>
              </w:rPr>
              <w:t>ESIP Engineering Guidebook</w:t>
            </w:r>
          </w:p>
        </w:tc>
      </w:tr>
      <w:tr>
        <w:tc>
          <w:tcPr>
            <w:tcW w:type="dxa" w:w="2520"/>
            <w:vAlign w:val="center"/>
            <w:tcMar>
              <w:top w:w="80" w:type="dxa"/>
              <w:bottom w:w="80" w:type="dxa"/>
              <w:start w:w="120" w:type="dxa"/>
              <w:end w:w="120" w:type="dxa"/>
            </w:tcMar>
          </w:tcPr>
          <w:p>
            <w:pPr>
              <w:spacing w:after="0"/>
            </w:pPr>
            <w:r>
              <w:rPr>
                <w:rFonts w:ascii="Calibri" w:hAnsi="Calibri"/>
                <w:b w:val="0"/>
                <w:sz w:val="18"/>
              </w:rPr>
              <w:t>Version</w:t>
            </w:r>
          </w:p>
        </w:tc>
        <w:tc>
          <w:tcPr>
            <w:tcW w:type="dxa" w:w="6840"/>
            <w:vAlign w:val="center"/>
            <w:tcMar>
              <w:top w:w="80" w:type="dxa"/>
              <w:bottom w:w="80" w:type="dxa"/>
              <w:start w:w="120" w:type="dxa"/>
              <w:end w:w="120" w:type="dxa"/>
            </w:tcMar>
          </w:tcPr>
          <w:p>
            <w:pPr>
              <w:spacing w:after="0"/>
            </w:pPr>
            <w:r>
              <w:rPr>
                <w:rFonts w:ascii="Calibri" w:hAnsi="Calibri"/>
                <w:b w:val="0"/>
                <w:sz w:val="18"/>
              </w:rPr>
              <w:t>0.2</w:t>
            </w:r>
          </w:p>
        </w:tc>
      </w:tr>
      <w:tr>
        <w:tc>
          <w:tcPr>
            <w:tcW w:type="dxa" w:w="2520"/>
            <w:vAlign w:val="center"/>
            <w:tcMar>
              <w:top w:w="80" w:type="dxa"/>
              <w:bottom w:w="80" w:type="dxa"/>
              <w:start w:w="120" w:type="dxa"/>
              <w:end w:w="120" w:type="dxa"/>
            </w:tcMar>
          </w:tcPr>
          <w:p>
            <w:pPr>
              <w:spacing w:after="0"/>
            </w:pPr>
            <w:r>
              <w:rPr>
                <w:rFonts w:ascii="Calibri" w:hAnsi="Calibri"/>
                <w:b w:val="0"/>
                <w:sz w:val="18"/>
              </w:rPr>
              <w:t>Status</w:t>
            </w:r>
          </w:p>
        </w:tc>
        <w:tc>
          <w:tcPr>
            <w:tcW w:type="dxa" w:w="6840"/>
            <w:vAlign w:val="center"/>
            <w:tcMar>
              <w:top w:w="80" w:type="dxa"/>
              <w:bottom w:w="80" w:type="dxa"/>
              <w:start w:w="120" w:type="dxa"/>
              <w:end w:w="120" w:type="dxa"/>
            </w:tcMar>
          </w:tcPr>
          <w:p>
            <w:pPr>
              <w:spacing w:after="0"/>
            </w:pPr>
            <w:r>
              <w:rPr>
                <w:rFonts w:ascii="Calibri" w:hAnsi="Calibri"/>
                <w:b w:val="0"/>
                <w:sz w:val="18"/>
              </w:rPr>
              <w:t>Living Document - Sprint 0</w:t>
            </w:r>
          </w:p>
        </w:tc>
      </w:tr>
      <w:tr>
        <w:tc>
          <w:tcPr>
            <w:tcW w:type="dxa" w:w="2520"/>
            <w:vAlign w:val="center"/>
            <w:tcMar>
              <w:top w:w="80" w:type="dxa"/>
              <w:bottom w:w="80" w:type="dxa"/>
              <w:start w:w="120" w:type="dxa"/>
              <w:end w:w="120" w:type="dxa"/>
            </w:tcMar>
          </w:tcPr>
          <w:p>
            <w:pPr>
              <w:spacing w:after="0"/>
            </w:pPr>
            <w:r>
              <w:rPr>
                <w:rFonts w:ascii="Calibri" w:hAnsi="Calibri"/>
                <w:b w:val="0"/>
                <w:sz w:val="18"/>
              </w:rPr>
              <w:t>Owner</w:t>
            </w:r>
          </w:p>
        </w:tc>
        <w:tc>
          <w:tcPr>
            <w:tcW w:type="dxa" w:w="6840"/>
            <w:vAlign w:val="center"/>
            <w:tcMar>
              <w:top w:w="80" w:type="dxa"/>
              <w:bottom w:w="80" w:type="dxa"/>
              <w:start w:w="120" w:type="dxa"/>
              <w:end w:w="120" w:type="dxa"/>
            </w:tcMar>
          </w:tcPr>
          <w:p>
            <w:pPr>
              <w:spacing w:after="0"/>
            </w:pPr>
            <w:r>
              <w:rPr>
                <w:rFonts w:ascii="Calibri" w:hAnsi="Calibri"/>
                <w:b w:val="0"/>
                <w:sz w:val="18"/>
              </w:rPr>
              <w:t>Window Asia Public Company Limited</w:t>
            </w:r>
          </w:p>
        </w:tc>
      </w:tr>
      <w:tr>
        <w:tc>
          <w:tcPr>
            <w:tcW w:type="dxa" w:w="2520"/>
            <w:vAlign w:val="center"/>
            <w:tcMar>
              <w:top w:w="80" w:type="dxa"/>
              <w:bottom w:w="80" w:type="dxa"/>
              <w:start w:w="120" w:type="dxa"/>
              <w:end w:w="120" w:type="dxa"/>
            </w:tcMar>
          </w:tcPr>
          <w:p>
            <w:pPr>
              <w:spacing w:after="0"/>
            </w:pPr>
            <w:r>
              <w:rPr>
                <w:rFonts w:ascii="Calibri" w:hAnsi="Calibri"/>
                <w:b w:val="0"/>
                <w:sz w:val="18"/>
              </w:rPr>
              <w:t>Primary audience</w:t>
            </w:r>
          </w:p>
        </w:tc>
        <w:tc>
          <w:tcPr>
            <w:tcW w:type="dxa" w:w="6840"/>
            <w:vAlign w:val="center"/>
            <w:tcMar>
              <w:top w:w="80" w:type="dxa"/>
              <w:bottom w:w="80" w:type="dxa"/>
              <w:start w:w="120" w:type="dxa"/>
              <w:end w:w="120" w:type="dxa"/>
            </w:tcMar>
          </w:tcPr>
          <w:p>
            <w:pPr>
              <w:spacing w:after="0"/>
            </w:pPr>
            <w:r>
              <w:rPr>
                <w:rFonts w:ascii="Calibri" w:hAnsi="Calibri"/>
                <w:b w:val="0"/>
                <w:sz w:val="18"/>
              </w:rPr>
              <w:t>Project owner, business, data engineers, developers, QA, and AI assistants</w:t>
            </w:r>
          </w:p>
        </w:tc>
      </w:tr>
    </w:tbl>
    <w:p>
      <w:pPr>
        <w:spacing w:after="0"/>
      </w:pPr>
    </w:p>
    <w:p>
      <w:pPr>
        <w:pStyle w:val="Heading2"/>
      </w:pPr>
      <w:r>
        <w:t>Revision history</w:t>
      </w:r>
    </w:p>
    <w:tbl>
      <w:tblPr>
        <w:tblW w:type="auto" w:w="0"/>
        <w:jc w:val="left"/>
        <w:tblLayout w:type="fixed"/>
        <w:tblLook w:firstColumn="1" w:firstRow="1" w:lastColumn="0" w:lastRow="0" w:noHBand="0" w:noVBand="1" w:val="04A0"/>
      </w:tblPr>
      <w:tblGrid>
        <w:gridCol w:w="3120"/>
        <w:gridCol w:w="3120"/>
        <w:gridCol w:w="3120"/>
      </w:tblGrid>
      <w:tr>
        <w:tc>
          <w:tcPr>
            <w:tcW w:type="dxa" w:w="1152"/>
            <w:shd w:fill="E8EEF5"/>
            <w:vAlign w:val="center"/>
            <w:tcMar>
              <w:top w:w="80" w:type="dxa"/>
              <w:bottom w:w="80" w:type="dxa"/>
              <w:start w:w="120" w:type="dxa"/>
              <w:end w:w="120" w:type="dxa"/>
            </w:tcMar>
          </w:tcPr>
          <w:p>
            <w:pPr>
              <w:spacing w:after="0"/>
            </w:pPr>
            <w:r>
              <w:rPr>
                <w:rFonts w:ascii="Calibri" w:hAnsi="Calibri"/>
                <w:b/>
                <w:color w:val="1F4D78"/>
                <w:sz w:val="18"/>
              </w:rPr>
              <w:t>Version</w:t>
            </w:r>
          </w:p>
        </w:tc>
        <w:tc>
          <w:tcPr>
            <w:tcW w:type="dxa" w:w="1728"/>
            <w:shd w:fill="E8EEF5"/>
            <w:vAlign w:val="center"/>
            <w:tcMar>
              <w:top w:w="80" w:type="dxa"/>
              <w:bottom w:w="80" w:type="dxa"/>
              <w:start w:w="120" w:type="dxa"/>
              <w:end w:w="120" w:type="dxa"/>
            </w:tcMar>
          </w:tcPr>
          <w:p>
            <w:pPr>
              <w:spacing w:after="0"/>
            </w:pPr>
            <w:r>
              <w:rPr>
                <w:rFonts w:ascii="Calibri" w:hAnsi="Calibri"/>
                <w:b/>
                <w:color w:val="1F4D78"/>
                <w:sz w:val="18"/>
              </w:rPr>
              <w:t>Date</w:t>
            </w:r>
          </w:p>
        </w:tc>
        <w:tc>
          <w:tcPr>
            <w:tcW w:type="dxa" w:w="6480"/>
            <w:shd w:fill="E8EEF5"/>
            <w:vAlign w:val="center"/>
            <w:tcMar>
              <w:top w:w="80" w:type="dxa"/>
              <w:bottom w:w="80" w:type="dxa"/>
              <w:start w:w="120" w:type="dxa"/>
              <w:end w:w="120" w:type="dxa"/>
            </w:tcMar>
          </w:tcPr>
          <w:p>
            <w:pPr>
              <w:spacing w:after="0"/>
            </w:pPr>
            <w:r>
              <w:rPr>
                <w:rFonts w:ascii="Calibri" w:hAnsi="Calibri"/>
                <w:b/>
                <w:color w:val="1F4D78"/>
                <w:sz w:val="18"/>
              </w:rPr>
              <w:t>Change</w:t>
            </w:r>
          </w:p>
        </w:tc>
      </w:tr>
      <w:tr>
        <w:tc>
          <w:tcPr>
            <w:tcW w:type="dxa" w:w="1152"/>
            <w:vAlign w:val="center"/>
            <w:tcMar>
              <w:top w:w="80" w:type="dxa"/>
              <w:bottom w:w="80" w:type="dxa"/>
              <w:start w:w="120" w:type="dxa"/>
              <w:end w:w="120" w:type="dxa"/>
            </w:tcMar>
          </w:tcPr>
          <w:p>
            <w:pPr>
              <w:spacing w:after="0"/>
            </w:pPr>
            <w:r>
              <w:rPr>
                <w:rFonts w:ascii="Calibri" w:hAnsi="Calibri"/>
                <w:b w:val="0"/>
                <w:sz w:val="18"/>
              </w:rPr>
              <w:t>0.1</w:t>
            </w:r>
          </w:p>
        </w:tc>
        <w:tc>
          <w:tcPr>
            <w:tcW w:type="dxa" w:w="1728"/>
            <w:vAlign w:val="center"/>
            <w:tcMar>
              <w:top w:w="80" w:type="dxa"/>
              <w:bottom w:w="80" w:type="dxa"/>
              <w:start w:w="120" w:type="dxa"/>
              <w:end w:w="120" w:type="dxa"/>
            </w:tcMar>
          </w:tcPr>
          <w:p>
            <w:pPr>
              <w:spacing w:after="0"/>
            </w:pPr>
            <w:r>
              <w:rPr>
                <w:rFonts w:ascii="Calibri" w:hAnsi="Calibri"/>
                <w:b w:val="0"/>
                <w:sz w:val="18"/>
              </w:rPr>
              <w:t>Prior draft</w:t>
            </w:r>
          </w:p>
        </w:tc>
        <w:tc>
          <w:tcPr>
            <w:tcW w:type="dxa" w:w="6480"/>
            <w:vAlign w:val="center"/>
            <w:tcMar>
              <w:top w:w="80" w:type="dxa"/>
              <w:bottom w:w="80" w:type="dxa"/>
              <w:start w:w="120" w:type="dxa"/>
              <w:end w:w="120" w:type="dxa"/>
            </w:tcMar>
          </w:tcPr>
          <w:p>
            <w:pPr>
              <w:spacing w:after="0"/>
            </w:pPr>
            <w:r>
              <w:rPr>
                <w:rFonts w:ascii="Calibri" w:hAnsi="Calibri"/>
                <w:b w:val="0"/>
                <w:sz w:val="18"/>
              </w:rPr>
              <w:t>Initial charter and architecture concept</w:t>
            </w:r>
          </w:p>
        </w:tc>
      </w:tr>
      <w:tr>
        <w:tc>
          <w:tcPr>
            <w:tcW w:type="dxa" w:w="1152"/>
            <w:vAlign w:val="center"/>
            <w:tcMar>
              <w:top w:w="80" w:type="dxa"/>
              <w:bottom w:w="80" w:type="dxa"/>
              <w:start w:w="120" w:type="dxa"/>
              <w:end w:w="120" w:type="dxa"/>
            </w:tcMar>
          </w:tcPr>
          <w:p>
            <w:pPr>
              <w:spacing w:after="0"/>
            </w:pPr>
            <w:r>
              <w:rPr>
                <w:rFonts w:ascii="Calibri" w:hAnsi="Calibri"/>
                <w:b w:val="0"/>
                <w:sz w:val="18"/>
              </w:rPr>
              <w:t>0.2</w:t>
            </w:r>
          </w:p>
        </w:tc>
        <w:tc>
          <w:tcPr>
            <w:tcW w:type="dxa" w:w="1728"/>
            <w:vAlign w:val="center"/>
            <w:tcMar>
              <w:top w:w="80" w:type="dxa"/>
              <w:bottom w:w="80" w:type="dxa"/>
              <w:start w:w="120" w:type="dxa"/>
              <w:end w:w="120" w:type="dxa"/>
            </w:tcMar>
          </w:tcPr>
          <w:p>
            <w:pPr>
              <w:spacing w:after="0"/>
            </w:pPr>
            <w:r>
              <w:rPr>
                <w:rFonts w:ascii="Calibri" w:hAnsi="Calibri"/>
                <w:b w:val="0"/>
                <w:sz w:val="18"/>
              </w:rPr>
              <w:t>22 Jul 2026</w:t>
            </w:r>
          </w:p>
        </w:tc>
        <w:tc>
          <w:tcPr>
            <w:tcW w:type="dxa" w:w="6480"/>
            <w:vAlign w:val="center"/>
            <w:tcMar>
              <w:top w:w="80" w:type="dxa"/>
              <w:bottom w:w="80" w:type="dxa"/>
              <w:start w:w="120" w:type="dxa"/>
              <w:end w:w="120" w:type="dxa"/>
            </w:tcMar>
          </w:tcPr>
          <w:p>
            <w:pPr>
              <w:spacing w:after="0"/>
            </w:pPr>
            <w:r>
              <w:rPr>
                <w:rFonts w:ascii="Calibri" w:hAnsi="Calibri"/>
                <w:b w:val="0"/>
                <w:sz w:val="18"/>
              </w:rPr>
              <w:t>Workspace baseline, confirmed sales semantics, registry, milestones, and AI context</w:t>
            </w:r>
          </w:p>
        </w:tc>
      </w:tr>
    </w:tbl>
    <w:p>
      <w:pPr>
        <w:spacing w:after="0"/>
      </w:pPr>
    </w:p>
    <w:p>
      <w:pPr>
        <w:pStyle w:val="Heading1"/>
      </w:pPr>
      <w:r>
        <w:t>1. Purpose and vision</w:t>
      </w:r>
    </w:p>
    <w:p>
      <w:r>
        <w:t>ESIP is the governed data platform for daily sell-out and inventory reporting from Modern Trade partners. It converts source files with incompatible layouts into one traceable canonical model for dashboards, KPI analysis, and future AI use.</w:t>
      </w:r>
    </w:p>
    <w:p>
      <w:r>
        <w:t>The target outcome is a trusted daily view that can answer what happened, why it happened, and what action should follow without manually consolidating Excel files.</w:t>
      </w:r>
    </w:p>
    <w:p>
      <w:pPr>
        <w:pStyle w:val="Heading1"/>
      </w:pPr>
      <w:r>
        <w:t>2. Confirmed business contract</w:t>
      </w:r>
    </w:p>
    <w:p>
      <w:pPr>
        <w:pStyle w:val="ListBullet"/>
        <w:spacing w:after="80" w:line="300" w:lineRule="auto"/>
      </w:pPr>
      <w:r>
        <w:rPr>
          <w:rFonts w:ascii="Calibri" w:hAnsi="Calibri"/>
          <w:b w:val="0"/>
          <w:sz w:val="22"/>
        </w:rPr>
        <w:t>Sales amount excludes VAT.</w:t>
      </w:r>
    </w:p>
    <w:p>
      <w:pPr>
        <w:pStyle w:val="ListBullet"/>
        <w:spacing w:after="80" w:line="300" w:lineRule="auto"/>
      </w:pPr>
      <w:r>
        <w:rPr>
          <w:rFonts w:ascii="Calibri" w:hAnsi="Calibri"/>
          <w:b w:val="0"/>
          <w:sz w:val="22"/>
        </w:rPr>
        <w:t>Sales amount is after discount.</w:t>
      </w:r>
    </w:p>
    <w:p>
      <w:pPr>
        <w:pStyle w:val="ListBullet"/>
        <w:spacing w:after="80" w:line="300" w:lineRule="auto"/>
      </w:pPr>
      <w:r>
        <w:rPr>
          <w:rFonts w:ascii="Calibri" w:hAnsi="Calibri"/>
          <w:b w:val="0"/>
          <w:sz w:val="22"/>
        </w:rPr>
        <w:t>Transactions represent sell-out.</w:t>
      </w:r>
    </w:p>
    <w:p>
      <w:pPr>
        <w:pStyle w:val="ListBullet"/>
        <w:spacing w:after="80" w:line="300" w:lineRule="auto"/>
      </w:pPr>
      <w:r>
        <w:rPr>
          <w:rFonts w:ascii="Calibri" w:hAnsi="Calibri"/>
          <w:b w:val="0"/>
          <w:sz w:val="22"/>
        </w:rPr>
        <w:t>Returns are separate records and remain a distinct record type.</w:t>
      </w:r>
    </w:p>
    <w:p>
      <w:pPr>
        <w:pStyle w:val="ListBullet"/>
        <w:spacing w:after="80" w:line="300" w:lineRule="auto"/>
      </w:pPr>
      <w:r>
        <w:rPr>
          <w:rFonts w:ascii="Calibri" w:hAnsi="Calibri"/>
          <w:b w:val="0"/>
          <w:sz w:val="22"/>
        </w:rPr>
        <w:t>Files are downloaded and processed every day.</w:t>
      </w:r>
    </w:p>
    <w:p>
      <w:pPr>
        <w:pStyle w:val="ListBullet"/>
        <w:spacing w:after="80" w:line="300" w:lineRule="auto"/>
      </w:pPr>
      <w:r>
        <w:rPr>
          <w:rFonts w:ascii="Calibri" w:hAnsi="Calibri"/>
          <w:b w:val="0"/>
          <w:sz w:val="22"/>
        </w:rPr>
        <w:t>SAP Business One is the master for product, customer-SKU mapping, and branch data.</w:t>
      </w:r>
    </w:p>
    <w:p>
      <w:pPr>
        <w:pStyle w:val="Heading1"/>
      </w:pPr>
      <w:r>
        <w:t>3. Scope</w:t>
      </w:r>
    </w:p>
    <w:p>
      <w:r>
        <w:t>Initial sources are DoHome (DH), Global House (GBH), HomeHub (HH), HomePro (HP), MegaHome (MH), and Thai Watsadu (TWD). The initial facts are sales and inventory snapshots. Forecasting, promotion ROI, and demand planning follow after the data foundation is proven.</w:t>
      </w:r>
    </w:p>
    <w:p>
      <w:pPr>
        <w:pStyle w:val="Heading1"/>
      </w:pPr>
      <w:r>
        <w:t>4. Architecture</w:t>
      </w:r>
    </w:p>
    <w:p>
      <w:pPr>
        <w:spacing w:after="100"/>
        <w:ind w:left="504"/>
      </w:pPr>
      <w:r>
        <w:rPr>
          <w:rFonts w:ascii="Calibri" w:hAnsi="Calibri"/>
          <w:b/>
          <w:color w:val="1F4D78"/>
          <w:sz w:val="21"/>
        </w:rPr>
        <w:t>1.  Modern Trade daily files + SAP master exports</w:t>
      </w:r>
    </w:p>
    <w:p>
      <w:pPr>
        <w:spacing w:after="100"/>
        <w:ind w:left="504"/>
      </w:pPr>
      <w:r>
        <w:rPr>
          <w:rFonts w:ascii="Calibri" w:hAnsi="Calibri"/>
          <w:b w:val="0"/>
          <w:sz w:val="21"/>
        </w:rPr>
        <w:t>2.  Immutable landing zone and file manifest</w:t>
      </w:r>
    </w:p>
    <w:p>
      <w:pPr>
        <w:spacing w:after="100"/>
        <w:ind w:left="504"/>
      </w:pPr>
      <w:r>
        <w:rPr>
          <w:rFonts w:ascii="Calibri" w:hAnsi="Calibri"/>
          <w:b w:val="0"/>
          <w:sz w:val="21"/>
        </w:rPr>
        <w:t>3.  Source recognition and versioned Import Profile</w:t>
      </w:r>
    </w:p>
    <w:p>
      <w:pPr>
        <w:spacing w:after="100"/>
        <w:ind w:left="504"/>
      </w:pPr>
      <w:r>
        <w:rPr>
          <w:rFonts w:ascii="Calibri" w:hAnsi="Calibri"/>
          <w:b w:val="0"/>
          <w:sz w:val="21"/>
        </w:rPr>
        <w:t>4.  Validation, transformation, and SAP mapping</w:t>
      </w:r>
    </w:p>
    <w:p>
      <w:pPr>
        <w:spacing w:after="100"/>
        <w:ind w:left="504"/>
      </w:pPr>
      <w:r>
        <w:rPr>
          <w:rFonts w:ascii="Calibri" w:hAnsi="Calibri"/>
          <w:b w:val="0"/>
          <w:sz w:val="21"/>
        </w:rPr>
        <w:t>5.  Canonical sales and inventory facts</w:t>
      </w:r>
    </w:p>
    <w:p>
      <w:pPr>
        <w:spacing w:after="100"/>
        <w:ind w:left="504"/>
      </w:pPr>
      <w:r>
        <w:rPr>
          <w:rFonts w:ascii="Calibri" w:hAnsi="Calibri"/>
          <w:b w:val="0"/>
          <w:sz w:val="21"/>
        </w:rPr>
        <w:t>6.  Warehouse / semantic data mart</w:t>
      </w:r>
    </w:p>
    <w:p>
      <w:pPr>
        <w:spacing w:after="100"/>
        <w:ind w:left="504"/>
      </w:pPr>
      <w:r>
        <w:rPr>
          <w:rFonts w:ascii="Calibri" w:hAnsi="Calibri"/>
          <w:b/>
          <w:color w:val="1F4D78"/>
          <w:sz w:val="21"/>
        </w:rPr>
        <w:t>7.  Dashboard / KPI / governed AI</w:t>
      </w:r>
    </w:p>
    <w:p>
      <w:pPr>
        <w:pStyle w:val="Heading1"/>
      </w:pPr>
      <w:r>
        <w:t>5. System constitution</w:t>
      </w:r>
    </w:p>
    <w:p>
      <w:pPr>
        <w:pStyle w:val="ListNumber"/>
        <w:spacing w:after="80"/>
      </w:pPr>
      <w:r>
        <w:rPr>
          <w:rFonts w:ascii="Calibri" w:hAnsi="Calibri"/>
          <w:b w:val="0"/>
          <w:sz w:val="22"/>
        </w:rPr>
        <w:t>SAP is the master; source files never create product or branch masters automatically.</w:t>
      </w:r>
    </w:p>
    <w:p>
      <w:pPr>
        <w:pStyle w:val="ListNumber"/>
        <w:spacing w:after="80"/>
      </w:pPr>
      <w:r>
        <w:rPr>
          <w:rFonts w:ascii="Calibri" w:hAnsi="Calibri"/>
          <w:b w:val="0"/>
          <w:sz w:val="22"/>
        </w:rPr>
        <w:t>Dashboards read canonical or warehouse data only.</w:t>
      </w:r>
    </w:p>
    <w:p>
      <w:pPr>
        <w:pStyle w:val="ListNumber"/>
        <w:spacing w:after="80"/>
      </w:pPr>
      <w:r>
        <w:rPr>
          <w:rFonts w:ascii="Calibri" w:hAnsi="Calibri"/>
          <w:b w:val="0"/>
          <w:sz w:val="22"/>
        </w:rPr>
        <w:t>Each file family has a versioned Import Profile.</w:t>
      </w:r>
    </w:p>
    <w:p>
      <w:pPr>
        <w:pStyle w:val="ListNumber"/>
        <w:spacing w:after="80"/>
      </w:pPr>
      <w:r>
        <w:rPr>
          <w:rFonts w:ascii="Calibri" w:hAnsi="Calibri"/>
          <w:b w:val="0"/>
          <w:sz w:val="22"/>
        </w:rPr>
        <w:t>Source-specific behavior belongs in configuration and reusable transforms, not business KPI logic.</w:t>
      </w:r>
    </w:p>
    <w:p>
      <w:pPr>
        <w:pStyle w:val="ListNumber"/>
        <w:spacing w:after="80"/>
      </w:pPr>
      <w:r>
        <w:rPr>
          <w:rFonts w:ascii="Calibri" w:hAnsi="Calibri"/>
          <w:b w:val="0"/>
          <w:sz w:val="22"/>
        </w:rPr>
        <w:t>Every output row retains source, batch, file, sheet, and row lineage.</w:t>
      </w:r>
    </w:p>
    <w:p>
      <w:pPr>
        <w:pStyle w:val="ListNumber"/>
        <w:spacing w:after="80"/>
      </w:pPr>
      <w:r>
        <w:rPr>
          <w:rFonts w:ascii="Calibri" w:hAnsi="Calibri"/>
          <w:b w:val="0"/>
          <w:sz w:val="22"/>
        </w:rPr>
        <w:t>Invalid and unmapped data is quarantined with a reason; it is never silently discarded.</w:t>
      </w:r>
    </w:p>
    <w:p>
      <w:pPr>
        <w:pStyle w:val="ListNumber"/>
        <w:spacing w:after="80"/>
      </w:pPr>
      <w:r>
        <w:rPr>
          <w:rFonts w:ascii="Calibri" w:hAnsi="Calibri"/>
          <w:b w:val="0"/>
          <w:sz w:val="22"/>
        </w:rPr>
        <w:t>Raw files are immutable and deduplicated by cryptographic hash.</w:t>
      </w:r>
    </w:p>
    <w:p>
      <w:pPr>
        <w:pStyle w:val="Heading1"/>
      </w:pPr>
      <w:r>
        <w:t>6. Source registry</w:t>
      </w:r>
    </w:p>
    <w:tbl>
      <w:tblPr>
        <w:tblW w:type="auto" w:w="0"/>
        <w:jc w:val="left"/>
        <w:tblLayout w:type="fixed"/>
        <w:tblLook w:firstColumn="1" w:firstRow="1" w:lastColumn="0" w:lastRow="0" w:noHBand="0" w:noVBand="1" w:val="04A0"/>
      </w:tblPr>
      <w:tblGrid>
        <w:gridCol w:w="1872"/>
        <w:gridCol w:w="1872"/>
        <w:gridCol w:w="1872"/>
        <w:gridCol w:w="1872"/>
        <w:gridCol w:w="1872"/>
      </w:tblGrid>
      <w:tr>
        <w:tc>
          <w:tcPr>
            <w:tcW w:type="dxa" w:w="792"/>
            <w:shd w:fill="E8EEF5"/>
            <w:vAlign w:val="center"/>
            <w:tcMar>
              <w:top w:w="80" w:type="dxa"/>
              <w:bottom w:w="80" w:type="dxa"/>
              <w:start w:w="120" w:type="dxa"/>
              <w:end w:w="120" w:type="dxa"/>
            </w:tcMar>
          </w:tcPr>
          <w:p>
            <w:pPr>
              <w:spacing w:after="0"/>
            </w:pPr>
            <w:r>
              <w:rPr>
                <w:rFonts w:ascii="Calibri" w:hAnsi="Calibri"/>
                <w:b/>
                <w:color w:val="1F4D78"/>
                <w:sz w:val="18"/>
              </w:rPr>
              <w:t>Code</w:t>
            </w:r>
          </w:p>
        </w:tc>
        <w:tc>
          <w:tcPr>
            <w:tcW w:type="dxa" w:w="2232"/>
            <w:shd w:fill="E8EEF5"/>
            <w:vAlign w:val="center"/>
            <w:tcMar>
              <w:top w:w="80" w:type="dxa"/>
              <w:bottom w:w="80" w:type="dxa"/>
              <w:start w:w="120" w:type="dxa"/>
              <w:end w:w="120" w:type="dxa"/>
            </w:tcMar>
          </w:tcPr>
          <w:p>
            <w:pPr>
              <w:spacing w:after="0"/>
            </w:pPr>
            <w:r>
              <w:rPr>
                <w:rFonts w:ascii="Calibri" w:hAnsi="Calibri"/>
                <w:b/>
                <w:color w:val="1F4D78"/>
                <w:sz w:val="18"/>
              </w:rPr>
              <w:t>Partner</w:t>
            </w:r>
          </w:p>
        </w:tc>
        <w:tc>
          <w:tcPr>
            <w:tcW w:type="dxa" w:w="1440"/>
            <w:shd w:fill="E8EEF5"/>
            <w:vAlign w:val="center"/>
            <w:tcMar>
              <w:top w:w="80" w:type="dxa"/>
              <w:bottom w:w="80" w:type="dxa"/>
              <w:start w:w="120" w:type="dxa"/>
              <w:end w:w="120" w:type="dxa"/>
            </w:tcMar>
          </w:tcPr>
          <w:p>
            <w:pPr>
              <w:spacing w:after="0"/>
            </w:pPr>
            <w:r>
              <w:rPr>
                <w:rFonts w:ascii="Calibri" w:hAnsi="Calibri"/>
                <w:b/>
                <w:color w:val="1F4D78"/>
                <w:sz w:val="18"/>
              </w:rPr>
              <w:t>SAP prefix</w:t>
            </w:r>
          </w:p>
        </w:tc>
        <w:tc>
          <w:tcPr>
            <w:tcW w:type="dxa" w:w="1584"/>
            <w:shd w:fill="E8EEF5"/>
            <w:vAlign w:val="center"/>
            <w:tcMar>
              <w:top w:w="80" w:type="dxa"/>
              <w:bottom w:w="80" w:type="dxa"/>
              <w:start w:w="120" w:type="dxa"/>
              <w:end w:w="120" w:type="dxa"/>
            </w:tcMar>
          </w:tcPr>
          <w:p>
            <w:pPr>
              <w:spacing w:after="0"/>
            </w:pPr>
            <w:r>
              <w:rPr>
                <w:rFonts w:ascii="Calibri" w:hAnsi="Calibri"/>
                <w:b/>
                <w:color w:val="1F4D78"/>
                <w:sz w:val="18"/>
              </w:rPr>
              <w:t>Format</w:t>
            </w:r>
          </w:p>
        </w:tc>
        <w:tc>
          <w:tcPr>
            <w:tcW w:type="dxa" w:w="3312"/>
            <w:shd w:fill="E8EEF5"/>
            <w:vAlign w:val="center"/>
            <w:tcMar>
              <w:top w:w="80" w:type="dxa"/>
              <w:bottom w:w="80" w:type="dxa"/>
              <w:start w:w="120" w:type="dxa"/>
              <w:end w:w="120" w:type="dxa"/>
            </w:tcMar>
          </w:tcPr>
          <w:p>
            <w:pPr>
              <w:spacing w:after="0"/>
            </w:pPr>
            <w:r>
              <w:rPr>
                <w:rFonts w:ascii="Calibri" w:hAnsi="Calibri"/>
                <w:b/>
                <w:color w:val="1F4D78"/>
                <w:sz w:val="18"/>
              </w:rPr>
              <w:t>Content</w:t>
            </w:r>
          </w:p>
        </w:tc>
      </w:tr>
      <w:tr>
        <w:tc>
          <w:tcPr>
            <w:tcW w:type="dxa" w:w="792"/>
            <w:vAlign w:val="center"/>
            <w:tcMar>
              <w:top w:w="80" w:type="dxa"/>
              <w:bottom w:w="80" w:type="dxa"/>
              <w:start w:w="120" w:type="dxa"/>
              <w:end w:w="120" w:type="dxa"/>
            </w:tcMar>
          </w:tcPr>
          <w:p>
            <w:pPr>
              <w:spacing w:after="0"/>
            </w:pPr>
            <w:r>
              <w:rPr>
                <w:rFonts w:ascii="Calibri" w:hAnsi="Calibri"/>
                <w:b w:val="0"/>
                <w:sz w:val="18"/>
              </w:rPr>
              <w:t>DH</w:t>
            </w:r>
          </w:p>
        </w:tc>
        <w:tc>
          <w:tcPr>
            <w:tcW w:type="dxa" w:w="2232"/>
            <w:vAlign w:val="center"/>
            <w:tcMar>
              <w:top w:w="80" w:type="dxa"/>
              <w:bottom w:w="80" w:type="dxa"/>
              <w:start w:w="120" w:type="dxa"/>
              <w:end w:w="120" w:type="dxa"/>
            </w:tcMar>
          </w:tcPr>
          <w:p>
            <w:pPr>
              <w:spacing w:after="0"/>
            </w:pPr>
            <w:r>
              <w:rPr>
                <w:rFonts w:ascii="Calibri" w:hAnsi="Calibri"/>
                <w:b w:val="0"/>
                <w:sz w:val="18"/>
              </w:rPr>
              <w:t>DoHome</w:t>
            </w:r>
          </w:p>
        </w:tc>
        <w:tc>
          <w:tcPr>
            <w:tcW w:type="dxa" w:w="1440"/>
            <w:vAlign w:val="center"/>
            <w:tcMar>
              <w:top w:w="80" w:type="dxa"/>
              <w:bottom w:w="80" w:type="dxa"/>
              <w:start w:w="120" w:type="dxa"/>
              <w:end w:w="120" w:type="dxa"/>
            </w:tcMar>
          </w:tcPr>
          <w:p>
            <w:pPr>
              <w:spacing w:after="0"/>
            </w:pPr>
            <w:r>
              <w:rPr>
                <w:rFonts w:ascii="Calibri" w:hAnsi="Calibri"/>
                <w:b w:val="0"/>
                <w:sz w:val="18"/>
              </w:rPr>
              <w:t>CDH</w:t>
            </w:r>
          </w:p>
        </w:tc>
        <w:tc>
          <w:tcPr>
            <w:tcW w:type="dxa" w:w="1584"/>
            <w:vAlign w:val="center"/>
            <w:tcMar>
              <w:top w:w="80" w:type="dxa"/>
              <w:bottom w:w="80" w:type="dxa"/>
              <w:start w:w="120" w:type="dxa"/>
              <w:end w:w="120" w:type="dxa"/>
            </w:tcMar>
          </w:tcPr>
          <w:p>
            <w:pPr>
              <w:spacing w:after="0"/>
            </w:pPr>
            <w:r>
              <w:rPr>
                <w:rFonts w:ascii="Calibri" w:hAnsi="Calibri"/>
                <w:b w:val="0"/>
                <w:sz w:val="18"/>
              </w:rPr>
              <w:t>XLSX</w:t>
            </w:r>
          </w:p>
        </w:tc>
        <w:tc>
          <w:tcPr>
            <w:tcW w:type="dxa" w:w="3312"/>
            <w:vAlign w:val="center"/>
            <w:tcMar>
              <w:top w:w="80" w:type="dxa"/>
              <w:bottom w:w="80" w:type="dxa"/>
              <w:start w:w="120" w:type="dxa"/>
              <w:end w:w="120" w:type="dxa"/>
            </w:tcMar>
          </w:tcPr>
          <w:p>
            <w:pPr>
              <w:spacing w:after="0"/>
            </w:pPr>
            <w:r>
              <w:rPr>
                <w:rFonts w:ascii="Calibri" w:hAnsi="Calibri"/>
                <w:b w:val="0"/>
                <w:sz w:val="18"/>
              </w:rPr>
              <w:t>Sales / inventory</w:t>
            </w:r>
          </w:p>
        </w:tc>
      </w:tr>
      <w:tr>
        <w:tc>
          <w:tcPr>
            <w:tcW w:type="dxa" w:w="792"/>
            <w:vAlign w:val="center"/>
            <w:tcMar>
              <w:top w:w="80" w:type="dxa"/>
              <w:bottom w:w="80" w:type="dxa"/>
              <w:start w:w="120" w:type="dxa"/>
              <w:end w:w="120" w:type="dxa"/>
            </w:tcMar>
          </w:tcPr>
          <w:p>
            <w:pPr>
              <w:spacing w:after="0"/>
            </w:pPr>
            <w:r>
              <w:rPr>
                <w:rFonts w:ascii="Calibri" w:hAnsi="Calibri"/>
                <w:b w:val="0"/>
                <w:sz w:val="18"/>
              </w:rPr>
              <w:t>GBH</w:t>
            </w:r>
          </w:p>
        </w:tc>
        <w:tc>
          <w:tcPr>
            <w:tcW w:type="dxa" w:w="2232"/>
            <w:vAlign w:val="center"/>
            <w:tcMar>
              <w:top w:w="80" w:type="dxa"/>
              <w:bottom w:w="80" w:type="dxa"/>
              <w:start w:w="120" w:type="dxa"/>
              <w:end w:w="120" w:type="dxa"/>
            </w:tcMar>
          </w:tcPr>
          <w:p>
            <w:pPr>
              <w:spacing w:after="0"/>
            </w:pPr>
            <w:r>
              <w:rPr>
                <w:rFonts w:ascii="Calibri" w:hAnsi="Calibri"/>
                <w:b w:val="0"/>
                <w:sz w:val="18"/>
              </w:rPr>
              <w:t>Global House</w:t>
            </w:r>
          </w:p>
        </w:tc>
        <w:tc>
          <w:tcPr>
            <w:tcW w:type="dxa" w:w="1440"/>
            <w:vAlign w:val="center"/>
            <w:tcMar>
              <w:top w:w="80" w:type="dxa"/>
              <w:bottom w:w="80" w:type="dxa"/>
              <w:start w:w="120" w:type="dxa"/>
              <w:end w:w="120" w:type="dxa"/>
            </w:tcMar>
          </w:tcPr>
          <w:p>
            <w:pPr>
              <w:spacing w:after="0"/>
            </w:pPr>
            <w:r>
              <w:rPr>
                <w:rFonts w:ascii="Calibri" w:hAnsi="Calibri"/>
                <w:b w:val="0"/>
                <w:sz w:val="18"/>
              </w:rPr>
              <w:t>CGH</w:t>
            </w:r>
          </w:p>
        </w:tc>
        <w:tc>
          <w:tcPr>
            <w:tcW w:type="dxa" w:w="1584"/>
            <w:vAlign w:val="center"/>
            <w:tcMar>
              <w:top w:w="80" w:type="dxa"/>
              <w:bottom w:w="80" w:type="dxa"/>
              <w:start w:w="120" w:type="dxa"/>
              <w:end w:w="120" w:type="dxa"/>
            </w:tcMar>
          </w:tcPr>
          <w:p>
            <w:pPr>
              <w:spacing w:after="0"/>
            </w:pPr>
            <w:r>
              <w:rPr>
                <w:rFonts w:ascii="Calibri" w:hAnsi="Calibri"/>
                <w:b w:val="0"/>
                <w:sz w:val="18"/>
              </w:rPr>
              <w:t>XLSX</w:t>
            </w:r>
          </w:p>
        </w:tc>
        <w:tc>
          <w:tcPr>
            <w:tcW w:type="dxa" w:w="3312"/>
            <w:vAlign w:val="center"/>
            <w:tcMar>
              <w:top w:w="80" w:type="dxa"/>
              <w:bottom w:w="80" w:type="dxa"/>
              <w:start w:w="120" w:type="dxa"/>
              <w:end w:w="120" w:type="dxa"/>
            </w:tcMar>
          </w:tcPr>
          <w:p>
            <w:pPr>
              <w:spacing w:after="0"/>
            </w:pPr>
            <w:r>
              <w:rPr>
                <w:rFonts w:ascii="Calibri" w:hAnsi="Calibri"/>
                <w:b w:val="0"/>
                <w:sz w:val="18"/>
              </w:rPr>
              <w:t>Sales / inventory</w:t>
            </w:r>
          </w:p>
        </w:tc>
      </w:tr>
      <w:tr>
        <w:tc>
          <w:tcPr>
            <w:tcW w:type="dxa" w:w="792"/>
            <w:vAlign w:val="center"/>
            <w:tcMar>
              <w:top w:w="80" w:type="dxa"/>
              <w:bottom w:w="80" w:type="dxa"/>
              <w:start w:w="120" w:type="dxa"/>
              <w:end w:w="120" w:type="dxa"/>
            </w:tcMar>
          </w:tcPr>
          <w:p>
            <w:pPr>
              <w:spacing w:after="0"/>
            </w:pPr>
            <w:r>
              <w:rPr>
                <w:rFonts w:ascii="Calibri" w:hAnsi="Calibri"/>
                <w:b w:val="0"/>
                <w:sz w:val="18"/>
              </w:rPr>
              <w:t>HH</w:t>
            </w:r>
          </w:p>
        </w:tc>
        <w:tc>
          <w:tcPr>
            <w:tcW w:type="dxa" w:w="2232"/>
            <w:vAlign w:val="center"/>
            <w:tcMar>
              <w:top w:w="80" w:type="dxa"/>
              <w:bottom w:w="80" w:type="dxa"/>
              <w:start w:w="120" w:type="dxa"/>
              <w:end w:w="120" w:type="dxa"/>
            </w:tcMar>
          </w:tcPr>
          <w:p>
            <w:pPr>
              <w:spacing w:after="0"/>
            </w:pPr>
            <w:r>
              <w:rPr>
                <w:rFonts w:ascii="Calibri" w:hAnsi="Calibri"/>
                <w:b w:val="0"/>
                <w:sz w:val="18"/>
              </w:rPr>
              <w:t>HomeHub</w:t>
            </w:r>
          </w:p>
        </w:tc>
        <w:tc>
          <w:tcPr>
            <w:tcW w:type="dxa" w:w="1440"/>
            <w:vAlign w:val="center"/>
            <w:tcMar>
              <w:top w:w="80" w:type="dxa"/>
              <w:bottom w:w="80" w:type="dxa"/>
              <w:start w:w="120" w:type="dxa"/>
              <w:end w:w="120" w:type="dxa"/>
            </w:tcMar>
          </w:tcPr>
          <w:p>
            <w:pPr>
              <w:spacing w:after="0"/>
            </w:pPr>
            <w:r>
              <w:rPr>
                <w:rFonts w:ascii="Calibri" w:hAnsi="Calibri"/>
                <w:b w:val="0"/>
                <w:sz w:val="18"/>
              </w:rPr>
              <w:t>CHH</w:t>
            </w:r>
          </w:p>
        </w:tc>
        <w:tc>
          <w:tcPr>
            <w:tcW w:type="dxa" w:w="1584"/>
            <w:vAlign w:val="center"/>
            <w:tcMar>
              <w:top w:w="80" w:type="dxa"/>
              <w:bottom w:w="80" w:type="dxa"/>
              <w:start w:w="120" w:type="dxa"/>
              <w:end w:w="120" w:type="dxa"/>
            </w:tcMar>
          </w:tcPr>
          <w:p>
            <w:pPr>
              <w:spacing w:after="0"/>
            </w:pPr>
            <w:r>
              <w:rPr>
                <w:rFonts w:ascii="Calibri" w:hAnsi="Calibri"/>
                <w:b w:val="0"/>
                <w:sz w:val="18"/>
              </w:rPr>
              <w:t>XLSX</w:t>
            </w:r>
          </w:p>
        </w:tc>
        <w:tc>
          <w:tcPr>
            <w:tcW w:type="dxa" w:w="3312"/>
            <w:vAlign w:val="center"/>
            <w:tcMar>
              <w:top w:w="80" w:type="dxa"/>
              <w:bottom w:w="80" w:type="dxa"/>
              <w:start w:w="120" w:type="dxa"/>
              <w:end w:w="120" w:type="dxa"/>
            </w:tcMar>
          </w:tcPr>
          <w:p>
            <w:pPr>
              <w:spacing w:after="0"/>
            </w:pPr>
            <w:r>
              <w:rPr>
                <w:rFonts w:ascii="Calibri" w:hAnsi="Calibri"/>
                <w:b w:val="0"/>
                <w:sz w:val="18"/>
              </w:rPr>
              <w:t>Sales / inventory</w:t>
            </w:r>
          </w:p>
        </w:tc>
      </w:tr>
      <w:tr>
        <w:tc>
          <w:tcPr>
            <w:tcW w:type="dxa" w:w="792"/>
            <w:vAlign w:val="center"/>
            <w:tcMar>
              <w:top w:w="80" w:type="dxa"/>
              <w:bottom w:w="80" w:type="dxa"/>
              <w:start w:w="120" w:type="dxa"/>
              <w:end w:w="120" w:type="dxa"/>
            </w:tcMar>
          </w:tcPr>
          <w:p>
            <w:pPr>
              <w:spacing w:after="0"/>
            </w:pPr>
            <w:r>
              <w:rPr>
                <w:rFonts w:ascii="Calibri" w:hAnsi="Calibri"/>
                <w:b w:val="0"/>
                <w:sz w:val="18"/>
              </w:rPr>
              <w:t>HP</w:t>
            </w:r>
          </w:p>
        </w:tc>
        <w:tc>
          <w:tcPr>
            <w:tcW w:type="dxa" w:w="2232"/>
            <w:vAlign w:val="center"/>
            <w:tcMar>
              <w:top w:w="80" w:type="dxa"/>
              <w:bottom w:w="80" w:type="dxa"/>
              <w:start w:w="120" w:type="dxa"/>
              <w:end w:w="120" w:type="dxa"/>
            </w:tcMar>
          </w:tcPr>
          <w:p>
            <w:pPr>
              <w:spacing w:after="0"/>
            </w:pPr>
            <w:r>
              <w:rPr>
                <w:rFonts w:ascii="Calibri" w:hAnsi="Calibri"/>
                <w:b w:val="0"/>
                <w:sz w:val="18"/>
              </w:rPr>
              <w:t>HomePro</w:t>
            </w:r>
          </w:p>
        </w:tc>
        <w:tc>
          <w:tcPr>
            <w:tcW w:type="dxa" w:w="1440"/>
            <w:vAlign w:val="center"/>
            <w:tcMar>
              <w:top w:w="80" w:type="dxa"/>
              <w:bottom w:w="80" w:type="dxa"/>
              <w:start w:w="120" w:type="dxa"/>
              <w:end w:w="120" w:type="dxa"/>
            </w:tcMar>
          </w:tcPr>
          <w:p>
            <w:pPr>
              <w:spacing w:after="0"/>
            </w:pPr>
            <w:r>
              <w:rPr>
                <w:rFonts w:ascii="Calibri" w:hAnsi="Calibri"/>
                <w:b w:val="0"/>
                <w:sz w:val="18"/>
              </w:rPr>
              <w:t>CHP</w:t>
            </w:r>
          </w:p>
        </w:tc>
        <w:tc>
          <w:tcPr>
            <w:tcW w:type="dxa" w:w="1584"/>
            <w:vAlign w:val="center"/>
            <w:tcMar>
              <w:top w:w="80" w:type="dxa"/>
              <w:bottom w:w="80" w:type="dxa"/>
              <w:start w:w="120" w:type="dxa"/>
              <w:end w:w="120" w:type="dxa"/>
            </w:tcMar>
          </w:tcPr>
          <w:p>
            <w:pPr>
              <w:spacing w:after="0"/>
            </w:pPr>
            <w:r>
              <w:rPr>
                <w:rFonts w:ascii="Calibri" w:hAnsi="Calibri"/>
                <w:b w:val="0"/>
                <w:sz w:val="18"/>
              </w:rPr>
              <w:t>ZIP / CSV</w:t>
            </w:r>
          </w:p>
        </w:tc>
        <w:tc>
          <w:tcPr>
            <w:tcW w:type="dxa" w:w="3312"/>
            <w:vAlign w:val="center"/>
            <w:tcMar>
              <w:top w:w="80" w:type="dxa"/>
              <w:bottom w:w="80" w:type="dxa"/>
              <w:start w:w="120" w:type="dxa"/>
              <w:end w:w="120" w:type="dxa"/>
            </w:tcMar>
          </w:tcPr>
          <w:p>
            <w:pPr>
              <w:spacing w:after="0"/>
            </w:pPr>
            <w:r>
              <w:rPr>
                <w:rFonts w:ascii="Calibri" w:hAnsi="Calibri"/>
                <w:b w:val="0"/>
                <w:sz w:val="18"/>
              </w:rPr>
              <w:t>Sales / inventory</w:t>
            </w:r>
          </w:p>
        </w:tc>
      </w:tr>
      <w:tr>
        <w:tc>
          <w:tcPr>
            <w:tcW w:type="dxa" w:w="792"/>
            <w:vAlign w:val="center"/>
            <w:tcMar>
              <w:top w:w="80" w:type="dxa"/>
              <w:bottom w:w="80" w:type="dxa"/>
              <w:start w:w="120" w:type="dxa"/>
              <w:end w:w="120" w:type="dxa"/>
            </w:tcMar>
          </w:tcPr>
          <w:p>
            <w:pPr>
              <w:spacing w:after="0"/>
            </w:pPr>
            <w:r>
              <w:rPr>
                <w:rFonts w:ascii="Calibri" w:hAnsi="Calibri"/>
                <w:b w:val="0"/>
                <w:sz w:val="18"/>
              </w:rPr>
              <w:t>MH</w:t>
            </w:r>
          </w:p>
        </w:tc>
        <w:tc>
          <w:tcPr>
            <w:tcW w:type="dxa" w:w="2232"/>
            <w:vAlign w:val="center"/>
            <w:tcMar>
              <w:top w:w="80" w:type="dxa"/>
              <w:bottom w:w="80" w:type="dxa"/>
              <w:start w:w="120" w:type="dxa"/>
              <w:end w:w="120" w:type="dxa"/>
            </w:tcMar>
          </w:tcPr>
          <w:p>
            <w:pPr>
              <w:spacing w:after="0"/>
            </w:pPr>
            <w:r>
              <w:rPr>
                <w:rFonts w:ascii="Calibri" w:hAnsi="Calibri"/>
                <w:b w:val="0"/>
                <w:sz w:val="18"/>
              </w:rPr>
              <w:t>MegaHome</w:t>
            </w:r>
          </w:p>
        </w:tc>
        <w:tc>
          <w:tcPr>
            <w:tcW w:type="dxa" w:w="1440"/>
            <w:vAlign w:val="center"/>
            <w:tcMar>
              <w:top w:w="80" w:type="dxa"/>
              <w:bottom w:w="80" w:type="dxa"/>
              <w:start w:w="120" w:type="dxa"/>
              <w:end w:w="120" w:type="dxa"/>
            </w:tcMar>
          </w:tcPr>
          <w:p>
            <w:pPr>
              <w:spacing w:after="0"/>
            </w:pPr>
            <w:r>
              <w:rPr>
                <w:rFonts w:ascii="Calibri" w:hAnsi="Calibri"/>
                <w:b w:val="0"/>
                <w:sz w:val="18"/>
              </w:rPr>
              <w:t>CMH</w:t>
            </w:r>
          </w:p>
        </w:tc>
        <w:tc>
          <w:tcPr>
            <w:tcW w:type="dxa" w:w="1584"/>
            <w:vAlign w:val="center"/>
            <w:tcMar>
              <w:top w:w="80" w:type="dxa"/>
              <w:bottom w:w="80" w:type="dxa"/>
              <w:start w:w="120" w:type="dxa"/>
              <w:end w:w="120" w:type="dxa"/>
            </w:tcMar>
          </w:tcPr>
          <w:p>
            <w:pPr>
              <w:spacing w:after="0"/>
            </w:pPr>
            <w:r>
              <w:rPr>
                <w:rFonts w:ascii="Calibri" w:hAnsi="Calibri"/>
                <w:b w:val="0"/>
                <w:sz w:val="18"/>
              </w:rPr>
              <w:t>ZIP / CSV</w:t>
            </w:r>
          </w:p>
        </w:tc>
        <w:tc>
          <w:tcPr>
            <w:tcW w:type="dxa" w:w="3312"/>
            <w:vAlign w:val="center"/>
            <w:tcMar>
              <w:top w:w="80" w:type="dxa"/>
              <w:bottom w:w="80" w:type="dxa"/>
              <w:start w:w="120" w:type="dxa"/>
              <w:end w:w="120" w:type="dxa"/>
            </w:tcMar>
          </w:tcPr>
          <w:p>
            <w:pPr>
              <w:spacing w:after="0"/>
            </w:pPr>
            <w:r>
              <w:rPr>
                <w:rFonts w:ascii="Calibri" w:hAnsi="Calibri"/>
                <w:b w:val="0"/>
                <w:sz w:val="18"/>
              </w:rPr>
              <w:t>Sales / inventory</w:t>
            </w:r>
          </w:p>
        </w:tc>
      </w:tr>
      <w:tr>
        <w:tc>
          <w:tcPr>
            <w:tcW w:type="dxa" w:w="792"/>
            <w:vAlign w:val="center"/>
            <w:tcMar>
              <w:top w:w="80" w:type="dxa"/>
              <w:bottom w:w="80" w:type="dxa"/>
              <w:start w:w="120" w:type="dxa"/>
              <w:end w:w="120" w:type="dxa"/>
            </w:tcMar>
          </w:tcPr>
          <w:p>
            <w:pPr>
              <w:spacing w:after="0"/>
            </w:pPr>
            <w:r>
              <w:rPr>
                <w:rFonts w:ascii="Calibri" w:hAnsi="Calibri"/>
                <w:b w:val="0"/>
                <w:sz w:val="18"/>
              </w:rPr>
              <w:t>TWD</w:t>
            </w:r>
          </w:p>
        </w:tc>
        <w:tc>
          <w:tcPr>
            <w:tcW w:type="dxa" w:w="2232"/>
            <w:vAlign w:val="center"/>
            <w:tcMar>
              <w:top w:w="80" w:type="dxa"/>
              <w:bottom w:w="80" w:type="dxa"/>
              <w:start w:w="120" w:type="dxa"/>
              <w:end w:w="120" w:type="dxa"/>
            </w:tcMar>
          </w:tcPr>
          <w:p>
            <w:pPr>
              <w:spacing w:after="0"/>
            </w:pPr>
            <w:r>
              <w:rPr>
                <w:rFonts w:ascii="Calibri" w:hAnsi="Calibri"/>
                <w:b w:val="0"/>
                <w:sz w:val="18"/>
              </w:rPr>
              <w:t>Thai Watsadu</w:t>
            </w:r>
          </w:p>
        </w:tc>
        <w:tc>
          <w:tcPr>
            <w:tcW w:type="dxa" w:w="1440"/>
            <w:vAlign w:val="center"/>
            <w:tcMar>
              <w:top w:w="80" w:type="dxa"/>
              <w:bottom w:w="80" w:type="dxa"/>
              <w:start w:w="120" w:type="dxa"/>
              <w:end w:w="120" w:type="dxa"/>
            </w:tcMar>
          </w:tcPr>
          <w:p>
            <w:pPr>
              <w:spacing w:after="0"/>
            </w:pPr>
            <w:r>
              <w:rPr>
                <w:rFonts w:ascii="Calibri" w:hAnsi="Calibri"/>
                <w:b w:val="0"/>
                <w:sz w:val="18"/>
              </w:rPr>
              <w:t>CTW</w:t>
            </w:r>
          </w:p>
        </w:tc>
        <w:tc>
          <w:tcPr>
            <w:tcW w:type="dxa" w:w="1584"/>
            <w:vAlign w:val="center"/>
            <w:tcMar>
              <w:top w:w="80" w:type="dxa"/>
              <w:bottom w:w="80" w:type="dxa"/>
              <w:start w:w="120" w:type="dxa"/>
              <w:end w:w="120" w:type="dxa"/>
            </w:tcMar>
          </w:tcPr>
          <w:p>
            <w:pPr>
              <w:spacing w:after="0"/>
            </w:pPr>
            <w:r>
              <w:rPr>
                <w:rFonts w:ascii="Calibri" w:hAnsi="Calibri"/>
                <w:b w:val="0"/>
                <w:sz w:val="18"/>
              </w:rPr>
              <w:t>XLS / XLSX</w:t>
            </w:r>
          </w:p>
        </w:tc>
        <w:tc>
          <w:tcPr>
            <w:tcW w:type="dxa" w:w="3312"/>
            <w:vAlign w:val="center"/>
            <w:tcMar>
              <w:top w:w="80" w:type="dxa"/>
              <w:bottom w:w="80" w:type="dxa"/>
              <w:start w:w="120" w:type="dxa"/>
              <w:end w:w="120" w:type="dxa"/>
            </w:tcMar>
          </w:tcPr>
          <w:p>
            <w:pPr>
              <w:spacing w:after="0"/>
            </w:pPr>
            <w:r>
              <w:rPr>
                <w:rFonts w:ascii="Calibri" w:hAnsi="Calibri"/>
                <w:b w:val="0"/>
                <w:sz w:val="18"/>
              </w:rPr>
              <w:t>Sales / inventory</w:t>
            </w:r>
          </w:p>
        </w:tc>
      </w:tr>
    </w:tbl>
    <w:p>
      <w:pPr>
        <w:spacing w:after="0"/>
      </w:pPr>
    </w:p>
    <w:p>
      <w:pPr>
        <w:pStyle w:val="Heading1"/>
      </w:pPr>
      <w:r>
        <w:t>7. Canonical outputs</w:t>
      </w:r>
    </w:p>
    <w:p>
      <w:pPr>
        <w:pStyle w:val="Heading2"/>
      </w:pPr>
      <w:r>
        <w:t>7.1 Sales fact</w:t>
      </w:r>
    </w:p>
    <w:p>
      <w:r>
        <w:t>Grain: source, sales date, branch, product, and record type. The measure is sell-out sales excluding VAT after discount. Returns stay separate. SAP ItemCode is attached when mapping succeeds; lineage remains available in all cases.</w:t>
      </w:r>
    </w:p>
    <w:p>
      <w:pPr>
        <w:pStyle w:val="Heading2"/>
      </w:pPr>
      <w:r>
        <w:t>7.2 Inventory snapshot fact</w:t>
      </w:r>
    </w:p>
    <w:p>
      <w:r>
        <w:t>Grain: source, snapshot date, branch, and product. Core measures are on-hand quantity and value. Optional source metrics remain extensions until their definitions are approved.</w:t>
      </w:r>
    </w:p>
    <w:p>
      <w:pPr>
        <w:pStyle w:val="Heading1"/>
      </w:pPr>
      <w:r>
        <w:t>8. Import workflow</w:t>
      </w:r>
    </w:p>
    <w:p>
      <w:pPr>
        <w:pStyle w:val="ListNumber"/>
        <w:spacing w:after="80"/>
      </w:pPr>
      <w:r>
        <w:rPr>
          <w:rFonts w:ascii="Calibri" w:hAnsi="Calibri"/>
          <w:b w:val="0"/>
          <w:sz w:val="22"/>
        </w:rPr>
        <w:t>Land original file in the matching incoming folder.</w:t>
      </w:r>
    </w:p>
    <w:p>
      <w:pPr>
        <w:pStyle w:val="ListNumber"/>
        <w:spacing w:after="80"/>
      </w:pPr>
      <w:r>
        <w:rPr>
          <w:rFonts w:ascii="Calibri" w:hAnsi="Calibri"/>
          <w:b w:val="0"/>
          <w:sz w:val="22"/>
        </w:rPr>
        <w:t>Compute SHA-256 and reject duplicate submissions.</w:t>
      </w:r>
    </w:p>
    <w:p>
      <w:pPr>
        <w:pStyle w:val="ListNumber"/>
        <w:spacing w:after="80"/>
      </w:pPr>
      <w:r>
        <w:rPr>
          <w:rFonts w:ascii="Calibri" w:hAnsi="Calibri"/>
          <w:b w:val="0"/>
          <w:sz w:val="22"/>
        </w:rPr>
        <w:t>Recognize source and report type from filename, archive, sheet, and header signatures.</w:t>
      </w:r>
    </w:p>
    <w:p>
      <w:pPr>
        <w:pStyle w:val="ListNumber"/>
        <w:spacing w:after="80"/>
      </w:pPr>
      <w:r>
        <w:rPr>
          <w:rFonts w:ascii="Calibri" w:hAnsi="Calibri"/>
          <w:b w:val="0"/>
          <w:sz w:val="22"/>
        </w:rPr>
        <w:t>Read using the matching versioned Import Profile.</w:t>
      </w:r>
    </w:p>
    <w:p>
      <w:pPr>
        <w:pStyle w:val="ListNumber"/>
        <w:spacing w:after="80"/>
      </w:pPr>
      <w:r>
        <w:rPr>
          <w:rFonts w:ascii="Calibri" w:hAnsi="Calibri"/>
          <w:b w:val="0"/>
          <w:sz w:val="22"/>
        </w:rPr>
        <w:t>Normalize headers, dates, numbers, identifiers, and wide matrices.</w:t>
      </w:r>
    </w:p>
    <w:p>
      <w:pPr>
        <w:pStyle w:val="ListNumber"/>
        <w:spacing w:after="80"/>
      </w:pPr>
      <w:r>
        <w:rPr>
          <w:rFonts w:ascii="Calibri" w:hAnsi="Calibri"/>
          <w:b w:val="0"/>
          <w:sz w:val="22"/>
        </w:rPr>
        <w:t>Validate mandatory fields and source rules.</w:t>
      </w:r>
    </w:p>
    <w:p>
      <w:pPr>
        <w:pStyle w:val="ListNumber"/>
        <w:spacing w:after="80"/>
      </w:pPr>
      <w:r>
        <w:rPr>
          <w:rFonts w:ascii="Calibri" w:hAnsi="Calibri"/>
          <w:b w:val="0"/>
          <w:sz w:val="22"/>
        </w:rPr>
        <w:t>Map customer SKU through OSCN and branch through Business Partner Master Data.</w:t>
      </w:r>
    </w:p>
    <w:p>
      <w:pPr>
        <w:pStyle w:val="ListNumber"/>
        <w:spacing w:after="80"/>
      </w:pPr>
      <w:r>
        <w:rPr>
          <w:rFonts w:ascii="Calibri" w:hAnsi="Calibri"/>
          <w:b w:val="0"/>
          <w:sz w:val="22"/>
        </w:rPr>
        <w:t>Quarantine errors; load valid rows into canonical staging.</w:t>
      </w:r>
    </w:p>
    <w:p>
      <w:pPr>
        <w:pStyle w:val="ListNumber"/>
        <w:spacing w:after="80"/>
      </w:pPr>
      <w:r>
        <w:rPr>
          <w:rFonts w:ascii="Calibri" w:hAnsi="Calibri"/>
          <w:b w:val="0"/>
          <w:sz w:val="22"/>
        </w:rPr>
        <w:t>Reconcile source and canonical totals.</w:t>
      </w:r>
    </w:p>
    <w:p>
      <w:pPr>
        <w:pStyle w:val="ListNumber"/>
        <w:spacing w:after="80"/>
      </w:pPr>
      <w:r>
        <w:rPr>
          <w:rFonts w:ascii="Calibri" w:hAnsi="Calibri"/>
          <w:b w:val="0"/>
          <w:sz w:val="22"/>
        </w:rPr>
        <w:t>Publish the batch only after reconciliation passes.</w:t>
      </w:r>
    </w:p>
    <w:p>
      <w:pPr>
        <w:pStyle w:val="Heading1"/>
      </w:pPr>
      <w:r>
        <w:t>9. Milestones and acceptance gates</w:t>
      </w:r>
    </w:p>
    <w:tbl>
      <w:tblPr>
        <w:tblW w:type="auto" w:w="0"/>
        <w:jc w:val="left"/>
        <w:tblLayout w:type="fixed"/>
        <w:tblLook w:firstColumn="1" w:firstRow="1" w:lastColumn="0" w:lastRow="0" w:noHBand="0" w:noVBand="1" w:val="04A0"/>
      </w:tblPr>
      <w:tblGrid>
        <w:gridCol w:w="3120"/>
        <w:gridCol w:w="3120"/>
        <w:gridCol w:w="3120"/>
      </w:tblGrid>
      <w:tr>
        <w:tc>
          <w:tcPr>
            <w:tcW w:type="dxa" w:w="1152"/>
            <w:shd w:fill="E8EEF5"/>
            <w:vAlign w:val="center"/>
            <w:tcMar>
              <w:top w:w="80" w:type="dxa"/>
              <w:bottom w:w="80" w:type="dxa"/>
              <w:start w:w="120" w:type="dxa"/>
              <w:end w:w="120" w:type="dxa"/>
            </w:tcMar>
          </w:tcPr>
          <w:p>
            <w:pPr>
              <w:spacing w:after="0"/>
            </w:pPr>
            <w:r>
              <w:rPr>
                <w:rFonts w:ascii="Calibri" w:hAnsi="Calibri"/>
                <w:b/>
                <w:color w:val="1F4D78"/>
                <w:sz w:val="18"/>
              </w:rPr>
              <w:t>Milestone</w:t>
            </w:r>
          </w:p>
        </w:tc>
        <w:tc>
          <w:tcPr>
            <w:tcW w:type="dxa" w:w="2232"/>
            <w:shd w:fill="E8EEF5"/>
            <w:vAlign w:val="center"/>
            <w:tcMar>
              <w:top w:w="80" w:type="dxa"/>
              <w:bottom w:w="80" w:type="dxa"/>
              <w:start w:w="120" w:type="dxa"/>
              <w:end w:w="120" w:type="dxa"/>
            </w:tcMar>
          </w:tcPr>
          <w:p>
            <w:pPr>
              <w:spacing w:after="0"/>
            </w:pPr>
            <w:r>
              <w:rPr>
                <w:rFonts w:ascii="Calibri" w:hAnsi="Calibri"/>
                <w:b/>
                <w:color w:val="1F4D78"/>
                <w:sz w:val="18"/>
              </w:rPr>
              <w:t>Outcome</w:t>
            </w:r>
          </w:p>
        </w:tc>
        <w:tc>
          <w:tcPr>
            <w:tcW w:type="dxa" w:w="5976"/>
            <w:shd w:fill="E8EEF5"/>
            <w:vAlign w:val="center"/>
            <w:tcMar>
              <w:top w:w="80" w:type="dxa"/>
              <w:bottom w:w="80" w:type="dxa"/>
              <w:start w:w="120" w:type="dxa"/>
              <w:end w:w="120" w:type="dxa"/>
            </w:tcMar>
          </w:tcPr>
          <w:p>
            <w:pPr>
              <w:spacing w:after="0"/>
            </w:pPr>
            <w:r>
              <w:rPr>
                <w:rFonts w:ascii="Calibri" w:hAnsi="Calibri"/>
                <w:b/>
                <w:color w:val="1F4D78"/>
                <w:sz w:val="18"/>
              </w:rPr>
              <w:t>Acceptance gate</w:t>
            </w:r>
          </w:p>
        </w:tc>
      </w:tr>
      <w:tr>
        <w:tc>
          <w:tcPr>
            <w:tcW w:type="dxa" w:w="1152"/>
            <w:vAlign w:val="center"/>
            <w:tcMar>
              <w:top w:w="80" w:type="dxa"/>
              <w:bottom w:w="80" w:type="dxa"/>
              <w:start w:w="120" w:type="dxa"/>
              <w:end w:w="120" w:type="dxa"/>
            </w:tcMar>
          </w:tcPr>
          <w:p>
            <w:pPr>
              <w:spacing w:after="0"/>
            </w:pPr>
            <w:r>
              <w:rPr>
                <w:rFonts w:ascii="Calibri" w:hAnsi="Calibri"/>
                <w:b w:val="0"/>
                <w:sz w:val="18"/>
              </w:rPr>
              <w:t>M0</w:t>
            </w:r>
          </w:p>
        </w:tc>
        <w:tc>
          <w:tcPr>
            <w:tcW w:type="dxa" w:w="2232"/>
            <w:vAlign w:val="center"/>
            <w:tcMar>
              <w:top w:w="80" w:type="dxa"/>
              <w:bottom w:w="80" w:type="dxa"/>
              <w:start w:w="120" w:type="dxa"/>
              <w:end w:w="120" w:type="dxa"/>
            </w:tcMar>
          </w:tcPr>
          <w:p>
            <w:pPr>
              <w:spacing w:after="0"/>
            </w:pPr>
            <w:r>
              <w:rPr>
                <w:rFonts w:ascii="Calibri" w:hAnsi="Calibri"/>
                <w:b w:val="0"/>
                <w:sz w:val="18"/>
              </w:rPr>
              <w:t>Foundation</w:t>
            </w:r>
          </w:p>
        </w:tc>
        <w:tc>
          <w:tcPr>
            <w:tcW w:type="dxa" w:w="5976"/>
            <w:vAlign w:val="center"/>
            <w:tcMar>
              <w:top w:w="80" w:type="dxa"/>
              <w:bottom w:w="80" w:type="dxa"/>
              <w:start w:w="120" w:type="dxa"/>
              <w:end w:w="120" w:type="dxa"/>
            </w:tcMar>
          </w:tcPr>
          <w:p>
            <w:pPr>
              <w:spacing w:after="0"/>
            </w:pPr>
            <w:r>
              <w:rPr>
                <w:rFonts w:ascii="Calibri" w:hAnsi="Calibri"/>
                <w:b w:val="0"/>
                <w:sz w:val="18"/>
              </w:rPr>
              <w:t>Workspace, registry, status, and initial contracts exist</w:t>
            </w:r>
          </w:p>
        </w:tc>
      </w:tr>
      <w:tr>
        <w:tc>
          <w:tcPr>
            <w:tcW w:type="dxa" w:w="1152"/>
            <w:vAlign w:val="center"/>
            <w:tcMar>
              <w:top w:w="80" w:type="dxa"/>
              <w:bottom w:w="80" w:type="dxa"/>
              <w:start w:w="120" w:type="dxa"/>
              <w:end w:w="120" w:type="dxa"/>
            </w:tcMar>
          </w:tcPr>
          <w:p>
            <w:pPr>
              <w:spacing w:after="0"/>
            </w:pPr>
            <w:r>
              <w:rPr>
                <w:rFonts w:ascii="Calibri" w:hAnsi="Calibri"/>
                <w:b w:val="0"/>
                <w:sz w:val="18"/>
              </w:rPr>
              <w:t>M1</w:t>
            </w:r>
          </w:p>
        </w:tc>
        <w:tc>
          <w:tcPr>
            <w:tcW w:type="dxa" w:w="2232"/>
            <w:vAlign w:val="center"/>
            <w:tcMar>
              <w:top w:w="80" w:type="dxa"/>
              <w:bottom w:w="80" w:type="dxa"/>
              <w:start w:w="120" w:type="dxa"/>
              <w:end w:w="120" w:type="dxa"/>
            </w:tcMar>
          </w:tcPr>
          <w:p>
            <w:pPr>
              <w:spacing w:after="0"/>
            </w:pPr>
            <w:r>
              <w:rPr>
                <w:rFonts w:ascii="Calibri" w:hAnsi="Calibri"/>
                <w:b w:val="0"/>
                <w:sz w:val="18"/>
              </w:rPr>
              <w:t>Source onboarding</w:t>
            </w:r>
          </w:p>
        </w:tc>
        <w:tc>
          <w:tcPr>
            <w:tcW w:type="dxa" w:w="5976"/>
            <w:vAlign w:val="center"/>
            <w:tcMar>
              <w:top w:w="80" w:type="dxa"/>
              <w:bottom w:w="80" w:type="dxa"/>
              <w:start w:w="120" w:type="dxa"/>
              <w:end w:w="120" w:type="dxa"/>
            </w:tcMar>
          </w:tcPr>
          <w:p>
            <w:pPr>
              <w:spacing w:after="0"/>
            </w:pPr>
            <w:r>
              <w:rPr>
                <w:rFonts w:ascii="Calibri" w:hAnsi="Calibri"/>
                <w:b w:val="0"/>
                <w:sz w:val="18"/>
              </w:rPr>
              <w:t>All samples placed, hashed, mapped, and test fixtures recorded</w:t>
            </w:r>
          </w:p>
        </w:tc>
      </w:tr>
      <w:tr>
        <w:tc>
          <w:tcPr>
            <w:tcW w:type="dxa" w:w="1152"/>
            <w:vAlign w:val="center"/>
            <w:tcMar>
              <w:top w:w="80" w:type="dxa"/>
              <w:bottom w:w="80" w:type="dxa"/>
              <w:start w:w="120" w:type="dxa"/>
              <w:end w:w="120" w:type="dxa"/>
            </w:tcMar>
          </w:tcPr>
          <w:p>
            <w:pPr>
              <w:spacing w:after="0"/>
            </w:pPr>
            <w:r>
              <w:rPr>
                <w:rFonts w:ascii="Calibri" w:hAnsi="Calibri"/>
                <w:b w:val="0"/>
                <w:sz w:val="18"/>
              </w:rPr>
              <w:t>M2</w:t>
            </w:r>
          </w:p>
        </w:tc>
        <w:tc>
          <w:tcPr>
            <w:tcW w:type="dxa" w:w="2232"/>
            <w:vAlign w:val="center"/>
            <w:tcMar>
              <w:top w:w="80" w:type="dxa"/>
              <w:bottom w:w="80" w:type="dxa"/>
              <w:start w:w="120" w:type="dxa"/>
              <w:end w:w="120" w:type="dxa"/>
            </w:tcMar>
          </w:tcPr>
          <w:p>
            <w:pPr>
              <w:spacing w:after="0"/>
            </w:pPr>
            <w:r>
              <w:rPr>
                <w:rFonts w:ascii="Calibri" w:hAnsi="Calibri"/>
                <w:b w:val="0"/>
                <w:sz w:val="18"/>
              </w:rPr>
              <w:t>Import engine</w:t>
            </w:r>
          </w:p>
        </w:tc>
        <w:tc>
          <w:tcPr>
            <w:tcW w:type="dxa" w:w="5976"/>
            <w:vAlign w:val="center"/>
            <w:tcMar>
              <w:top w:w="80" w:type="dxa"/>
              <w:bottom w:w="80" w:type="dxa"/>
              <w:start w:w="120" w:type="dxa"/>
              <w:end w:w="120" w:type="dxa"/>
            </w:tcMar>
          </w:tcPr>
          <w:p>
            <w:pPr>
              <w:spacing w:after="0"/>
            </w:pPr>
            <w:r>
              <w:rPr>
                <w:rFonts w:ascii="Calibri" w:hAnsi="Calibri"/>
                <w:b w:val="0"/>
                <w:sz w:val="18"/>
              </w:rPr>
              <w:t>Routine daily files import without source-specific KPI code changes</w:t>
            </w:r>
          </w:p>
        </w:tc>
      </w:tr>
      <w:tr>
        <w:tc>
          <w:tcPr>
            <w:tcW w:type="dxa" w:w="1152"/>
            <w:vAlign w:val="center"/>
            <w:tcMar>
              <w:top w:w="80" w:type="dxa"/>
              <w:bottom w:w="80" w:type="dxa"/>
              <w:start w:w="120" w:type="dxa"/>
              <w:end w:w="120" w:type="dxa"/>
            </w:tcMar>
          </w:tcPr>
          <w:p>
            <w:pPr>
              <w:spacing w:after="0"/>
            </w:pPr>
            <w:r>
              <w:rPr>
                <w:rFonts w:ascii="Calibri" w:hAnsi="Calibri"/>
                <w:b w:val="0"/>
                <w:sz w:val="18"/>
              </w:rPr>
              <w:t>M3</w:t>
            </w:r>
          </w:p>
        </w:tc>
        <w:tc>
          <w:tcPr>
            <w:tcW w:type="dxa" w:w="2232"/>
            <w:vAlign w:val="center"/>
            <w:tcMar>
              <w:top w:w="80" w:type="dxa"/>
              <w:bottom w:w="80" w:type="dxa"/>
              <w:start w:w="120" w:type="dxa"/>
              <w:end w:w="120" w:type="dxa"/>
            </w:tcMar>
          </w:tcPr>
          <w:p>
            <w:pPr>
              <w:spacing w:after="0"/>
            </w:pPr>
            <w:r>
              <w:rPr>
                <w:rFonts w:ascii="Calibri" w:hAnsi="Calibri"/>
                <w:b w:val="0"/>
                <w:sz w:val="18"/>
              </w:rPr>
              <w:t>Canonical layer</w:t>
            </w:r>
          </w:p>
        </w:tc>
        <w:tc>
          <w:tcPr>
            <w:tcW w:type="dxa" w:w="5976"/>
            <w:vAlign w:val="center"/>
            <w:tcMar>
              <w:top w:w="80" w:type="dxa"/>
              <w:bottom w:w="80" w:type="dxa"/>
              <w:start w:w="120" w:type="dxa"/>
              <w:end w:w="120" w:type="dxa"/>
            </w:tcMar>
          </w:tcPr>
          <w:p>
            <w:pPr>
              <w:spacing w:after="0"/>
            </w:pPr>
            <w:r>
              <w:rPr>
                <w:rFonts w:ascii="Calibri" w:hAnsi="Calibri"/>
                <w:b w:val="0"/>
                <w:sz w:val="18"/>
              </w:rPr>
              <w:t>Mapping, quarantine, lineage, and reconciliation pass</w:t>
            </w:r>
          </w:p>
        </w:tc>
      </w:tr>
      <w:tr>
        <w:tc>
          <w:tcPr>
            <w:tcW w:type="dxa" w:w="1152"/>
            <w:vAlign w:val="center"/>
            <w:tcMar>
              <w:top w:w="80" w:type="dxa"/>
              <w:bottom w:w="80" w:type="dxa"/>
              <w:start w:w="120" w:type="dxa"/>
              <w:end w:w="120" w:type="dxa"/>
            </w:tcMar>
          </w:tcPr>
          <w:p>
            <w:pPr>
              <w:spacing w:after="0"/>
            </w:pPr>
            <w:r>
              <w:rPr>
                <w:rFonts w:ascii="Calibri" w:hAnsi="Calibri"/>
                <w:b w:val="0"/>
                <w:sz w:val="18"/>
              </w:rPr>
              <w:t>M4</w:t>
            </w:r>
          </w:p>
        </w:tc>
        <w:tc>
          <w:tcPr>
            <w:tcW w:type="dxa" w:w="2232"/>
            <w:vAlign w:val="center"/>
            <w:tcMar>
              <w:top w:w="80" w:type="dxa"/>
              <w:bottom w:w="80" w:type="dxa"/>
              <w:start w:w="120" w:type="dxa"/>
              <w:end w:w="120" w:type="dxa"/>
            </w:tcMar>
          </w:tcPr>
          <w:p>
            <w:pPr>
              <w:spacing w:after="0"/>
            </w:pPr>
            <w:r>
              <w:rPr>
                <w:rFonts w:ascii="Calibri" w:hAnsi="Calibri"/>
                <w:b w:val="0"/>
                <w:sz w:val="18"/>
              </w:rPr>
              <w:t>Warehouse</w:t>
            </w:r>
          </w:p>
        </w:tc>
        <w:tc>
          <w:tcPr>
            <w:tcW w:type="dxa" w:w="5976"/>
            <w:vAlign w:val="center"/>
            <w:tcMar>
              <w:top w:w="80" w:type="dxa"/>
              <w:bottom w:w="80" w:type="dxa"/>
              <w:start w:w="120" w:type="dxa"/>
              <w:end w:w="120" w:type="dxa"/>
            </w:tcMar>
          </w:tcPr>
          <w:p>
            <w:pPr>
              <w:spacing w:after="0"/>
            </w:pPr>
            <w:r>
              <w:rPr>
                <w:rFonts w:ascii="Calibri" w:hAnsi="Calibri"/>
                <w:b w:val="0"/>
                <w:sz w:val="18"/>
              </w:rPr>
              <w:t>Historical facts and dimensions support multi-dimensional drill-down</w:t>
            </w:r>
          </w:p>
        </w:tc>
      </w:tr>
      <w:tr>
        <w:tc>
          <w:tcPr>
            <w:tcW w:type="dxa" w:w="1152"/>
            <w:vAlign w:val="center"/>
            <w:tcMar>
              <w:top w:w="80" w:type="dxa"/>
              <w:bottom w:w="80" w:type="dxa"/>
              <w:start w:w="120" w:type="dxa"/>
              <w:end w:w="120" w:type="dxa"/>
            </w:tcMar>
          </w:tcPr>
          <w:p>
            <w:pPr>
              <w:spacing w:after="0"/>
            </w:pPr>
            <w:r>
              <w:rPr>
                <w:rFonts w:ascii="Calibri" w:hAnsi="Calibri"/>
                <w:b w:val="0"/>
                <w:sz w:val="18"/>
              </w:rPr>
              <w:t>M5</w:t>
            </w:r>
          </w:p>
        </w:tc>
        <w:tc>
          <w:tcPr>
            <w:tcW w:type="dxa" w:w="2232"/>
            <w:vAlign w:val="center"/>
            <w:tcMar>
              <w:top w:w="80" w:type="dxa"/>
              <w:bottom w:w="80" w:type="dxa"/>
              <w:start w:w="120" w:type="dxa"/>
              <w:end w:w="120" w:type="dxa"/>
            </w:tcMar>
          </w:tcPr>
          <w:p>
            <w:pPr>
              <w:spacing w:after="0"/>
            </w:pPr>
            <w:r>
              <w:rPr>
                <w:rFonts w:ascii="Calibri" w:hAnsi="Calibri"/>
                <w:b w:val="0"/>
                <w:sz w:val="18"/>
              </w:rPr>
              <w:t>Dashboard</w:t>
            </w:r>
          </w:p>
        </w:tc>
        <w:tc>
          <w:tcPr>
            <w:tcW w:type="dxa" w:w="5976"/>
            <w:vAlign w:val="center"/>
            <w:tcMar>
              <w:top w:w="80" w:type="dxa"/>
              <w:bottom w:w="80" w:type="dxa"/>
              <w:start w:w="120" w:type="dxa"/>
              <w:end w:w="120" w:type="dxa"/>
            </w:tcMar>
          </w:tcPr>
          <w:p>
            <w:pPr>
              <w:spacing w:after="0"/>
            </w:pPr>
            <w:r>
              <w:rPr>
                <w:rFonts w:ascii="Calibri" w:hAnsi="Calibri"/>
                <w:b w:val="0"/>
                <w:sz w:val="18"/>
              </w:rPr>
              <w:t>Approved KPI reconciliation and role access pass</w:t>
            </w:r>
          </w:p>
        </w:tc>
      </w:tr>
      <w:tr>
        <w:tc>
          <w:tcPr>
            <w:tcW w:type="dxa" w:w="1152"/>
            <w:vAlign w:val="center"/>
            <w:tcMar>
              <w:top w:w="80" w:type="dxa"/>
              <w:bottom w:w="80" w:type="dxa"/>
              <w:start w:w="120" w:type="dxa"/>
              <w:end w:w="120" w:type="dxa"/>
            </w:tcMar>
          </w:tcPr>
          <w:p>
            <w:pPr>
              <w:spacing w:after="0"/>
            </w:pPr>
            <w:r>
              <w:rPr>
                <w:rFonts w:ascii="Calibri" w:hAnsi="Calibri"/>
                <w:b w:val="0"/>
                <w:sz w:val="18"/>
              </w:rPr>
              <w:t>M6</w:t>
            </w:r>
          </w:p>
        </w:tc>
        <w:tc>
          <w:tcPr>
            <w:tcW w:type="dxa" w:w="2232"/>
            <w:vAlign w:val="center"/>
            <w:tcMar>
              <w:top w:w="80" w:type="dxa"/>
              <w:bottom w:w="80" w:type="dxa"/>
              <w:start w:w="120" w:type="dxa"/>
              <w:end w:w="120" w:type="dxa"/>
            </w:tcMar>
          </w:tcPr>
          <w:p>
            <w:pPr>
              <w:spacing w:after="0"/>
            </w:pPr>
            <w:r>
              <w:rPr>
                <w:rFonts w:ascii="Calibri" w:hAnsi="Calibri"/>
                <w:b w:val="0"/>
                <w:sz w:val="18"/>
              </w:rPr>
              <w:t>AI analytics</w:t>
            </w:r>
          </w:p>
        </w:tc>
        <w:tc>
          <w:tcPr>
            <w:tcW w:type="dxa" w:w="5976"/>
            <w:vAlign w:val="center"/>
            <w:tcMar>
              <w:top w:w="80" w:type="dxa"/>
              <w:bottom w:w="80" w:type="dxa"/>
              <w:start w:w="120" w:type="dxa"/>
              <w:end w:w="120" w:type="dxa"/>
            </w:tcMar>
          </w:tcPr>
          <w:p>
            <w:pPr>
              <w:spacing w:after="0"/>
            </w:pPr>
            <w:r>
              <w:rPr>
                <w:rFonts w:ascii="Calibri" w:hAnsi="Calibri"/>
                <w:b w:val="0"/>
                <w:sz w:val="18"/>
              </w:rPr>
              <w:t>AI uses certified semantic data and preserves evidence lineage</w:t>
            </w:r>
          </w:p>
        </w:tc>
      </w:tr>
    </w:tbl>
    <w:p>
      <w:pPr>
        <w:spacing w:after="0"/>
      </w:pPr>
    </w:p>
    <w:p>
      <w:pPr>
        <w:pStyle w:val="Heading1"/>
      </w:pPr>
      <w:r>
        <w:t>10. Current state and next action</w:t>
      </w:r>
    </w:p>
    <w:p>
      <w:r>
        <w:t>The workspace foundation is complete. Existing project files were preserved at the project root and copied into governed folders. KPI workbooks are placed for DH, GBH, HH, HP/MH, and TWD; SAP Item Master, OSCN, and Branch Master exports are under MasterData. KPI - TA 2026.xlsx is quarantined as unclassified because its source cannot be identified safely from the filename.</w:t>
      </w:r>
    </w:p>
    <w:p>
      <w:r>
        <w:t>Immediate next action: profile the placed workbooks and produce a SHA-256 source manifest, workbook structure inventory, field mapping matrix, and acceptance test per source. The earlier raw daily-report attachments are not separately visible in the current filesystem.</w:t>
      </w:r>
    </w:p>
    <w:p>
      <w:pPr>
        <w:pStyle w:val="Heading1"/>
      </w:pPr>
      <w:r>
        <w:t>11. AI context</w:t>
      </w:r>
    </w:p>
    <w:tbl>
      <w:tblPr>
        <w:tblW w:type="auto" w:w="0"/>
        <w:jc w:val="left"/>
        <w:tblLayout w:type="fixed"/>
        <w:tblLook w:firstColumn="1" w:firstRow="1" w:lastColumn="0" w:lastRow="0" w:noHBand="0" w:noVBand="1" w:val="04A0"/>
      </w:tblPr>
      <w:tblGrid>
        <w:gridCol w:w="4680"/>
        <w:gridCol w:w="4680"/>
      </w:tblGrid>
      <w:tr>
        <w:tc>
          <w:tcPr>
            <w:tcW w:type="dxa" w:w="2088"/>
            <w:shd w:fill="E8EEF5"/>
            <w:vAlign w:val="center"/>
            <w:tcMar>
              <w:top w:w="80" w:type="dxa"/>
              <w:bottom w:w="80" w:type="dxa"/>
              <w:start w:w="120" w:type="dxa"/>
              <w:end w:w="120" w:type="dxa"/>
            </w:tcMar>
          </w:tcPr>
          <w:p>
            <w:pPr>
              <w:spacing w:after="0"/>
            </w:pPr>
            <w:r>
              <w:rPr>
                <w:rFonts w:ascii="Calibri" w:hAnsi="Calibri"/>
                <w:b/>
                <w:color w:val="1F4D78"/>
                <w:sz w:val="18"/>
              </w:rPr>
              <w:t>Context key</w:t>
            </w:r>
          </w:p>
        </w:tc>
        <w:tc>
          <w:tcPr>
            <w:tcW w:type="dxa" w:w="7272"/>
            <w:shd w:fill="E8EEF5"/>
            <w:vAlign w:val="center"/>
            <w:tcMar>
              <w:top w:w="80" w:type="dxa"/>
              <w:bottom w:w="80" w:type="dxa"/>
              <w:start w:w="120" w:type="dxa"/>
              <w:end w:w="120" w:type="dxa"/>
            </w:tcMar>
          </w:tcPr>
          <w:p>
            <w:pPr>
              <w:spacing w:after="0"/>
            </w:pPr>
            <w:r>
              <w:rPr>
                <w:rFonts w:ascii="Calibri" w:hAnsi="Calibri"/>
                <w:b/>
                <w:color w:val="1F4D78"/>
                <w:sz w:val="18"/>
              </w:rPr>
              <w:t>Value</w:t>
            </w:r>
          </w:p>
        </w:tc>
      </w:tr>
      <w:tr>
        <w:tc>
          <w:tcPr>
            <w:tcW w:type="dxa" w:w="2088"/>
            <w:vAlign w:val="center"/>
            <w:tcMar>
              <w:top w:w="80" w:type="dxa"/>
              <w:bottom w:w="80" w:type="dxa"/>
              <w:start w:w="120" w:type="dxa"/>
              <w:end w:w="120" w:type="dxa"/>
            </w:tcMar>
          </w:tcPr>
          <w:p>
            <w:pPr>
              <w:spacing w:after="0"/>
            </w:pPr>
            <w:r>
              <w:rPr>
                <w:rFonts w:ascii="Calibri" w:hAnsi="Calibri"/>
                <w:b w:val="0"/>
                <w:sz w:val="18"/>
              </w:rPr>
              <w:t>Purpose</w:t>
            </w:r>
          </w:p>
        </w:tc>
        <w:tc>
          <w:tcPr>
            <w:tcW w:type="dxa" w:w="7272"/>
            <w:vAlign w:val="center"/>
            <w:tcMar>
              <w:top w:w="80" w:type="dxa"/>
              <w:bottom w:w="80" w:type="dxa"/>
              <w:start w:w="120" w:type="dxa"/>
              <w:end w:w="120" w:type="dxa"/>
            </w:tcMar>
          </w:tcPr>
          <w:p>
            <w:pPr>
              <w:spacing w:after="0"/>
            </w:pPr>
            <w:r>
              <w:rPr>
                <w:rFonts w:ascii="Calibri" w:hAnsi="Calibri"/>
                <w:b w:val="0"/>
                <w:sz w:val="18"/>
              </w:rPr>
              <w:t>Normalize daily Modern Trade sell-out and inventory into governed canonical facts</w:t>
            </w:r>
          </w:p>
        </w:tc>
      </w:tr>
      <w:tr>
        <w:tc>
          <w:tcPr>
            <w:tcW w:type="dxa" w:w="2088"/>
            <w:vAlign w:val="center"/>
            <w:tcMar>
              <w:top w:w="80" w:type="dxa"/>
              <w:bottom w:w="80" w:type="dxa"/>
              <w:start w:w="120" w:type="dxa"/>
              <w:end w:w="120" w:type="dxa"/>
            </w:tcMar>
          </w:tcPr>
          <w:p>
            <w:pPr>
              <w:spacing w:after="0"/>
            </w:pPr>
            <w:r>
              <w:rPr>
                <w:rFonts w:ascii="Calibri" w:hAnsi="Calibri"/>
                <w:b w:val="0"/>
                <w:sz w:val="18"/>
              </w:rPr>
              <w:t>Master systems</w:t>
            </w:r>
          </w:p>
        </w:tc>
        <w:tc>
          <w:tcPr>
            <w:tcW w:type="dxa" w:w="7272"/>
            <w:vAlign w:val="center"/>
            <w:tcMar>
              <w:top w:w="80" w:type="dxa"/>
              <w:bottom w:w="80" w:type="dxa"/>
              <w:start w:w="120" w:type="dxa"/>
              <w:end w:w="120" w:type="dxa"/>
            </w:tcMar>
          </w:tcPr>
          <w:p>
            <w:pPr>
              <w:spacing w:after="0"/>
            </w:pPr>
            <w:r>
              <w:rPr>
                <w:rFonts w:ascii="Calibri" w:hAnsi="Calibri"/>
                <w:b w:val="0"/>
                <w:sz w:val="18"/>
              </w:rPr>
              <w:t>SAP Item Master Data, OSCN, Business Partner Master Data</w:t>
            </w:r>
          </w:p>
        </w:tc>
      </w:tr>
      <w:tr>
        <w:tc>
          <w:tcPr>
            <w:tcW w:type="dxa" w:w="2088"/>
            <w:vAlign w:val="center"/>
            <w:tcMar>
              <w:top w:w="80" w:type="dxa"/>
              <w:bottom w:w="80" w:type="dxa"/>
              <w:start w:w="120" w:type="dxa"/>
              <w:end w:w="120" w:type="dxa"/>
            </w:tcMar>
          </w:tcPr>
          <w:p>
            <w:pPr>
              <w:spacing w:after="0"/>
            </w:pPr>
            <w:r>
              <w:rPr>
                <w:rFonts w:ascii="Calibri" w:hAnsi="Calibri"/>
                <w:b w:val="0"/>
                <w:sz w:val="18"/>
              </w:rPr>
              <w:t>Sales semantics</w:t>
            </w:r>
          </w:p>
        </w:tc>
        <w:tc>
          <w:tcPr>
            <w:tcW w:type="dxa" w:w="7272"/>
            <w:vAlign w:val="center"/>
            <w:tcMar>
              <w:top w:w="80" w:type="dxa"/>
              <w:bottom w:w="80" w:type="dxa"/>
              <w:start w:w="120" w:type="dxa"/>
              <w:end w:w="120" w:type="dxa"/>
            </w:tcMar>
          </w:tcPr>
          <w:p>
            <w:pPr>
              <w:spacing w:after="0"/>
            </w:pPr>
            <w:r>
              <w:rPr>
                <w:rFonts w:ascii="Calibri" w:hAnsi="Calibri"/>
                <w:b w:val="0"/>
                <w:sz w:val="18"/>
              </w:rPr>
              <w:t>Ex-VAT, after discount, sell-out, returns separated</w:t>
            </w:r>
          </w:p>
        </w:tc>
      </w:tr>
      <w:tr>
        <w:tc>
          <w:tcPr>
            <w:tcW w:type="dxa" w:w="2088"/>
            <w:vAlign w:val="center"/>
            <w:tcMar>
              <w:top w:w="80" w:type="dxa"/>
              <w:bottom w:w="80" w:type="dxa"/>
              <w:start w:w="120" w:type="dxa"/>
              <w:end w:w="120" w:type="dxa"/>
            </w:tcMar>
          </w:tcPr>
          <w:p>
            <w:pPr>
              <w:spacing w:after="0"/>
            </w:pPr>
            <w:r>
              <w:rPr>
                <w:rFonts w:ascii="Calibri" w:hAnsi="Calibri"/>
                <w:b w:val="0"/>
                <w:sz w:val="18"/>
              </w:rPr>
              <w:t>Active sources</w:t>
            </w:r>
          </w:p>
        </w:tc>
        <w:tc>
          <w:tcPr>
            <w:tcW w:type="dxa" w:w="7272"/>
            <w:vAlign w:val="center"/>
            <w:tcMar>
              <w:top w:w="80" w:type="dxa"/>
              <w:bottom w:w="80" w:type="dxa"/>
              <w:start w:w="120" w:type="dxa"/>
              <w:end w:w="120" w:type="dxa"/>
            </w:tcMar>
          </w:tcPr>
          <w:p>
            <w:pPr>
              <w:spacing w:after="0"/>
            </w:pPr>
            <w:r>
              <w:rPr>
                <w:rFonts w:ascii="Calibri" w:hAnsi="Calibri"/>
                <w:b w:val="0"/>
                <w:sz w:val="18"/>
              </w:rPr>
              <w:t>DH, GBH, HH, HP, MH, TWD</w:t>
            </w:r>
          </w:p>
        </w:tc>
      </w:tr>
      <w:tr>
        <w:tc>
          <w:tcPr>
            <w:tcW w:type="dxa" w:w="2088"/>
            <w:vAlign w:val="center"/>
            <w:tcMar>
              <w:top w:w="80" w:type="dxa"/>
              <w:bottom w:w="80" w:type="dxa"/>
              <w:start w:w="120" w:type="dxa"/>
              <w:end w:w="120" w:type="dxa"/>
            </w:tcMar>
          </w:tcPr>
          <w:p>
            <w:pPr>
              <w:spacing w:after="0"/>
            </w:pPr>
            <w:r>
              <w:rPr>
                <w:rFonts w:ascii="Calibri" w:hAnsi="Calibri"/>
                <w:b w:val="0"/>
                <w:sz w:val="18"/>
              </w:rPr>
              <w:t>Non-negotiables</w:t>
            </w:r>
          </w:p>
        </w:tc>
        <w:tc>
          <w:tcPr>
            <w:tcW w:type="dxa" w:w="7272"/>
            <w:vAlign w:val="center"/>
            <w:tcMar>
              <w:top w:w="80" w:type="dxa"/>
              <w:bottom w:w="80" w:type="dxa"/>
              <w:start w:w="120" w:type="dxa"/>
              <w:end w:w="120" w:type="dxa"/>
            </w:tcMar>
          </w:tcPr>
          <w:p>
            <w:pPr>
              <w:spacing w:after="0"/>
            </w:pPr>
            <w:r>
              <w:rPr>
                <w:rFonts w:ascii="Calibri" w:hAnsi="Calibri"/>
                <w:b w:val="0"/>
                <w:sz w:val="18"/>
              </w:rPr>
              <w:t>Immutable raw files, configuration-driven profiles, quarantine, reconciliation, end-to-end lineage, canonical-only analytics</w:t>
            </w:r>
          </w:p>
        </w:tc>
      </w:tr>
      <w:tr>
        <w:tc>
          <w:tcPr>
            <w:tcW w:type="dxa" w:w="2088"/>
            <w:vAlign w:val="center"/>
            <w:tcMar>
              <w:top w:w="80" w:type="dxa"/>
              <w:bottom w:w="80" w:type="dxa"/>
              <w:start w:w="120" w:type="dxa"/>
              <w:end w:w="120" w:type="dxa"/>
            </w:tcMar>
          </w:tcPr>
          <w:p>
            <w:pPr>
              <w:spacing w:after="0"/>
            </w:pPr>
            <w:r>
              <w:rPr>
                <w:rFonts w:ascii="Calibri" w:hAnsi="Calibri"/>
                <w:b w:val="0"/>
                <w:sz w:val="18"/>
              </w:rPr>
              <w:t>Current constraint</w:t>
            </w:r>
          </w:p>
        </w:tc>
        <w:tc>
          <w:tcPr>
            <w:tcW w:type="dxa" w:w="7272"/>
            <w:vAlign w:val="center"/>
            <w:tcMar>
              <w:top w:w="80" w:type="dxa"/>
              <w:bottom w:w="80" w:type="dxa"/>
              <w:start w:w="120" w:type="dxa"/>
              <w:end w:w="120" w:type="dxa"/>
            </w:tcMar>
          </w:tcPr>
          <w:p>
            <w:pPr>
              <w:spacing w:after="0"/>
            </w:pPr>
            <w:r>
              <w:rPr>
                <w:rFonts w:ascii="Calibri" w:hAnsi="Calibri"/>
                <w:b w:val="0"/>
                <w:sz w:val="18"/>
              </w:rPr>
              <w:t>KPI workbooks are available; earlier raw daily-report attachments are not separately visible</w:t>
            </w:r>
          </w:p>
        </w:tc>
      </w:tr>
      <w:tr>
        <w:tc>
          <w:tcPr>
            <w:tcW w:type="dxa" w:w="2088"/>
            <w:vAlign w:val="center"/>
            <w:tcMar>
              <w:top w:w="80" w:type="dxa"/>
              <w:bottom w:w="80" w:type="dxa"/>
              <w:start w:w="120" w:type="dxa"/>
              <w:end w:w="120" w:type="dxa"/>
            </w:tcMar>
          </w:tcPr>
          <w:p>
            <w:pPr>
              <w:spacing w:after="0"/>
            </w:pPr>
            <w:r>
              <w:rPr>
                <w:rFonts w:ascii="Calibri" w:hAnsi="Calibri"/>
                <w:b w:val="0"/>
                <w:sz w:val="18"/>
              </w:rPr>
              <w:t>Next milestone</w:t>
            </w:r>
          </w:p>
        </w:tc>
        <w:tc>
          <w:tcPr>
            <w:tcW w:type="dxa" w:w="7272"/>
            <w:vAlign w:val="center"/>
            <w:tcMar>
              <w:top w:w="80" w:type="dxa"/>
              <w:bottom w:w="80" w:type="dxa"/>
              <w:start w:w="120" w:type="dxa"/>
              <w:end w:w="120" w:type="dxa"/>
            </w:tcMar>
          </w:tcPr>
          <w:p>
            <w:pPr>
              <w:spacing w:after="0"/>
            </w:pPr>
            <w:r>
              <w:rPr>
                <w:rFonts w:ascii="Calibri" w:hAnsi="Calibri"/>
                <w:b w:val="0"/>
                <w:sz w:val="18"/>
              </w:rPr>
              <w:t>M1 Source onboarding baseline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95959"/>
        <w:sz w:val="17"/>
      </w:rPr>
      <w:t>Window Asia Public Company Limited | v0.2 | 22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95959"/>
        <w:sz w:val="17"/>
      </w:rPr>
      <w:t>ESIP Engineering Guidebook | Living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