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xmlns:wp14="http://schemas.microsoft.com/office/word/2010/wordml" w14:paraId="2EC61855" wp14:textId="77777777">
      <w:pPr>
        <w:pStyle w:val="Heading1"/>
        <w:pBdr/>
        <w:shd w:val="clear" w:fill="FFFFFF"/>
        <w:spacing w:before="400" w:after="160" w:line="240" w:lineRule="auto"/>
        <w:ind w:left="-810" w:right="-720" w:hanging="0"/>
        <w:jc w:val="both"/>
        <w:rPr>
          <w:rFonts w:ascii="Times New Roman" w:hAnsi="Times New Roman" w:eastAsia="Times New Roman" w:cs="Times New Roman"/>
          <w:b/>
          <w:b/>
          <w:bCs/>
          <w:sz w:val="34"/>
          <w:szCs w:val="34"/>
        </w:rPr>
      </w:pPr>
      <w:bookmarkStart w:name="_phhdio1und5c" w:id="0"/>
      <w:bookmarkEnd w:id="0"/>
      <w:r>
        <w:rPr>
          <w:rFonts w:ascii="Times New Roman" w:hAnsi="Times New Roman" w:eastAsia="Times New Roman" w:cs="Times New Roman"/>
          <w:b/>
          <w:bCs/>
          <w:sz w:val="34"/>
          <w:szCs w:val="34"/>
        </w:rPr>
        <w:t>Supplementary Methods</w:t>
      </w:r>
    </w:p>
    <w:p xmlns:wp14="http://schemas.microsoft.com/office/word/2010/wordml" w14:paraId="5B8FD20F" wp14:textId="77777777">
      <w:pPr>
        <w:pStyle w:val="Heading2"/>
        <w:pBdr/>
        <w:shd w:val="clear" w:fill="FFFFFF"/>
        <w:spacing w:before="360" w:after="160" w:line="240" w:lineRule="auto"/>
        <w:ind w:left="-810" w:right="-720" w:hanging="0"/>
        <w:jc w:val="both"/>
        <w:rPr>
          <w:rFonts w:ascii="Times New Roman" w:hAnsi="Times New Roman" w:eastAsia="Times New Roman" w:cs="Times New Roman"/>
          <w:sz w:val="28"/>
          <w:szCs w:val="28"/>
        </w:rPr>
      </w:pPr>
      <w:bookmarkStart w:name="_8zk18ibksuqq" w:id="1"/>
      <w:bookmarkEnd w:id="1"/>
      <w:r>
        <w:rPr>
          <w:rFonts w:ascii="Times New Roman" w:hAnsi="Times New Roman" w:eastAsia="Times New Roman" w:cs="Times New Roman"/>
          <w:b/>
          <w:bCs/>
          <w:sz w:val="30"/>
          <w:szCs w:val="30"/>
        </w:rPr>
        <w:t>Sequence-to-Function Association</w:t>
      </w:r>
      <w:r>
        <w:rPr>
          <w:rFonts w:ascii="Times New Roman" w:hAnsi="Times New Roman" w:eastAsia="Times New Roman" w:cs="Times New Roman"/>
          <w:sz w:val="28"/>
          <w:szCs w:val="28"/>
        </w:rPr>
        <w:t xml:space="preserve">  </w:t>
      </w:r>
    </w:p>
    <w:p xmlns:wp14="http://schemas.microsoft.com/office/word/2010/wordml" w14:paraId="73495E62" wp14:textId="77777777">
      <w:pPr>
        <w:pStyle w:val="Heading3"/>
        <w:pBdr/>
        <w:shd w:val="clear" w:fill="FFFFFF"/>
        <w:spacing w:before="260" w:after="80" w:line="240" w:lineRule="auto"/>
        <w:ind w:left="-810" w:right="-720" w:hanging="0"/>
        <w:jc w:val="both"/>
        <w:rPr>
          <w:rFonts w:ascii="Times New Roman" w:hAnsi="Times New Roman" w:eastAsia="Times New Roman" w:cs="Times New Roman"/>
        </w:rPr>
      </w:pPr>
      <w:bookmarkStart w:name="_y0bommxy2dgo" w:id="2"/>
      <w:bookmarkEnd w:id="2"/>
      <w:r>
        <w:rPr>
          <w:rFonts w:ascii="Times New Roman" w:hAnsi="Times New Roman" w:eastAsia="Times New Roman" w:cs="Times New Roman"/>
          <w:b/>
          <w:bCs/>
          <w:color w:val="000000"/>
        </w:rPr>
        <w:t>1. Homology Prediction</w:t>
      </w:r>
      <w:r>
        <w:rPr>
          <w:rFonts w:ascii="Times New Roman" w:hAnsi="Times New Roman" w:eastAsia="Times New Roman" w:cs="Times New Roman"/>
        </w:rPr>
        <w:t xml:space="preserve"> </w:t>
      </w:r>
    </w:p>
    <w:p xmlns:wp14="http://schemas.microsoft.com/office/word/2010/wordml" w14:paraId="672A6659" wp14:textId="77777777">
      <w:pPr>
        <w:pStyle w:val="Normal1"/>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p>
    <w:p xmlns:wp14="http://schemas.microsoft.com/office/word/2010/wordml" w14:paraId="3C9F90B1" wp14:textId="77777777">
      <w:pPr>
        <w:pStyle w:val="Normal1"/>
        <w:pBdr/>
        <w:shd w:val="clear" w:fill="FFFFFF"/>
        <w:spacing w:before="0" w:after="160"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Universal Protein Resource (UniProt) and its knowledge base (UniProtKB) are highly used EMBL-EBI repositories</w:t>
      </w:r>
      <w:hyperlink r:id="rId2">
        <w:r>
          <w:rPr>
            <w:rFonts w:ascii="Times New Roman" w:hAnsi="Times New Roman" w:eastAsia="Times New Roman" w:cs="Times New Roman"/>
            <w:sz w:val="28"/>
            <w:szCs w:val="28"/>
            <w:shd w:val="clear" w:fill="auto"/>
            <w:vertAlign w:val="superscript"/>
          </w:rPr>
          <w:t>1</w:t>
        </w:r>
      </w:hyperlink>
      <w:r>
        <w:rPr>
          <w:rFonts w:ascii="Times New Roman" w:hAnsi="Times New Roman" w:eastAsia="Times New Roman" w:cs="Times New Roman"/>
          <w:sz w:val="28"/>
          <w:szCs w:val="28"/>
        </w:rPr>
        <w:t>. The UniProtKB contains (i) unreviewed protein sequences having computationally generated, large-scale functional annotations (TrEMBL) and (ii) reviewed protein sequences having high-quality, manually annotated, and non-redundant sequences (Swiss-Prot). UniProt Reference Clusters (UniRef) stores sets of protein sequences that share 50% (UniRef50), 90% (UniRef90), and 100% (UniRef100) identity</w:t>
      </w:r>
      <w:hyperlink r:id="rId3">
        <w:r>
          <w:rPr>
            <w:rFonts w:ascii="Times New Roman" w:hAnsi="Times New Roman" w:eastAsia="Times New Roman" w:cs="Times New Roman"/>
            <w:sz w:val="28"/>
            <w:szCs w:val="28"/>
            <w:shd w:val="clear" w:fill="auto"/>
            <w:vertAlign w:val="superscript"/>
          </w:rPr>
          <w:t>2</w:t>
        </w:r>
      </w:hyperlink>
      <w:r>
        <w:rPr>
          <w:rFonts w:ascii="Times New Roman" w:hAnsi="Times New Roman" w:eastAsia="Times New Roman" w:cs="Times New Roman"/>
          <w:sz w:val="28"/>
          <w:szCs w:val="28"/>
        </w:rPr>
        <w:t>. Sequence-sequence homology search with the BLASTp algorithm was performed for individual protein sequences by querying against the Swiss-Prot/Reviewed database. Profile-profile homology search employing HHblits (number of iterations = 2) was carried out for each protein against the UniRef100</w:t>
      </w:r>
      <w:hyperlink r:id="rId4">
        <w:r>
          <w:rPr>
            <w:rFonts w:ascii="Times New Roman" w:hAnsi="Times New Roman" w:eastAsia="Times New Roman" w:cs="Times New Roman"/>
            <w:sz w:val="28"/>
            <w:szCs w:val="28"/>
            <w:shd w:val="clear" w:fill="auto"/>
            <w:vertAlign w:val="superscript"/>
          </w:rPr>
          <w:t>3</w:t>
        </w:r>
      </w:hyperlink>
      <w:r>
        <w:rPr>
          <w:rFonts w:ascii="Times New Roman" w:hAnsi="Times New Roman" w:eastAsia="Times New Roman" w:cs="Times New Roman"/>
          <w:sz w:val="28"/>
          <w:szCs w:val="28"/>
        </w:rPr>
        <w:t xml:space="preserve">. The annotation of the significant top hits (e-value &lt; 0.001), resulting from both searches, was associated with the given query sequence. </w:t>
      </w:r>
    </w:p>
    <w:p xmlns:wp14="http://schemas.microsoft.com/office/word/2010/wordml" w14:paraId="74949A6F" wp14:textId="77777777">
      <w:pPr>
        <w:pStyle w:val="Heading3"/>
        <w:pBdr/>
        <w:shd w:val="clear" w:fill="FFFFFF"/>
        <w:spacing w:before="260" w:after="80" w:line="240" w:lineRule="auto"/>
        <w:ind w:left="-810" w:right="-720" w:hanging="0"/>
        <w:jc w:val="both"/>
        <w:rPr>
          <w:rFonts w:ascii="Times New Roman" w:hAnsi="Times New Roman" w:eastAsia="Times New Roman" w:cs="Times New Roman"/>
          <w:color w:val="000000"/>
        </w:rPr>
      </w:pPr>
      <w:bookmarkStart w:name="_oza3xv8xi7i" w:id="3"/>
      <w:bookmarkEnd w:id="3"/>
      <w:r>
        <w:rPr>
          <w:rFonts w:ascii="Times New Roman" w:hAnsi="Times New Roman" w:eastAsia="Times New Roman" w:cs="Times New Roman"/>
          <w:b/>
          <w:bCs/>
          <w:color w:val="000000"/>
        </w:rPr>
        <w:t>2. Domains/ Motifs/ Signatures Prediction</w:t>
      </w:r>
      <w:r>
        <w:rPr>
          <w:rFonts w:ascii="Times New Roman" w:hAnsi="Times New Roman" w:eastAsia="Times New Roman" w:cs="Times New Roman"/>
          <w:color w:val="000000"/>
        </w:rPr>
        <w:t xml:space="preserve"> </w:t>
      </w:r>
    </w:p>
    <w:p xmlns:wp14="http://schemas.microsoft.com/office/word/2010/wordml" w14:paraId="090CBBAF" wp14:textId="77777777">
      <w:pPr>
        <w:pStyle w:val="Normal1"/>
        <w:pBdr/>
        <w:shd w:val="clear" w:fill="FFFFFF"/>
        <w:spacing w:before="260" w:after="0"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Protein sequences for individual genes were retrieved from KEGG (Kyoto Encyclopedia of Genes and Genomes) and subjected to a command-line version of InterProScan for domain-based functional characterization</w:t>
      </w:r>
      <w:hyperlink r:id="rId5">
        <w:r>
          <w:rPr>
            <w:rFonts w:ascii="Times New Roman" w:hAnsi="Times New Roman" w:eastAsia="Times New Roman" w:cs="Times New Roman"/>
            <w:sz w:val="28"/>
            <w:szCs w:val="28"/>
            <w:shd w:val="clear" w:fill="auto"/>
            <w:vertAlign w:val="superscript"/>
          </w:rPr>
          <w:t>4,5</w:t>
        </w:r>
      </w:hyperlink>
      <w:r>
        <w:rPr>
          <w:rFonts w:ascii="Times New Roman" w:hAnsi="Times New Roman" w:eastAsia="Times New Roman" w:cs="Times New Roman"/>
          <w:sz w:val="28"/>
          <w:szCs w:val="28"/>
        </w:rPr>
        <w:t>. InterProScan gives a summarized functional annotation by combining individual matching signatures from each search application. It has 14 member databases, which work based on homologous/orthologous prediction. The unfiltered predictions from InterProScan5, with the default thresholds of its member database, PFam domains are reported on the webserver-CAcnesDB, along with the InterPro domains in the Supplementary Result S3. The resulting protein domains were manually checked for their association with the given protein annotations.</w:t>
      </w:r>
    </w:p>
    <w:p xmlns:wp14="http://schemas.microsoft.com/office/word/2010/wordml" w14:paraId="13319FCD" wp14:textId="77777777">
      <w:pPr>
        <w:pStyle w:val="Heading3"/>
        <w:pBdr/>
        <w:shd w:val="clear" w:fill="FFFFFF"/>
        <w:spacing w:before="220" w:after="80" w:line="240" w:lineRule="auto"/>
        <w:ind w:left="-810" w:right="-720" w:hanging="0"/>
        <w:jc w:val="both"/>
        <w:rPr>
          <w:rFonts w:ascii="Times New Roman" w:hAnsi="Times New Roman" w:eastAsia="Times New Roman" w:cs="Times New Roman"/>
        </w:rPr>
      </w:pPr>
      <w:bookmarkStart w:name="_7mf3siielgsv" w:id="4"/>
      <w:bookmarkEnd w:id="4"/>
      <w:r>
        <w:rPr>
          <w:rFonts w:ascii="Times New Roman" w:hAnsi="Times New Roman" w:eastAsia="Times New Roman" w:cs="Times New Roman"/>
          <w:b/>
          <w:bCs/>
          <w:color w:val="000000"/>
        </w:rPr>
        <w:t>3. Gene Ontology Prediction</w:t>
      </w:r>
      <w:r>
        <w:rPr>
          <w:rFonts w:ascii="Times New Roman" w:hAnsi="Times New Roman" w:eastAsia="Times New Roman" w:cs="Times New Roman"/>
          <w:b/>
          <w:bCs/>
        </w:rPr>
        <w:t xml:space="preserve"> </w:t>
      </w:r>
      <w:r>
        <w:rPr>
          <w:rFonts w:ascii="Times New Roman" w:hAnsi="Times New Roman" w:eastAsia="Times New Roman" w:cs="Times New Roman"/>
        </w:rPr>
        <w:t xml:space="preserve"> </w:t>
      </w:r>
    </w:p>
    <w:p xmlns:wp14="http://schemas.microsoft.com/office/word/2010/wordml" w14:paraId="0960E139" wp14:textId="77777777">
      <w:pPr>
        <w:pStyle w:val="Normal1"/>
        <w:pBdr/>
        <w:shd w:val="clear" w:fill="FFFFFF"/>
        <w:spacing w:before="260" w:after="0"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Protein sequences were subjected to Gene Ontology (GO) analysis employing Pannzer2. Pannzer2 is a protein homology search-based web-server tool for rapid functional annotation of proteins</w:t>
      </w:r>
      <w:hyperlink r:id="rId6">
        <w:r>
          <w:rPr>
            <w:rFonts w:ascii="Times New Roman" w:hAnsi="Times New Roman" w:eastAsia="Times New Roman" w:cs="Times New Roman"/>
            <w:sz w:val="28"/>
            <w:szCs w:val="28"/>
            <w:shd w:val="clear" w:fill="auto"/>
            <w:vertAlign w:val="superscript"/>
          </w:rPr>
          <w:t>6</w:t>
        </w:r>
      </w:hyperlink>
      <w:r>
        <w:rPr>
          <w:rFonts w:ascii="Times New Roman" w:hAnsi="Times New Roman" w:eastAsia="Times New Roman" w:cs="Times New Roman"/>
          <w:sz w:val="28"/>
          <w:szCs w:val="28"/>
        </w:rPr>
        <w:t xml:space="preserve">. Along with GO terms, Pannzer2 also outputs functional descriptions for the queried protein sequences. </w:t>
      </w:r>
    </w:p>
    <w:p xmlns:wp14="http://schemas.microsoft.com/office/word/2010/wordml" w14:paraId="29D6B04F" wp14:textId="77777777">
      <w:pPr>
        <w:pStyle w:val="Normal1"/>
        <w:pBdr/>
        <w:shd w:val="clear" w:fill="FFFFFF"/>
        <w:spacing w:before="260" w:after="0"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p>
    <w:p xmlns:wp14="http://schemas.microsoft.com/office/word/2010/wordml" w14:paraId="2FCC146D" wp14:textId="77777777">
      <w:pPr>
        <w:pStyle w:val="Heading3"/>
        <w:pBdr/>
        <w:shd w:val="clear" w:fill="FFFFFF"/>
        <w:spacing w:before="220" w:after="80" w:line="240" w:lineRule="auto"/>
        <w:ind w:left="-810" w:right="-720" w:hanging="0"/>
        <w:jc w:val="both"/>
        <w:rPr>
          <w:rFonts w:ascii="Times New Roman" w:hAnsi="Times New Roman" w:eastAsia="Times New Roman" w:cs="Times New Roman"/>
        </w:rPr>
      </w:pPr>
      <w:bookmarkStart w:name="_t6sh9q1dvj2g" w:id="5"/>
      <w:bookmarkEnd w:id="5"/>
      <w:r>
        <w:rPr>
          <w:rFonts w:ascii="Times New Roman" w:hAnsi="Times New Roman" w:eastAsia="Times New Roman" w:cs="Times New Roman"/>
          <w:b/>
          <w:bCs/>
          <w:color w:val="000000"/>
        </w:rPr>
        <w:t>4. KEGG Pathways Association</w:t>
      </w:r>
      <w:r>
        <w:rPr>
          <w:rFonts w:ascii="Times New Roman" w:hAnsi="Times New Roman" w:eastAsia="Times New Roman" w:cs="Times New Roman"/>
          <w:color w:val="000000"/>
        </w:rPr>
        <w:t xml:space="preserve"> </w:t>
      </w:r>
      <w:r>
        <w:rPr>
          <w:rFonts w:ascii="Times New Roman" w:hAnsi="Times New Roman" w:eastAsia="Times New Roman" w:cs="Times New Roman"/>
        </w:rPr>
        <w:t xml:space="preserve"> </w:t>
      </w:r>
    </w:p>
    <w:p xmlns:wp14="http://schemas.microsoft.com/office/word/2010/wordml" w14:paraId="11F61EC9" wp14:textId="77777777">
      <w:pPr>
        <w:pStyle w:val="Normal1"/>
        <w:pBdr/>
        <w:shd w:val="clear" w:fill="FFFFFF"/>
        <w:spacing w:before="260" w:after="0"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Bio.KEGG.REST module was used to assign KEGG gene IDs to each gene based on matching gene coordinates. KEGG functionalities such as the KEGG Mapper</w:t>
      </w:r>
      <w:r>
        <w:rPr>
          <w:rFonts w:ascii="Times New Roman" w:hAnsi="Times New Roman" w:eastAsia="Times New Roman" w:cs="Times New Roman"/>
          <w:sz w:val="28"/>
          <w:szCs w:val="28"/>
          <w:u w:val="single"/>
        </w:rPr>
        <w:t xml:space="preserve"> </w:t>
      </w:r>
      <w:r>
        <w:rPr>
          <w:rFonts w:ascii="Times New Roman" w:hAnsi="Times New Roman" w:eastAsia="Times New Roman" w:cs="Times New Roman"/>
          <w:sz w:val="28"/>
          <w:szCs w:val="28"/>
        </w:rPr>
        <w:t>and KEGG Reconstruct pathway tool were used for gene mapping and visualization in KEGG pathways</w:t>
      </w:r>
      <w:hyperlink r:id="rId7">
        <w:r>
          <w:rPr>
            <w:rFonts w:ascii="Times New Roman" w:hAnsi="Times New Roman" w:eastAsia="Times New Roman" w:cs="Times New Roman"/>
            <w:sz w:val="28"/>
            <w:szCs w:val="28"/>
            <w:shd w:val="clear" w:fill="auto"/>
            <w:vertAlign w:val="superscript"/>
          </w:rPr>
          <w:t>7</w:t>
        </w:r>
      </w:hyperlink>
      <w:r>
        <w:rPr>
          <w:rFonts w:ascii="Times New Roman" w:hAnsi="Times New Roman" w:eastAsia="Times New Roman" w:cs="Times New Roman"/>
          <w:sz w:val="28"/>
          <w:szCs w:val="28"/>
        </w:rPr>
        <w:t xml:space="preserve">. The STRING database was used to add the generated KEGG pathways for the </w:t>
      </w:r>
      <w:r>
        <w:rPr>
          <w:rFonts w:ascii="Times New Roman" w:hAnsi="Times New Roman" w:eastAsia="Times New Roman" w:cs="Times New Roman"/>
          <w:i/>
          <w:iCs/>
          <w:sz w:val="28"/>
          <w:szCs w:val="28"/>
        </w:rPr>
        <w:t>C. acnes</w:t>
      </w:r>
      <w:r>
        <w:rPr>
          <w:rFonts w:ascii="Times New Roman" w:hAnsi="Times New Roman" w:eastAsia="Times New Roman" w:cs="Times New Roman"/>
          <w:sz w:val="28"/>
          <w:szCs w:val="28"/>
        </w:rPr>
        <w:t xml:space="preserve"> KPA171202 proteome.</w:t>
      </w:r>
    </w:p>
    <w:p xmlns:wp14="http://schemas.microsoft.com/office/word/2010/wordml" w14:paraId="26232225" wp14:textId="77777777">
      <w:pPr>
        <w:pStyle w:val="Normal1"/>
        <w:pBdr/>
        <w:shd w:val="clear" w:fill="FFFFFF"/>
        <w:spacing w:before="260" w:after="0"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systematic annotation pipeline based on the protein sequences is illustrated with an example for the gene PPA1379 in </w:t>
      </w:r>
      <w:r>
        <w:rPr>
          <w:rFonts w:ascii="Times New Roman" w:hAnsi="Times New Roman" w:eastAsia="Times New Roman" w:cs="Times New Roman"/>
          <w:color w:val="0000FF"/>
          <w:sz w:val="28"/>
          <w:szCs w:val="28"/>
        </w:rPr>
        <w:t>Figure S1(b)</w:t>
      </w:r>
      <w:r>
        <w:rPr>
          <w:rFonts w:ascii="Times New Roman" w:hAnsi="Times New Roman" w:eastAsia="Times New Roman" w:cs="Times New Roman"/>
          <w:sz w:val="28"/>
          <w:szCs w:val="28"/>
        </w:rPr>
        <w:t xml:space="preserve">. (1) Gene prediction resulting from PROKKA (Complement 15011567...1501390) and PGAP (Complement 1501031...1501294) indicated that PPA1379 encodes for tatA. The existing GenBank definition from NCBI showed it to be a hypothetical protein. (2) Domain/Motifs identification using InterProScan showed that the sequence of PPA1379 has the mttA/Hcf106 family (PF02416) domain. (3) Gene Ontology Prediction using Pannzer2 and InterProScan showed that the Biological Process (BP), Molecular Function (MF), and Cellular Component (CC) are protein transport by Tat complex, protein transmembrane transporter activity, and Tat protein transport complex, respectively. (4) Sequence-sequence homology search and Profile-Profile homology search results showed the closest homolog is a gene encoding for sec-independent protein translocase protein tatA. (5) KEGG pathway association using KEGG Mapper showed that the gene can be assigned to pac03070: Bacterial secretion system and pac03060: Protein export. Thus, based on the annotation from the sequence, gene PPA1379 was characterized as a sec-independent protein translocase protein, tatA. </w:t>
      </w:r>
    </w:p>
    <w:p xmlns:wp14="http://schemas.microsoft.com/office/word/2010/wordml" w14:paraId="43E402A9" wp14:textId="77777777">
      <w:pPr>
        <w:pStyle w:val="Heading2"/>
        <w:pBdr/>
        <w:shd w:val="clear" w:fill="FFFFFF"/>
        <w:spacing w:before="360" w:after="120" w:line="240" w:lineRule="auto"/>
        <w:ind w:left="-810" w:right="-720" w:hanging="0"/>
        <w:jc w:val="both"/>
        <w:rPr/>
      </w:pPr>
      <w:bookmarkStart w:name="_3v1lkjgr83gm" w:id="6"/>
      <w:bookmarkEnd w:id="6"/>
      <w:r>
        <w:rPr>
          <w:rFonts w:ascii="Times New Roman" w:hAnsi="Times New Roman" w:eastAsia="Times New Roman" w:cs="Times New Roman"/>
          <w:b/>
          <w:bCs/>
          <w:color w:val="000000"/>
          <w:sz w:val="30"/>
          <w:szCs w:val="30"/>
        </w:rPr>
        <w:t>Virulence and Regulatory Role Analysis</w:t>
      </w:r>
      <w:r>
        <w:rPr/>
        <w:t xml:space="preserve">  </w:t>
      </w:r>
    </w:p>
    <w:p xmlns:wp14="http://schemas.microsoft.com/office/word/2010/wordml" w14:paraId="29C8256D" wp14:textId="77777777">
      <w:pPr>
        <w:pStyle w:val="Normal1"/>
        <w:pBdr/>
        <w:shd w:val="clear" w:fill="FFFFFF"/>
        <w:spacing w:before="260" w:after="0"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Virulence prediction was performed using VirulentPred and Virulent Factor Database (VFDB)</w:t>
      </w:r>
      <w:hyperlink r:id="rId8">
        <w:r>
          <w:rPr>
            <w:rFonts w:ascii="Times New Roman" w:hAnsi="Times New Roman" w:eastAsia="Times New Roman" w:cs="Times New Roman"/>
            <w:sz w:val="28"/>
            <w:szCs w:val="28"/>
            <w:shd w:val="clear" w:fill="auto"/>
            <w:vertAlign w:val="superscript"/>
          </w:rPr>
          <w:t>8,9</w:t>
        </w:r>
      </w:hyperlink>
      <w:r>
        <w:rPr>
          <w:rFonts w:ascii="Times New Roman" w:hAnsi="Times New Roman" w:eastAsia="Times New Roman" w:cs="Times New Roman"/>
          <w:sz w:val="28"/>
          <w:szCs w:val="28"/>
        </w:rPr>
        <w:t>. VirulentPred predicts virulent proteins using a two-layer cascaded support vector machine (SVM). The initial layer trains and enhances the features of protein sequences, such as dipeptide composition (DPC), position-specific scoring matrices (PSSMs), and amino acid composition (AAC). The refined features are subjected to the second SVM layer for the final prediction</w:t>
      </w:r>
      <w:hyperlink r:id="rId9">
        <w:r>
          <w:rPr>
            <w:rFonts w:ascii="Times New Roman" w:hAnsi="Times New Roman" w:eastAsia="Times New Roman" w:cs="Times New Roman"/>
            <w:sz w:val="28"/>
            <w:szCs w:val="28"/>
            <w:shd w:val="clear" w:fill="auto"/>
            <w:vertAlign w:val="superscript"/>
          </w:rPr>
          <w:t>8</w:t>
        </w:r>
      </w:hyperlink>
      <w:r>
        <w:rPr>
          <w:rFonts w:ascii="Times New Roman" w:hAnsi="Times New Roman" w:eastAsia="Times New Roman" w:cs="Times New Roman"/>
          <w:sz w:val="28"/>
          <w:szCs w:val="28"/>
        </w:rPr>
        <w:t>. VFDB provides experimentally characterized (set A) and predicted virulent factors (set B) in prokaryotes</w:t>
      </w:r>
      <w:hyperlink r:id="rId10">
        <w:r>
          <w:rPr>
            <w:rFonts w:ascii="Times New Roman" w:hAnsi="Times New Roman" w:eastAsia="Times New Roman" w:cs="Times New Roman"/>
            <w:sz w:val="28"/>
            <w:szCs w:val="28"/>
            <w:shd w:val="clear" w:fill="auto"/>
            <w:vertAlign w:val="superscript"/>
          </w:rPr>
          <w:t>9</w:t>
        </w:r>
      </w:hyperlink>
      <w:r>
        <w:rPr>
          <w:rFonts w:ascii="Times New Roman" w:hAnsi="Times New Roman" w:eastAsia="Times New Roman" w:cs="Times New Roman"/>
          <w:sz w:val="28"/>
          <w:szCs w:val="28"/>
        </w:rPr>
        <w:t>. A sequence similarity search was performed using the BLASTp algorithm to identify virulent proteins based on the closest match (e-value &lt; 0.001) in the VFDB database (in both set-A and set-B). The union of all the predicted proteins from the virulentPred and VFDB databases was considered virulent. For the regulatory role prediction, P2RP and DeepTFactor were used</w:t>
      </w:r>
      <w:hyperlink r:id="rId11">
        <w:r>
          <w:rPr>
            <w:rFonts w:ascii="Times New Roman" w:hAnsi="Times New Roman" w:eastAsia="Times New Roman" w:cs="Times New Roman"/>
            <w:sz w:val="28"/>
            <w:szCs w:val="28"/>
            <w:shd w:val="clear" w:fill="auto"/>
            <w:vertAlign w:val="superscript"/>
          </w:rPr>
          <w:t>10,11</w:t>
        </w:r>
      </w:hyperlink>
      <w:r>
        <w:rPr>
          <w:rFonts w:ascii="Times New Roman" w:hAnsi="Times New Roman" w:eastAsia="Times New Roman" w:cs="Times New Roman"/>
          <w:sz w:val="28"/>
          <w:szCs w:val="28"/>
        </w:rPr>
        <w:t xml:space="preserve">. P2RP is a web-based framework designed to identify prokaryotic regulatory proteins. It predicts Histidine kinases, Response regulators, Phosphotransfer proteins, Transcriptional Regulators, Sigma Factors, and other DNA-binding proteins. DeepTFactors is a deep learning-based framework used to predict transcription factors. </w:t>
      </w:r>
    </w:p>
    <w:p xmlns:wp14="http://schemas.microsoft.com/office/word/2010/wordml" w14:paraId="0A6959E7" wp14:textId="77777777">
      <w:pPr>
        <w:pStyle w:val="Normal1"/>
        <w:pBdr/>
        <w:shd w:val="clear" w:fill="FFFFFF"/>
        <w:spacing w:before="0" w:after="160"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p>
    <w:p xmlns:wp14="http://schemas.microsoft.com/office/word/2010/wordml" w14:paraId="0A37501D" wp14:textId="77777777">
      <w:pPr>
        <w:pStyle w:val="Normal1"/>
        <w:pBdr/>
        <w:shd w:val="clear" w:fill="FFFFFF"/>
        <w:spacing w:before="0" w:after="160" w:line="240" w:lineRule="auto"/>
        <w:ind w:left="-810" w:right="-720" w:hanging="0"/>
        <w:jc w:val="both"/>
        <w:rPr>
          <w:rFonts w:ascii="Times New Roman" w:hAnsi="Times New Roman" w:eastAsia="Times New Roman" w:cs="Times New Roman"/>
          <w:sz w:val="28"/>
          <w:szCs w:val="28"/>
        </w:rPr>
      </w:pPr>
      <w:r>
        <w:rPr/>
        <w:drawing>
          <wp:inline xmlns:wp14="http://schemas.microsoft.com/office/word/2010/wordprocessingDrawing" distT="0" distB="0" distL="0" distR="0" wp14:anchorId="29CDDE16" wp14:editId="7777777">
            <wp:extent cx="6973570" cy="419608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2"/>
                    <a:stretch>
                      <a:fillRect/>
                    </a:stretch>
                  </pic:blipFill>
                  <pic:spPr bwMode="auto">
                    <a:xfrm>
                      <a:off x="0" y="0"/>
                      <a:ext cx="6973570" cy="4196080"/>
                    </a:xfrm>
                    <a:prstGeom prst="rect">
                      <a:avLst/>
                    </a:prstGeom>
                  </pic:spPr>
                </pic:pic>
              </a:graphicData>
            </a:graphic>
          </wp:inline>
        </w:drawing>
      </w:r>
    </w:p>
    <w:p xmlns:wp14="http://schemas.microsoft.com/office/word/2010/wordml" w14:paraId="5DAB6C7B" wp14:textId="77777777">
      <w:pPr>
        <w:pStyle w:val="Normal1"/>
        <w:widowControl w:val="false"/>
        <w:spacing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p>
    <w:p xmlns:wp14="http://schemas.microsoft.com/office/word/2010/wordml" w14:paraId="100C5B58" wp14:textId="77777777">
      <w:pPr>
        <w:pStyle w:val="Normal1"/>
        <w:pBdr/>
        <w:shd w:val="clear" w:fill="FFFFFF"/>
        <w:spacing w:before="0" w:after="160" w:line="240" w:lineRule="auto"/>
        <w:ind w:left="-810" w:right="-720" w:hanging="0"/>
        <w:jc w:val="both"/>
        <w:rPr>
          <w:rFonts w:ascii="Times New Roman" w:hAnsi="Times New Roman" w:eastAsia="Times New Roman" w:cs="Times New Roman"/>
          <w:sz w:val="28"/>
          <w:szCs w:val="28"/>
        </w:rPr>
      </w:pPr>
      <w:r>
        <w:rPr/>
        <w:drawing>
          <wp:inline xmlns:wp14="http://schemas.microsoft.com/office/word/2010/wordprocessingDrawing" distT="0" distB="0" distL="0" distR="0" wp14:anchorId="535154B3" wp14:editId="7777777">
            <wp:extent cx="6321425" cy="7787005"/>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3"/>
                    <a:stretch>
                      <a:fillRect/>
                    </a:stretch>
                  </pic:blipFill>
                  <pic:spPr bwMode="auto">
                    <a:xfrm>
                      <a:off x="0" y="0"/>
                      <a:ext cx="6321425" cy="7787005"/>
                    </a:xfrm>
                    <a:prstGeom prst="rect">
                      <a:avLst/>
                    </a:prstGeom>
                  </pic:spPr>
                </pic:pic>
              </a:graphicData>
            </a:graphic>
          </wp:inline>
        </w:drawing>
      </w:r>
      <w:r>
        <w:rPr>
          <w:rFonts w:ascii="Times New Roman" w:hAnsi="Times New Roman" w:eastAsia="Times New Roman" w:cs="Times New Roman"/>
          <w:sz w:val="28"/>
          <w:szCs w:val="28"/>
        </w:rPr>
        <w:t xml:space="preserve"> </w:t>
      </w:r>
    </w:p>
    <w:p xmlns:wp14="http://schemas.microsoft.com/office/word/2010/wordml" w14:paraId="02EB378F" wp14:textId="77777777">
      <w:pPr>
        <w:pStyle w:val="Normal1"/>
        <w:widowControl w:val="false"/>
        <w:spacing w:line="240" w:lineRule="auto"/>
        <w:ind w:left="-810" w:right="-720" w:hanging="0"/>
        <w:jc w:val="both"/>
        <w:rPr>
          <w:rFonts w:ascii="Times New Roman" w:hAnsi="Times New Roman" w:eastAsia="Times New Roman" w:cs="Times New Roman"/>
          <w:b/>
          <w:b/>
          <w:bCs/>
          <w:sz w:val="28"/>
          <w:szCs w:val="28"/>
        </w:rPr>
      </w:pPr>
      <w:r>
        <w:rPr>
          <w:rFonts w:ascii="Times New Roman" w:hAnsi="Times New Roman" w:eastAsia="Times New Roman" w:cs="Times New Roman"/>
          <w:b/>
          <w:bCs/>
          <w:sz w:val="28"/>
          <w:szCs w:val="28"/>
        </w:rPr>
      </w:r>
    </w:p>
    <w:p xmlns:wp14="http://schemas.microsoft.com/office/word/2010/wordml" w14:paraId="2A4BFE30" wp14:textId="77777777">
      <w:pPr>
        <w:pStyle w:val="Normal1"/>
        <w:widowControl w:val="false"/>
        <w:spacing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Figure S1 (a): </w:t>
      </w:r>
      <w:r>
        <w:rPr>
          <w:rFonts w:ascii="Times New Roman" w:hAnsi="Times New Roman" w:eastAsia="Times New Roman" w:cs="Times New Roman"/>
          <w:sz w:val="28"/>
          <w:szCs w:val="28"/>
        </w:rPr>
        <w:t>Workflow for gene calling (structural annotation), initial segregation, and after the revised annotation, categorizing the genes into ‘known’, ‘Putative’, and ‘Hypothetical’ groups. (b) An annotation pipeline for annotation based on the sequence used for the individual proteins in the proteome. Each step shows different types of functional association, followed by iterative manual curation and assignment of the KEGG pathway to the associated function. The annotation pipeline is shown with an example for PPA1379.</w:t>
      </w:r>
    </w:p>
    <w:p xmlns:wp14="http://schemas.microsoft.com/office/word/2010/wordml" w14:paraId="6A05A809" wp14:textId="77777777">
      <w:pPr>
        <w:pStyle w:val="Normal1"/>
        <w:widowControl w:val="false"/>
        <w:spacing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p>
    <w:p xmlns:wp14="http://schemas.microsoft.com/office/word/2010/wordml" w14:paraId="5A39BBE3" wp14:textId="77777777">
      <w:pPr>
        <w:pStyle w:val="Normal1"/>
        <w:pBdr/>
        <w:shd w:val="clear" w:fill="FFFFFF"/>
        <w:spacing w:before="0" w:after="160"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p>
    <w:p xmlns:wp14="http://schemas.microsoft.com/office/word/2010/wordml" w14:paraId="237BEE89" wp14:textId="77777777">
      <w:pPr>
        <w:pStyle w:val="Heading2"/>
        <w:pBdr/>
        <w:shd w:val="clear" w:fill="FFFFFF"/>
        <w:spacing w:before="360" w:after="160" w:line="240" w:lineRule="auto"/>
        <w:ind w:left="-810" w:right="-720" w:hanging="0"/>
        <w:jc w:val="both"/>
        <w:rPr>
          <w:rFonts w:ascii="Times New Roman" w:hAnsi="Times New Roman" w:eastAsia="Times New Roman" w:cs="Times New Roman"/>
          <w:b/>
          <w:b/>
          <w:bCs/>
          <w:sz w:val="30"/>
          <w:szCs w:val="30"/>
        </w:rPr>
      </w:pPr>
      <w:bookmarkStart w:name="_2l3wywpjriu0" w:id="7"/>
      <w:bookmarkEnd w:id="7"/>
      <w:r>
        <w:rPr>
          <w:rFonts w:ascii="Times New Roman" w:hAnsi="Times New Roman" w:eastAsia="Times New Roman" w:cs="Times New Roman"/>
          <w:b/>
          <w:bCs/>
          <w:sz w:val="30"/>
          <w:szCs w:val="30"/>
        </w:rPr>
        <w:t>Other aspects of annotation</w:t>
      </w:r>
    </w:p>
    <w:p xmlns:wp14="http://schemas.microsoft.com/office/word/2010/wordml" w14:paraId="45E657EE" wp14:textId="77777777">
      <w:pPr>
        <w:pStyle w:val="Heading3"/>
        <w:widowControl w:val="false"/>
        <w:pBdr/>
        <w:shd w:val="clear" w:fill="FFFFFF"/>
        <w:spacing w:before="220" w:after="80" w:line="240" w:lineRule="auto"/>
        <w:ind w:left="-810" w:right="-720" w:hanging="0"/>
        <w:jc w:val="both"/>
        <w:rPr>
          <w:rFonts w:ascii="Times New Roman" w:hAnsi="Times New Roman" w:eastAsia="Times New Roman" w:cs="Times New Roman"/>
        </w:rPr>
      </w:pPr>
      <w:bookmarkStart w:name="_jl8wd0565v8o" w:id="8"/>
      <w:bookmarkEnd w:id="8"/>
      <w:r>
        <w:rPr>
          <w:rFonts w:ascii="Times New Roman" w:hAnsi="Times New Roman" w:eastAsia="Times New Roman" w:cs="Times New Roman"/>
          <w:b/>
          <w:bCs/>
          <w:color w:val="000000"/>
        </w:rPr>
        <w:t>FOLD, Superfamily, and Family assignment.</w:t>
      </w:r>
      <w:r>
        <w:rPr>
          <w:rFonts w:ascii="Times New Roman" w:hAnsi="Times New Roman" w:eastAsia="Times New Roman" w:cs="Times New Roman"/>
          <w:b/>
          <w:bCs/>
        </w:rPr>
        <w:t xml:space="preserve"> </w:t>
      </w:r>
      <w:r>
        <w:rPr>
          <w:rFonts w:ascii="Times New Roman" w:hAnsi="Times New Roman" w:eastAsia="Times New Roman" w:cs="Times New Roman"/>
        </w:rPr>
        <w:t xml:space="preserve"> </w:t>
      </w:r>
    </w:p>
    <w:p xmlns:wp14="http://schemas.microsoft.com/office/word/2010/wordml" w14:paraId="5F098E17" wp14:textId="77777777">
      <w:pPr>
        <w:pStyle w:val="Normal1"/>
        <w:widowControl w:val="false"/>
        <w:pBdr/>
        <w:shd w:val="clear" w:fill="FFFFFF"/>
        <w:spacing w:before="260" w:after="0" w:line="276"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Protein structures are highly informative and can be used to predict folds associated with a modeled structure. Known folds can provide supporting information for the existing annotation. SCOP2</w:t>
      </w:r>
      <w:hyperlink r:id="rId14">
        <w:r>
          <w:rPr>
            <w:rFonts w:ascii="Times New Roman" w:hAnsi="Times New Roman" w:eastAsia="Times New Roman" w:cs="Times New Roman"/>
            <w:sz w:val="28"/>
            <w:szCs w:val="28"/>
            <w:vertAlign w:val="superscript"/>
          </w:rPr>
          <w:t>12</w:t>
        </w:r>
      </w:hyperlink>
      <w:r>
        <w:rPr>
          <w:rFonts w:ascii="Times New Roman" w:hAnsi="Times New Roman" w:eastAsia="Times New Roman" w:cs="Times New Roman"/>
          <w:sz w:val="28"/>
          <w:szCs w:val="28"/>
        </w:rPr>
        <w:t xml:space="preserve"> is a database that stores the manually curated structural domains (Class, Fold, Superfamily, Family) for the structures available in the PDB database</w:t>
      </w:r>
      <w:hyperlink r:id="rId15">
        <w:r>
          <w:rPr>
            <w:rFonts w:ascii="Times New Roman" w:hAnsi="Times New Roman" w:eastAsia="Times New Roman" w:cs="Times New Roman"/>
            <w:sz w:val="28"/>
            <w:szCs w:val="28"/>
            <w:vertAlign w:val="superscript"/>
          </w:rPr>
          <w:t>12</w:t>
        </w:r>
      </w:hyperlink>
      <w:r>
        <w:rPr>
          <w:rFonts w:ascii="Times New Roman" w:hAnsi="Times New Roman" w:eastAsia="Times New Roman" w:cs="Times New Roman"/>
          <w:sz w:val="28"/>
          <w:szCs w:val="28"/>
        </w:rPr>
        <w:t>. The 2289 proteins’ predicted structures were aligned against non-redundant protein structures present in PDB (m=26,775). The TM-align program was used to perform structural alignments</w:t>
      </w:r>
      <w:hyperlink r:id="rId16">
        <w:r>
          <w:rPr>
            <w:rFonts w:ascii="Times New Roman" w:hAnsi="Times New Roman" w:eastAsia="Times New Roman" w:cs="Times New Roman"/>
            <w:sz w:val="28"/>
            <w:szCs w:val="28"/>
            <w:vertAlign w:val="superscript"/>
          </w:rPr>
          <w:t>13</w:t>
        </w:r>
      </w:hyperlink>
      <w:r>
        <w:rPr>
          <w:rFonts w:ascii="Gungsuh" w:hAnsi="Gungsuh" w:eastAsia="Gungsuh" w:cs="Gungsuh"/>
          <w:sz w:val="28"/>
          <w:szCs w:val="28"/>
        </w:rPr>
        <w:t xml:space="preserve">. </w:t>
      </w:r>
      <w:r>
        <w:rPr>
          <w:rFonts w:ascii="Times New Roman" w:hAnsi="Times New Roman" w:eastAsia="Gungsuh" w:cs="Gungsuh"/>
          <w:sz w:val="28"/>
          <w:szCs w:val="28"/>
        </w:rPr>
        <w:t>It takes the predicted structures (atomic coordinate file) of individual proteins and outputs the aligned structures with alignment length, RMSD, sequence identity, TMScore1, and TMScore2. The scan resulted in 6,12,87,921 pairs of modeled structures with the PDB templates. Further, the results were filtered with different cutoffs, and the coverage of the modeled proteins was calculated. (i) TMScore1 and TMScore2 ≥ 0.7 [1031/2289 proteins] (ii) TMScore1 and TMScore2 ≥ 0.6 [1302/2289 proteins] (iii) TMScore1 and TMScore2 ≥ 0.5 [1554/2289 proteins]. 1554 PDB templates resulting from the TMScore1 and TMScore2 ≥ 0.5 were used to map to the available FOLD, superfamily, and Family in the SCOP2 database.</w:t>
      </w:r>
    </w:p>
    <w:p xmlns:wp14="http://schemas.microsoft.com/office/word/2010/wordml" w14:paraId="12F40E89" wp14:textId="77777777">
      <w:pPr>
        <w:pStyle w:val="Normal1"/>
        <w:widowControl w:val="false"/>
        <w:pBdr/>
        <w:shd w:val="clear" w:fill="FFFFFF"/>
        <w:spacing w:before="260" w:after="0" w:line="240" w:lineRule="auto"/>
        <w:ind w:left="-810" w:right="-720" w:hanging="0"/>
        <w:jc w:val="both"/>
        <w:rPr>
          <w:rFonts w:ascii="Times New Roman" w:hAnsi="Times New Roman" w:eastAsia="Times New Roman" w:cs="Times New Roman"/>
          <w:sz w:val="28"/>
          <w:szCs w:val="28"/>
        </w:rPr>
      </w:pPr>
      <w:r>
        <w:rPr/>
        <w:drawing>
          <wp:inline xmlns:wp14="http://schemas.microsoft.com/office/word/2010/wordprocessingDrawing" distT="0" distB="0" distL="0" distR="0" wp14:anchorId="1D8DD6AF" wp14:editId="7777777">
            <wp:extent cx="5943600" cy="5321300"/>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17"/>
                    <a:stretch>
                      <a:fillRect/>
                    </a:stretch>
                  </pic:blipFill>
                  <pic:spPr bwMode="auto">
                    <a:xfrm>
                      <a:off x="0" y="0"/>
                      <a:ext cx="5943600" cy="5321300"/>
                    </a:xfrm>
                    <a:prstGeom prst="rect">
                      <a:avLst/>
                    </a:prstGeom>
                  </pic:spPr>
                </pic:pic>
              </a:graphicData>
            </a:graphic>
          </wp:inline>
        </w:drawing>
      </w:r>
      <w:r>
        <w:rPr>
          <w:rFonts w:ascii="Times New Roman" w:hAnsi="Times New Roman" w:eastAsia="Times New Roman" w:cs="Times New Roman"/>
          <w:sz w:val="28"/>
          <w:szCs w:val="28"/>
        </w:rPr>
        <w:t xml:space="preserve"> </w:t>
      </w:r>
    </w:p>
    <w:p xmlns:wp14="http://schemas.microsoft.com/office/word/2010/wordml" w14:paraId="4076ACB3" wp14:textId="77777777">
      <w:pPr>
        <w:pStyle w:val="Normal1"/>
        <w:widowControl w:val="false"/>
        <w:spacing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Figure S2:</w:t>
      </w:r>
      <w:r>
        <w:rPr>
          <w:rFonts w:ascii="Times New Roman" w:hAnsi="Times New Roman" w:eastAsia="Times New Roman" w:cs="Times New Roman"/>
          <w:sz w:val="28"/>
          <w:szCs w:val="28"/>
        </w:rPr>
        <w:t xml:space="preserve"> Workflow illustrating the functional annotation from structures (A) Modeling of the proteome in </w:t>
      </w:r>
      <w:r>
        <w:rPr>
          <w:rFonts w:ascii="Times New Roman" w:hAnsi="Times New Roman" w:eastAsia="Times New Roman" w:cs="Times New Roman"/>
          <w:i/>
          <w:iCs/>
          <w:sz w:val="28"/>
          <w:szCs w:val="28"/>
        </w:rPr>
        <w:t>C. acnes</w:t>
      </w:r>
      <w:r>
        <w:rPr>
          <w:rFonts w:ascii="Times New Roman" w:hAnsi="Times New Roman" w:eastAsia="Times New Roman" w:cs="Times New Roman"/>
          <w:sz w:val="28"/>
          <w:szCs w:val="28"/>
        </w:rPr>
        <w:t xml:space="preserve">; (B) Identification of ligand binding pockets from PDB. Three different algorithms were used for detecting pockets, and only those that were detected by all three were considered for further analysis. (C) Comparison of ligand binding pockets with the closest homolog (template) from PDB; Mapping the ligand from the template to the predicted model of each protein, and construction of ligandome in </w:t>
      </w:r>
      <w:r>
        <w:rPr>
          <w:rFonts w:ascii="Times New Roman" w:hAnsi="Times New Roman" w:eastAsia="Times New Roman" w:cs="Times New Roman"/>
          <w:i/>
          <w:iCs/>
          <w:sz w:val="28"/>
          <w:szCs w:val="28"/>
        </w:rPr>
        <w:t>C. acnes</w:t>
      </w:r>
      <w:r>
        <w:rPr>
          <w:rFonts w:ascii="Times New Roman" w:hAnsi="Times New Roman" w:eastAsia="Times New Roman" w:cs="Times New Roman"/>
          <w:sz w:val="28"/>
          <w:szCs w:val="28"/>
        </w:rPr>
        <w:t>. and correlating the associated protein function with the mapped ligand. PDB, Protein Data Bank.</w:t>
      </w:r>
    </w:p>
    <w:p xmlns:wp14="http://schemas.microsoft.com/office/word/2010/wordml" w14:paraId="41C8F396" wp14:textId="77777777">
      <w:pPr>
        <w:pStyle w:val="Normal1"/>
        <w:widowControl w:val="false"/>
        <w:spacing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p>
    <w:p xmlns:wp14="http://schemas.microsoft.com/office/word/2010/wordml" w14:paraId="72A3D3EC" wp14:textId="77777777">
      <w:pPr>
        <w:pStyle w:val="Normal1"/>
        <w:widowControl w:val="false"/>
        <w:spacing w:line="24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p>
    <w:p xmlns:wp14="http://schemas.microsoft.com/office/word/2010/wordml" w14:paraId="0D0B940D" wp14:textId="77777777">
      <w:pPr>
        <w:pStyle w:val="Heading2"/>
        <w:widowControl w:val="false"/>
        <w:spacing w:before="858" w:after="120" w:line="240" w:lineRule="auto"/>
        <w:ind w:left="-810" w:right="-720" w:hanging="0"/>
        <w:jc w:val="both"/>
        <w:rPr>
          <w:rFonts w:ascii="Times New Roman" w:hAnsi="Times New Roman" w:eastAsia="Times New Roman" w:cs="Times New Roman"/>
          <w:b/>
          <w:b/>
          <w:bCs/>
          <w:sz w:val="28"/>
          <w:szCs w:val="28"/>
        </w:rPr>
      </w:pPr>
      <w:r>
        <w:rPr/>
      </w:r>
    </w:p>
    <w:p xmlns:wp14="http://schemas.microsoft.com/office/word/2010/wordml" w14:paraId="24CD3848" wp14:textId="77777777">
      <w:pPr>
        <w:pStyle w:val="Heading2"/>
        <w:widowControl w:val="false"/>
        <w:spacing w:before="858" w:after="120" w:line="240" w:lineRule="auto"/>
        <w:ind w:left="-810" w:right="-720" w:hanging="0"/>
        <w:jc w:val="both"/>
        <w:rPr>
          <w:rFonts w:ascii="Times New Roman" w:hAnsi="Times New Roman" w:eastAsia="Times New Roman" w:cs="Times New Roman"/>
          <w:b/>
          <w:b/>
          <w:bCs/>
          <w:sz w:val="28"/>
          <w:szCs w:val="28"/>
        </w:rPr>
      </w:pPr>
      <w:bookmarkStart w:name="_dwo97ueovsw4" w:id="9"/>
      <w:bookmarkEnd w:id="9"/>
      <w:r>
        <w:rPr>
          <w:rFonts w:ascii="Times New Roman" w:hAnsi="Times New Roman" w:eastAsia="Times New Roman" w:cs="Times New Roman"/>
          <w:b/>
          <w:bCs/>
          <w:sz w:val="28"/>
          <w:szCs w:val="28"/>
        </w:rPr>
        <w:t>CApL Refinement through Biological Filtering and Validation</w:t>
      </w:r>
    </w:p>
    <w:p xmlns:wp14="http://schemas.microsoft.com/office/word/2010/wordml" w14:paraId="0E27B00A" wp14:textId="77777777">
      <w:pPr>
        <w:pStyle w:val="Normal1"/>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p>
    <w:p xmlns:wp14="http://schemas.microsoft.com/office/word/2010/wordml" w14:paraId="2FD906B2" wp14:textId="77777777">
      <w:pPr>
        <w:pStyle w:val="Normal1"/>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To retain only the biologically plausible ligand annotations, the protein-ligand pairs obtained after docking were compared with the ligand binding information from databases such as  ChEMBL</w:t>
      </w:r>
      <w:hyperlink r:id="rId18">
        <w:r>
          <w:rPr>
            <w:rFonts w:ascii="Times New Roman" w:hAnsi="Times New Roman" w:eastAsia="Times New Roman" w:cs="Times New Roman"/>
            <w:sz w:val="28"/>
            <w:szCs w:val="28"/>
            <w:vertAlign w:val="superscript"/>
          </w:rPr>
          <w:t>14</w:t>
        </w:r>
      </w:hyperlink>
      <w:r>
        <w:rPr>
          <w:rFonts w:ascii="Times New Roman" w:hAnsi="Times New Roman" w:eastAsia="Times New Roman" w:cs="Times New Roman"/>
          <w:sz w:val="28"/>
          <w:szCs w:val="28"/>
        </w:rPr>
        <w:t>, BioLiP</w:t>
      </w:r>
      <w:hyperlink r:id="rId19">
        <w:r>
          <w:rPr>
            <w:rFonts w:ascii="Times New Roman" w:hAnsi="Times New Roman" w:eastAsia="Times New Roman" w:cs="Times New Roman"/>
            <w:sz w:val="28"/>
            <w:szCs w:val="28"/>
            <w:vertAlign w:val="superscript"/>
          </w:rPr>
          <w:t>15</w:t>
        </w:r>
      </w:hyperlink>
      <w:r>
        <w:rPr>
          <w:rFonts w:ascii="Times New Roman" w:hAnsi="Times New Roman" w:eastAsia="Times New Roman" w:cs="Times New Roman"/>
          <w:sz w:val="28"/>
          <w:szCs w:val="28"/>
        </w:rPr>
        <w:t xml:space="preserve"> and KEGG</w:t>
      </w:r>
      <w:hyperlink r:id="rId20">
        <w:r>
          <w:rPr>
            <w:rFonts w:ascii="Times New Roman" w:hAnsi="Times New Roman" w:eastAsia="Times New Roman" w:cs="Times New Roman"/>
            <w:sz w:val="28"/>
            <w:szCs w:val="28"/>
            <w:vertAlign w:val="superscript"/>
          </w:rPr>
          <w:t>4</w:t>
        </w:r>
      </w:hyperlink>
      <w:r>
        <w:rPr>
          <w:rFonts w:ascii="Times New Roman" w:hAnsi="Times New Roman" w:eastAsia="Times New Roman" w:cs="Times New Roman"/>
          <w:sz w:val="28"/>
          <w:szCs w:val="28"/>
        </w:rPr>
        <w:t xml:space="preserve">. The ligand-target pairs in ChEMBL were based on the binding and functional assays, whereas BioLiP lists the biologically relevant ligands for each protein from the PDB database through semi-automatic curation. To specifically annotate metabolic enzymes, the reaction-compound correspondence from KEGG was used. The proteins from </w:t>
      </w:r>
      <w:r>
        <w:rPr>
          <w:rFonts w:ascii="Times New Roman" w:hAnsi="Times New Roman" w:eastAsia="Times New Roman" w:cs="Times New Roman"/>
          <w:i/>
          <w:iCs/>
          <w:sz w:val="28"/>
          <w:szCs w:val="28"/>
        </w:rPr>
        <w:t>C. acnes</w:t>
      </w:r>
      <w:r>
        <w:rPr>
          <w:rFonts w:ascii="Times New Roman" w:hAnsi="Times New Roman" w:eastAsia="Times New Roman" w:cs="Times New Roman"/>
          <w:sz w:val="28"/>
          <w:szCs w:val="28"/>
        </w:rPr>
        <w:t xml:space="preserve"> were matched to the proteins in these databases either through a BLASTp</w:t>
      </w:r>
      <w:hyperlink r:id="rId21">
        <w:r>
          <w:rPr>
            <w:rFonts w:ascii="Times New Roman" w:hAnsi="Times New Roman" w:eastAsia="Times New Roman" w:cs="Times New Roman"/>
            <w:sz w:val="28"/>
            <w:szCs w:val="28"/>
            <w:vertAlign w:val="superscript"/>
          </w:rPr>
          <w:t>16</w:t>
        </w:r>
      </w:hyperlink>
      <w:r>
        <w:rPr>
          <w:rFonts w:ascii="Times New Roman" w:hAnsi="Times New Roman" w:eastAsia="Times New Roman" w:cs="Times New Roman"/>
          <w:sz w:val="28"/>
          <w:szCs w:val="28"/>
        </w:rPr>
        <w:t xml:space="preserve"> search (in case of ChEMBL and BioLiP, E-value &lt; 1e-5, percentage identity&gt;30 and percentage coverage &gt; 40) or matching the proteins to the EC Number (in case of KEGG). The compounds (ligands) corresponding to the matched proteins from these databases were checked for similarity with the predicted ligand for that protein, by computing the Tanimoto coefficient between the ligands using OpenBabel. The predicted ligands for the protein which had a tanimoto coefficient greater than 0.6 with the known ligands from any of these databases were filtered. Additionally, since BioLiP also provided the binding site information of the biologically relevant protein ligand pairs of the PDB structures, a binding site alignment was done between the BLASTp hits and the new ligands were docked to the pockets with significant alignment to the binding sites from BioLiP. The ligands which were docked to their proteins in the binding energy range of -5 to -12 (+/-2) kcal/mol were compared with the originally predicted ligands, again using the tanimoto coefficient as the metric, which resulted in including additional protein-ligand pairs. Thus, the protein-ligand pairs matched with the ligand information from these databases form the pruned list of CApL.</w:t>
      </w:r>
    </w:p>
    <w:p xmlns:wp14="http://schemas.microsoft.com/office/word/2010/wordml" w14:paraId="47090CB0" wp14:textId="77777777">
      <w:pPr>
        <w:pStyle w:val="Heading2"/>
        <w:widowControl w:val="false"/>
        <w:spacing w:before="858" w:after="120" w:line="240" w:lineRule="auto"/>
        <w:ind w:left="-810" w:right="-720" w:hanging="0"/>
        <w:jc w:val="both"/>
        <w:rPr>
          <w:rFonts w:ascii="Times New Roman" w:hAnsi="Times New Roman" w:eastAsia="Times New Roman" w:cs="Times New Roman"/>
          <w:b/>
          <w:b/>
          <w:bCs/>
          <w:sz w:val="28"/>
          <w:szCs w:val="28"/>
        </w:rPr>
      </w:pPr>
      <w:bookmarkStart w:name="_xtmib5gfd5yy" w:id="10"/>
      <w:bookmarkEnd w:id="10"/>
      <w:r>
        <w:rPr>
          <w:rFonts w:ascii="Times New Roman" w:hAnsi="Times New Roman" w:eastAsia="Times New Roman" w:cs="Times New Roman"/>
          <w:b/>
          <w:bCs/>
          <w:sz w:val="28"/>
          <w:szCs w:val="28"/>
        </w:rPr>
        <w:t>Assessment of the annotated functional description</w:t>
      </w:r>
    </w:p>
    <w:p xmlns:wp14="http://schemas.microsoft.com/office/word/2010/wordml" w14:paraId="607646C6" wp14:textId="77777777">
      <w:pPr>
        <w:pStyle w:val="Heading3"/>
        <w:widowControl w:val="false"/>
        <w:spacing w:before="858" w:after="80" w:line="240" w:lineRule="auto"/>
        <w:ind w:left="-810" w:right="-720" w:hanging="0"/>
        <w:jc w:val="both"/>
        <w:rPr>
          <w:rFonts w:ascii="Times New Roman" w:hAnsi="Times New Roman" w:eastAsia="Times New Roman" w:cs="Times New Roman"/>
          <w:b/>
          <w:b/>
          <w:bCs/>
          <w:color w:val="000000"/>
        </w:rPr>
      </w:pPr>
      <w:bookmarkStart w:name="_l9d7vin4quxc" w:id="11"/>
      <w:bookmarkEnd w:id="11"/>
      <w:r>
        <w:rPr>
          <w:rFonts w:ascii="Times New Roman" w:hAnsi="Times New Roman" w:eastAsia="Times New Roman" w:cs="Times New Roman"/>
          <w:b/>
          <w:bCs/>
          <w:color w:val="000000"/>
        </w:rPr>
        <w:t>1. Manual Curation</w:t>
      </w:r>
    </w:p>
    <w:p xmlns:wp14="http://schemas.microsoft.com/office/word/2010/wordml" w14:paraId="43067641" wp14:textId="77777777">
      <w:pPr>
        <w:pStyle w:val="Normal1"/>
        <w:widowControl w:val="false"/>
        <w:spacing w:before="71" w:after="0" w:line="276"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Manual curation was iteratively carried out at each step of the pipeline. The results from individual steps were cross-checked with the ‘GenBank’ definition. In the case of indirect correlations, no functional description was assigned.</w:t>
      </w:r>
    </w:p>
    <w:p xmlns:wp14="http://schemas.microsoft.com/office/word/2010/wordml" w14:paraId="60061E4C" wp14:textId="77777777">
      <w:pPr>
        <w:pStyle w:val="Normal1"/>
        <w:widowControl w:val="false"/>
        <w:spacing w:line="240" w:lineRule="auto"/>
        <w:ind w:left="-810" w:right="-720" w:hanging="0"/>
        <w:jc w:val="both"/>
        <w:rPr>
          <w:rFonts w:ascii="Times New Roman" w:hAnsi="Times New Roman" w:eastAsia="Times New Roman" w:cs="Times New Roman"/>
          <w:sz w:val="28"/>
          <w:szCs w:val="28"/>
          <w:u w:val="single"/>
        </w:rPr>
      </w:pPr>
      <w:r>
        <w:rPr>
          <w:rFonts w:ascii="Times New Roman" w:hAnsi="Times New Roman" w:eastAsia="Times New Roman" w:cs="Times New Roman"/>
          <w:sz w:val="28"/>
          <w:szCs w:val="28"/>
          <w:u w:val="single"/>
        </w:rPr>
      </w:r>
    </w:p>
    <w:p xmlns:wp14="http://schemas.microsoft.com/office/word/2010/wordml" w14:paraId="0BF15187" wp14:textId="77777777">
      <w:pPr>
        <w:pStyle w:val="Heading3"/>
        <w:widowControl w:val="false"/>
        <w:spacing w:line="240" w:lineRule="auto"/>
        <w:ind w:left="-810" w:right="-720" w:hanging="0"/>
        <w:jc w:val="both"/>
        <w:rPr>
          <w:rFonts w:ascii="Times New Roman" w:hAnsi="Times New Roman" w:eastAsia="Times New Roman" w:cs="Times New Roman"/>
          <w:b/>
          <w:b/>
          <w:bCs/>
          <w:color w:val="000000"/>
        </w:rPr>
      </w:pPr>
      <w:bookmarkStart w:name="_e7htsmef4fso" w:id="12"/>
      <w:bookmarkEnd w:id="12"/>
      <w:r>
        <w:rPr>
          <w:rFonts w:ascii="Times New Roman" w:hAnsi="Times New Roman" w:eastAsia="Times New Roman" w:cs="Times New Roman"/>
          <w:b/>
          <w:bCs/>
          <w:color w:val="000000"/>
        </w:rPr>
        <w:t xml:space="preserve">2. Literature-based up-to-date annotation </w:t>
      </w:r>
    </w:p>
    <w:p xmlns:wp14="http://schemas.microsoft.com/office/word/2010/wordml" w14:paraId="62B58B55" wp14:textId="77777777">
      <w:pPr>
        <w:pStyle w:val="Normal1"/>
        <w:widowControl w:val="false"/>
        <w:spacing w:before="264" w:after="0" w:line="297"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Enormous progress has been made in the understanding of </w:t>
      </w:r>
      <w:r>
        <w:rPr>
          <w:rFonts w:ascii="Times New Roman" w:hAnsi="Times New Roman" w:eastAsia="Times New Roman" w:cs="Times New Roman"/>
          <w:i/>
          <w:iCs/>
          <w:sz w:val="28"/>
          <w:szCs w:val="28"/>
        </w:rPr>
        <w:t>C. acnes</w:t>
      </w:r>
      <w:r>
        <w:rPr>
          <w:rFonts w:ascii="Times New Roman" w:hAnsi="Times New Roman" w:eastAsia="Times New Roman" w:cs="Times New Roman"/>
          <w:sz w:val="28"/>
          <w:szCs w:val="28"/>
        </w:rPr>
        <w:t xml:space="preserve"> biology since the sequencing and annotation of the reference strain KPA171202. These pieces of information from the literature are incorporated into the annotation pipeline. </w:t>
      </w:r>
    </w:p>
    <w:p xmlns:wp14="http://schemas.microsoft.com/office/word/2010/wordml" w14:paraId="5A5C0178" wp14:textId="77777777">
      <w:pPr>
        <w:pStyle w:val="Heading3"/>
        <w:widowControl w:val="false"/>
        <w:spacing w:before="448" w:after="80" w:line="240" w:lineRule="auto"/>
        <w:ind w:left="-810" w:right="-720" w:hanging="0"/>
        <w:jc w:val="both"/>
        <w:rPr>
          <w:rFonts w:ascii="Times New Roman" w:hAnsi="Times New Roman" w:eastAsia="Times New Roman" w:cs="Times New Roman"/>
        </w:rPr>
      </w:pPr>
      <w:bookmarkStart w:name="_9b5dkaaws7bc" w:id="13"/>
      <w:bookmarkEnd w:id="13"/>
      <w:r>
        <w:rPr>
          <w:rFonts w:ascii="Times New Roman" w:hAnsi="Times New Roman" w:eastAsia="Times New Roman" w:cs="Times New Roman"/>
          <w:b/>
          <w:bCs/>
          <w:color w:val="000000"/>
        </w:rPr>
        <w:t>3. Computation of Annotation-score</w:t>
      </w:r>
      <w:r>
        <w:rPr>
          <w:rFonts w:ascii="Times New Roman" w:hAnsi="Times New Roman" w:eastAsia="Times New Roman" w:cs="Times New Roman"/>
        </w:rPr>
        <w:t xml:space="preserve"> </w:t>
      </w:r>
    </w:p>
    <w:p xmlns:wp14="http://schemas.microsoft.com/office/word/2010/wordml" w14:paraId="53C4BA14" wp14:textId="77777777">
      <w:pPr>
        <w:pStyle w:val="Normal1"/>
        <w:widowControl w:val="false"/>
        <w:spacing w:before="264" w:after="0" w:line="30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 binary-score schema was developed to evaluate the confidence of the assigned annotation. The flowchart for the computation of the annotation score is depicted in </w:t>
      </w:r>
      <w:r>
        <w:rPr>
          <w:rFonts w:ascii="Times New Roman" w:hAnsi="Times New Roman" w:eastAsia="Times New Roman" w:cs="Times New Roman"/>
          <w:color w:val="0000FF"/>
          <w:sz w:val="28"/>
          <w:szCs w:val="28"/>
        </w:rPr>
        <w:t>Figure 3A</w:t>
      </w:r>
      <w:r>
        <w:rPr>
          <w:rFonts w:ascii="Times New Roman" w:hAnsi="Times New Roman" w:eastAsia="Times New Roman" w:cs="Times New Roman"/>
          <w:sz w:val="28"/>
          <w:szCs w:val="28"/>
        </w:rPr>
        <w:t xml:space="preserve">. </w:t>
      </w:r>
    </w:p>
    <w:p xmlns:wp14="http://schemas.microsoft.com/office/word/2010/wordml" w14:paraId="6F78B6BE" wp14:textId="77777777">
      <w:pPr>
        <w:pStyle w:val="Normal1"/>
        <w:widowControl w:val="false"/>
        <w:spacing w:before="264" w:after="0" w:line="30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 The predicted function from each tool was manually checked, and a score ‘1’ was given to the categories for which (a) direct correlation was present from a particular piece of evidence, (b) In case of multiple evidences, a Boolean logic of ‘either’ ‘or’ was followed. (c) If a particular description from an evidence suggests the possibility of correlation with a generalized term (d) Based on string match to the web search. </w:t>
      </w:r>
    </w:p>
    <w:p xmlns:wp14="http://schemas.microsoft.com/office/word/2010/wordml" w14:paraId="3F512628" wp14:textId="77777777">
      <w:pPr>
        <w:pStyle w:val="Normal1"/>
        <w:widowControl w:val="false"/>
        <w:spacing w:before="264" w:after="0" w:line="30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ii) Score ‘0’ was given to the categories for (a) the absence of any evidence, (b) any indirect correlation between the evidence and the assigned annotation, (c) based on the string match to ‘putative’ or ‘uncharacterized’ or ‘Protein with the domain of unknown function (DUF)’. (c) and in case of ‘indecision’ or ‘doubt’. </w:t>
      </w:r>
    </w:p>
    <w:p xmlns:wp14="http://schemas.microsoft.com/office/word/2010/wordml" w14:paraId="491042DF" wp14:textId="77777777">
      <w:pPr>
        <w:pStyle w:val="Normal1"/>
        <w:widowControl w:val="false"/>
        <w:spacing w:before="264" w:after="0" w:line="300" w:lineRule="auto"/>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iii) A special advantage was given to the literature-driven, experimentally characterized proteins. A score of ‘5’ was assigned if the characterized protein has literature-based experimental validations. For example, gene PPA1939 encodes the unique antioxidant-radical oxygenase of </w:t>
      </w:r>
      <w:r>
        <w:rPr>
          <w:rFonts w:ascii="Times New Roman" w:hAnsi="Times New Roman" w:eastAsia="Times New Roman" w:cs="Times New Roman"/>
          <w:i/>
          <w:iCs/>
          <w:sz w:val="28"/>
          <w:szCs w:val="28"/>
        </w:rPr>
        <w:t xml:space="preserve">Propionibacterium acnes </w:t>
      </w:r>
      <w:r>
        <w:rPr>
          <w:rFonts w:ascii="Times New Roman" w:hAnsi="Times New Roman" w:eastAsia="Times New Roman" w:cs="Times New Roman"/>
          <w:sz w:val="28"/>
          <w:szCs w:val="28"/>
        </w:rPr>
        <w:t>(RoxP)</w:t>
      </w:r>
      <w:hyperlink r:id="rId22">
        <w:r>
          <w:rPr>
            <w:rFonts w:ascii="Times New Roman" w:hAnsi="Times New Roman" w:eastAsia="Times New Roman" w:cs="Times New Roman"/>
            <w:sz w:val="28"/>
            <w:szCs w:val="28"/>
            <w:vertAlign w:val="superscript"/>
          </w:rPr>
          <w:t>17</w:t>
        </w:r>
      </w:hyperlink>
      <w:r>
        <w:rPr>
          <w:rFonts w:ascii="Times New Roman" w:hAnsi="Times New Roman" w:eastAsia="Times New Roman" w:cs="Times New Roman"/>
          <w:sz w:val="28"/>
          <w:szCs w:val="28"/>
        </w:rPr>
        <w:t>, and the genes in the cluster PPA0859-PPA0865 are involved in Cutimycin biosynthesis</w:t>
      </w:r>
      <w:hyperlink r:id="rId23">
        <w:r>
          <w:rPr>
            <w:rFonts w:ascii="Times New Roman" w:hAnsi="Times New Roman" w:eastAsia="Times New Roman" w:cs="Times New Roman"/>
            <w:sz w:val="28"/>
            <w:szCs w:val="28"/>
            <w:vertAlign w:val="superscript"/>
          </w:rPr>
          <w:t>18</w:t>
        </w:r>
      </w:hyperlink>
      <w:r>
        <w:rPr>
          <w:rFonts w:ascii="Times New Roman" w:hAnsi="Times New Roman" w:eastAsia="Times New Roman" w:cs="Times New Roman"/>
          <w:sz w:val="28"/>
          <w:szCs w:val="28"/>
        </w:rPr>
        <w:t xml:space="preserve">. </w:t>
      </w:r>
    </w:p>
    <w:p xmlns:wp14="http://schemas.microsoft.com/office/word/2010/wordml" w14:paraId="4B94D5A5" wp14:textId="58689E59">
      <w:pPr>
        <w:pStyle w:val="Normal1"/>
        <w:widowControl w:val="0"/>
        <w:spacing w:before="264" w:after="0" w:line="300" w:lineRule="auto"/>
        <w:ind w:left="-810" w:right="-720" w:hanging="0"/>
        <w:jc w:val="both"/>
        <w:rPr>
          <w:rFonts w:ascii="Times New Roman" w:hAnsi="Times New Roman" w:eastAsia="Times New Roman" w:cs="Times New Roman"/>
          <w:sz w:val="28"/>
          <w:szCs w:val="28"/>
        </w:rPr>
      </w:pPr>
      <w:r w:rsidRPr="7FF33EF6" w:rsidR="7FF33EF6">
        <w:rPr>
          <w:rFonts w:ascii="Times New Roman" w:hAnsi="Times New Roman" w:eastAsia="Times New Roman" w:cs="Times New Roman"/>
          <w:sz w:val="28"/>
          <w:szCs w:val="28"/>
        </w:rPr>
        <w:t xml:space="preserve">An example of the computation of the annotation score for the assigned annotation is depicted in </w:t>
      </w:r>
      <w:r w:rsidRPr="7FF33EF6" w:rsidR="7FF33EF6">
        <w:rPr>
          <w:rFonts w:ascii="Times New Roman" w:hAnsi="Times New Roman" w:eastAsia="Times New Roman" w:cs="Times New Roman"/>
          <w:color w:val="0000FF"/>
          <w:sz w:val="28"/>
          <w:szCs w:val="28"/>
        </w:rPr>
        <w:t>Figure 3B</w:t>
      </w:r>
      <w:r w:rsidRPr="7FF33EF6" w:rsidR="7FF33EF6">
        <w:rPr>
          <w:rFonts w:ascii="Times New Roman" w:hAnsi="Times New Roman" w:eastAsia="Times New Roman" w:cs="Times New Roman"/>
          <w:sz w:val="28"/>
          <w:szCs w:val="28"/>
        </w:rPr>
        <w:t>.</w:t>
      </w:r>
    </w:p>
    <w:p xmlns:wp14="http://schemas.microsoft.com/office/word/2010/wordml" w14:paraId="3DEEC669" wp14:textId="77777777">
      <w:pPr>
        <w:pStyle w:val="Normal1"/>
        <w:widowControl w:val="false"/>
        <w:ind w:left="-810" w:right="-720" w:hanging="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p>
    <w:p xmlns:wp14="http://schemas.microsoft.com/office/word/2010/wordml" w14:paraId="7797E7DE" wp14:textId="77777777">
      <w:pPr>
        <w:pStyle w:val="Normal1"/>
        <w:widowControl w:val="false"/>
        <w:ind w:left="-810" w:right="-720" w:hanging="0"/>
        <w:jc w:val="both"/>
        <w:rPr>
          <w:rFonts w:ascii="Times New Roman" w:hAnsi="Times New Roman" w:eastAsia="Times New Roman" w:cs="Times New Roman"/>
          <w:b/>
          <w:b/>
          <w:bCs/>
          <w:sz w:val="28"/>
          <w:szCs w:val="28"/>
        </w:rPr>
      </w:pPr>
      <w:r>
        <w:rPr>
          <w:rFonts w:ascii="Times New Roman" w:hAnsi="Times New Roman" w:eastAsia="Times New Roman" w:cs="Times New Roman"/>
          <w:b/>
          <w:bCs/>
          <w:sz w:val="28"/>
          <w:szCs w:val="28"/>
        </w:rPr>
        <w:t>REFERENCES</w:t>
      </w:r>
    </w:p>
    <w:p xmlns:wp14="http://schemas.microsoft.com/office/word/2010/wordml" w14:paraId="6DA2F49A" wp14:textId="77777777">
      <w:pPr>
        <w:pStyle w:val="Normal1"/>
        <w:keepNext w:val="false"/>
        <w:keepLines w:val="false"/>
        <w:pageBreakBefore w:val="false"/>
        <w:widowControl w:val="false"/>
        <w:pBdr/>
        <w:shd w:val="clear" w:fill="auto"/>
        <w:spacing w:before="0" w:after="0" w:line="240" w:lineRule="auto"/>
        <w:ind w:left="504" w:right="0" w:hanging="504"/>
        <w:jc w:val="left"/>
        <w:rPr>
          <w:rFonts w:ascii="Times New Roman" w:hAnsi="Times New Roman" w:eastAsia="Times New Roman" w:cs="Times New Roman"/>
          <w:sz w:val="28"/>
          <w:szCs w:val="28"/>
        </w:rPr>
      </w:pPr>
      <w:hyperlink r:id="rId24">
        <w:r>
          <w:rPr>
            <w:rFonts w:ascii="Times New Roman" w:hAnsi="Times New Roman" w:eastAsia="Times New Roman" w:cs="Times New Roman"/>
            <w:sz w:val="28"/>
            <w:szCs w:val="28"/>
          </w:rPr>
          <w:t>(1)</w:t>
        </w:r>
      </w:hyperlink>
      <w:r>
        <w:rPr>
          <w:rFonts w:ascii="Times New Roman" w:hAnsi="Times New Roman" w:eastAsia="Times New Roman" w:cs="Times New Roman"/>
          <w:sz w:val="28"/>
          <w:szCs w:val="28"/>
        </w:rPr>
        <w:tab/>
      </w:r>
      <w:hyperlink r:id="rId25">
        <w:r>
          <w:rPr>
            <w:rFonts w:ascii="Times New Roman" w:hAnsi="Times New Roman" w:eastAsia="Times New Roman" w:cs="Times New Roman"/>
            <w:i/>
            <w:iCs/>
            <w:sz w:val="28"/>
            <w:szCs w:val="28"/>
          </w:rPr>
          <w:t>UniProt: the Universal Protein Knowledgebase in 2023 | Nucleic Acids Research | Oxford Academic</w:t>
        </w:r>
      </w:hyperlink>
      <w:hyperlink r:id="rId26">
        <w:r>
          <w:rPr>
            <w:rFonts w:ascii="Times New Roman" w:hAnsi="Times New Roman" w:eastAsia="Times New Roman" w:cs="Times New Roman"/>
            <w:sz w:val="28"/>
            <w:szCs w:val="28"/>
          </w:rPr>
          <w:t xml:space="preserve">. https://academic.oup.com/nar/article/51/D1/D523/6835362 (accessed 2025-07-23) </w:t>
        </w:r>
      </w:hyperlink>
    </w:p>
    <w:p xmlns:wp14="http://schemas.microsoft.com/office/word/2010/wordml" w14:paraId="6FC6AA59"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27">
        <w:r>
          <w:rPr>
            <w:rFonts w:ascii="Times New Roman" w:hAnsi="Times New Roman" w:eastAsia="Times New Roman" w:cs="Times New Roman"/>
            <w:sz w:val="28"/>
            <w:szCs w:val="28"/>
          </w:rPr>
          <w:t>(2)</w:t>
        </w:r>
      </w:hyperlink>
      <w:r>
        <w:rPr>
          <w:rFonts w:ascii="Times New Roman" w:hAnsi="Times New Roman" w:eastAsia="Times New Roman" w:cs="Times New Roman"/>
          <w:sz w:val="28"/>
          <w:szCs w:val="28"/>
        </w:rPr>
        <w:tab/>
      </w:r>
      <w:hyperlink r:id="rId28">
        <w:r>
          <w:rPr>
            <w:rFonts w:ascii="Times New Roman" w:hAnsi="Times New Roman" w:eastAsia="Times New Roman" w:cs="Times New Roman"/>
            <w:i/>
            <w:iCs/>
            <w:sz w:val="28"/>
            <w:szCs w:val="28"/>
          </w:rPr>
          <w:t>UniRef clusters: a comprehensive and scalable alternative for improving sequence similarity searches | Bioinformatics | Oxford Academic</w:t>
        </w:r>
      </w:hyperlink>
      <w:hyperlink r:id="rId29">
        <w:r>
          <w:rPr>
            <w:rFonts w:ascii="Times New Roman" w:hAnsi="Times New Roman" w:eastAsia="Times New Roman" w:cs="Times New Roman"/>
            <w:sz w:val="28"/>
            <w:szCs w:val="28"/>
          </w:rPr>
          <w:t xml:space="preserve">. https://academic.oup.com/bioinformatics/article/31/6/926/214968?login=true (accessed 2025-07-23) </w:t>
        </w:r>
      </w:hyperlink>
    </w:p>
    <w:p xmlns:wp14="http://schemas.microsoft.com/office/word/2010/wordml" w14:paraId="6AC419AF"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30">
        <w:r>
          <w:rPr>
            <w:rFonts w:ascii="Times New Roman" w:hAnsi="Times New Roman" w:eastAsia="Times New Roman" w:cs="Times New Roman"/>
            <w:sz w:val="28"/>
            <w:szCs w:val="28"/>
          </w:rPr>
          <w:t>(3)</w:t>
        </w:r>
      </w:hyperlink>
      <w:r>
        <w:rPr>
          <w:rFonts w:ascii="Times New Roman" w:hAnsi="Times New Roman" w:eastAsia="Times New Roman" w:cs="Times New Roman"/>
          <w:sz w:val="28"/>
          <w:szCs w:val="28"/>
        </w:rPr>
        <w:tab/>
      </w:r>
      <w:hyperlink r:id="rId31">
        <w:r>
          <w:rPr>
            <w:rFonts w:ascii="Times New Roman" w:hAnsi="Times New Roman" w:eastAsia="Times New Roman" w:cs="Times New Roman"/>
            <w:i/>
            <w:iCs/>
            <w:sz w:val="28"/>
            <w:szCs w:val="28"/>
          </w:rPr>
          <w:t>HHblits: lightning-fast iterative protein sequence searching by HMM-HMM alignment | Nature Methods</w:t>
        </w:r>
      </w:hyperlink>
      <w:hyperlink r:id="rId32">
        <w:r>
          <w:rPr>
            <w:rFonts w:ascii="Times New Roman" w:hAnsi="Times New Roman" w:eastAsia="Times New Roman" w:cs="Times New Roman"/>
            <w:sz w:val="28"/>
            <w:szCs w:val="28"/>
          </w:rPr>
          <w:t xml:space="preserve">. https://www.nature.com/articles/nmeth.1818 (accessed 2025-07-23) </w:t>
        </w:r>
      </w:hyperlink>
    </w:p>
    <w:p xmlns:wp14="http://schemas.microsoft.com/office/word/2010/wordml" w14:paraId="74BEFA91"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33">
        <w:r>
          <w:rPr>
            <w:rFonts w:ascii="Times New Roman" w:hAnsi="Times New Roman" w:eastAsia="Times New Roman" w:cs="Times New Roman"/>
            <w:sz w:val="28"/>
            <w:szCs w:val="28"/>
          </w:rPr>
          <w:t>(4)</w:t>
        </w:r>
      </w:hyperlink>
      <w:r>
        <w:rPr>
          <w:rFonts w:ascii="Times New Roman" w:hAnsi="Times New Roman" w:eastAsia="Times New Roman" w:cs="Times New Roman"/>
          <w:sz w:val="28"/>
          <w:szCs w:val="28"/>
        </w:rPr>
        <w:tab/>
      </w:r>
      <w:hyperlink r:id="rId34">
        <w:r>
          <w:rPr>
            <w:rFonts w:ascii="Times New Roman" w:hAnsi="Times New Roman" w:eastAsia="Times New Roman" w:cs="Times New Roman"/>
            <w:sz w:val="28"/>
            <w:szCs w:val="28"/>
          </w:rPr>
          <w:t xml:space="preserve">Kanehisa, M. KEGG: Kyoto Encyclopedia of Genes and Genomes. </w:t>
        </w:r>
      </w:hyperlink>
      <w:hyperlink r:id="rId35">
        <w:r>
          <w:rPr>
            <w:rFonts w:ascii="Times New Roman" w:hAnsi="Times New Roman" w:eastAsia="Times New Roman" w:cs="Times New Roman"/>
            <w:i/>
            <w:iCs/>
            <w:sz w:val="28"/>
            <w:szCs w:val="28"/>
          </w:rPr>
          <w:t xml:space="preserve">Nucleic Acids Research </w:t>
        </w:r>
      </w:hyperlink>
      <w:hyperlink r:id="rId36">
        <w:r>
          <w:rPr>
            <w:rFonts w:ascii="Times New Roman" w:hAnsi="Times New Roman" w:eastAsia="Times New Roman" w:cs="Times New Roman"/>
            <w:b/>
            <w:bCs/>
            <w:sz w:val="28"/>
            <w:szCs w:val="28"/>
          </w:rPr>
          <w:t>2000</w:t>
        </w:r>
      </w:hyperlink>
      <w:hyperlink r:id="rId37">
        <w:r>
          <w:rPr>
            <w:rFonts w:ascii="Times New Roman" w:hAnsi="Times New Roman" w:eastAsia="Times New Roman" w:cs="Times New Roman"/>
            <w:sz w:val="28"/>
            <w:szCs w:val="28"/>
          </w:rPr>
          <w:t xml:space="preserve">, </w:t>
        </w:r>
      </w:hyperlink>
      <w:hyperlink r:id="rId38">
        <w:r>
          <w:rPr>
            <w:rFonts w:ascii="Times New Roman" w:hAnsi="Times New Roman" w:eastAsia="Times New Roman" w:cs="Times New Roman"/>
            <w:i/>
            <w:iCs/>
            <w:sz w:val="28"/>
            <w:szCs w:val="28"/>
          </w:rPr>
          <w:t>28</w:t>
        </w:r>
      </w:hyperlink>
      <w:hyperlink r:id="rId39">
        <w:r>
          <w:rPr>
            <w:rFonts w:ascii="Times New Roman" w:hAnsi="Times New Roman" w:eastAsia="Times New Roman" w:cs="Times New Roman"/>
            <w:sz w:val="28"/>
            <w:szCs w:val="28"/>
          </w:rPr>
          <w:t xml:space="preserve"> (1), 27–30. https://doi.org/10.1093/nar/28.1.27 </w:t>
        </w:r>
      </w:hyperlink>
    </w:p>
    <w:p xmlns:wp14="http://schemas.microsoft.com/office/word/2010/wordml" w14:paraId="12F4D12D"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40">
        <w:r>
          <w:rPr>
            <w:rFonts w:ascii="Times New Roman" w:hAnsi="Times New Roman" w:eastAsia="Times New Roman" w:cs="Times New Roman"/>
            <w:sz w:val="28"/>
            <w:szCs w:val="28"/>
          </w:rPr>
          <w:t>(5)</w:t>
        </w:r>
      </w:hyperlink>
      <w:r>
        <w:rPr>
          <w:rFonts w:ascii="Times New Roman" w:hAnsi="Times New Roman" w:eastAsia="Times New Roman" w:cs="Times New Roman"/>
          <w:sz w:val="28"/>
          <w:szCs w:val="28"/>
        </w:rPr>
        <w:tab/>
      </w:r>
      <w:hyperlink r:id="rId41">
        <w:r>
          <w:rPr>
            <w:rFonts w:ascii="Times New Roman" w:hAnsi="Times New Roman" w:eastAsia="Times New Roman" w:cs="Times New Roman"/>
            <w:i/>
            <w:iCs/>
            <w:sz w:val="28"/>
            <w:szCs w:val="28"/>
          </w:rPr>
          <w:t>InterProScan 5: genome-scale protein function classification | Bioinformatics | Oxford Academic</w:t>
        </w:r>
      </w:hyperlink>
      <w:hyperlink r:id="rId42">
        <w:r>
          <w:rPr>
            <w:rFonts w:ascii="Times New Roman" w:hAnsi="Times New Roman" w:eastAsia="Times New Roman" w:cs="Times New Roman"/>
            <w:sz w:val="28"/>
            <w:szCs w:val="28"/>
          </w:rPr>
          <w:t xml:space="preserve">. https://academic.oup.com/bioinformatics/article/30/9/1236/237988 (accessed 2025-07-23) </w:t>
        </w:r>
      </w:hyperlink>
    </w:p>
    <w:p xmlns:wp14="http://schemas.microsoft.com/office/word/2010/wordml" w14:paraId="3A807B4E"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43">
        <w:r>
          <w:rPr>
            <w:rFonts w:ascii="Times New Roman" w:hAnsi="Times New Roman" w:eastAsia="Times New Roman" w:cs="Times New Roman"/>
            <w:sz w:val="28"/>
            <w:szCs w:val="28"/>
          </w:rPr>
          <w:t>(6)</w:t>
        </w:r>
      </w:hyperlink>
      <w:r>
        <w:rPr>
          <w:rFonts w:ascii="Times New Roman" w:hAnsi="Times New Roman" w:eastAsia="Times New Roman" w:cs="Times New Roman"/>
          <w:sz w:val="28"/>
          <w:szCs w:val="28"/>
        </w:rPr>
        <w:tab/>
      </w:r>
      <w:hyperlink r:id="rId44">
        <w:r>
          <w:rPr>
            <w:rFonts w:ascii="Times New Roman" w:hAnsi="Times New Roman" w:eastAsia="Times New Roman" w:cs="Times New Roman"/>
            <w:i/>
            <w:iCs/>
            <w:sz w:val="28"/>
            <w:szCs w:val="28"/>
          </w:rPr>
          <w:t>PANNZER2: a rapid functional annotation web server | Nucleic Acids Research | Oxford Academic</w:t>
        </w:r>
      </w:hyperlink>
      <w:hyperlink r:id="rId45">
        <w:r>
          <w:rPr>
            <w:rFonts w:ascii="Times New Roman" w:hAnsi="Times New Roman" w:eastAsia="Times New Roman" w:cs="Times New Roman"/>
            <w:sz w:val="28"/>
            <w:szCs w:val="28"/>
          </w:rPr>
          <w:t xml:space="preserve">. https://academic.oup.com/nar/article/46/W1/W84/4993786?login=true (accessed 2025-07-23) </w:t>
        </w:r>
      </w:hyperlink>
    </w:p>
    <w:p xmlns:wp14="http://schemas.microsoft.com/office/word/2010/wordml" w14:paraId="5D8E7DBA"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46">
        <w:r>
          <w:rPr>
            <w:rFonts w:ascii="Times New Roman" w:hAnsi="Times New Roman" w:eastAsia="Times New Roman" w:cs="Times New Roman"/>
            <w:sz w:val="28"/>
            <w:szCs w:val="28"/>
          </w:rPr>
          <w:t>(7)</w:t>
        </w:r>
      </w:hyperlink>
      <w:r>
        <w:rPr>
          <w:rFonts w:ascii="Times New Roman" w:hAnsi="Times New Roman" w:eastAsia="Times New Roman" w:cs="Times New Roman"/>
          <w:sz w:val="28"/>
          <w:szCs w:val="28"/>
        </w:rPr>
        <w:tab/>
      </w:r>
      <w:hyperlink r:id="rId47">
        <w:r>
          <w:rPr>
            <w:rFonts w:ascii="Times New Roman" w:hAnsi="Times New Roman" w:eastAsia="Times New Roman" w:cs="Times New Roman"/>
            <w:sz w:val="28"/>
            <w:szCs w:val="28"/>
          </w:rPr>
          <w:t xml:space="preserve">Kanehisa, M.; Sato, Y.; Kawashima, M. KEGG Mapping Tools for Uncovering Hidden Features in Biological Data. </w:t>
        </w:r>
      </w:hyperlink>
      <w:hyperlink r:id="rId48">
        <w:r>
          <w:rPr>
            <w:rFonts w:ascii="Times New Roman" w:hAnsi="Times New Roman" w:eastAsia="Times New Roman" w:cs="Times New Roman"/>
            <w:i/>
            <w:iCs/>
            <w:sz w:val="28"/>
            <w:szCs w:val="28"/>
          </w:rPr>
          <w:t xml:space="preserve">Protein Sci </w:t>
        </w:r>
      </w:hyperlink>
      <w:hyperlink r:id="rId49">
        <w:r>
          <w:rPr>
            <w:rFonts w:ascii="Times New Roman" w:hAnsi="Times New Roman" w:eastAsia="Times New Roman" w:cs="Times New Roman"/>
            <w:b/>
            <w:bCs/>
            <w:sz w:val="28"/>
            <w:szCs w:val="28"/>
          </w:rPr>
          <w:t>2022</w:t>
        </w:r>
      </w:hyperlink>
      <w:hyperlink r:id="rId50">
        <w:r>
          <w:rPr>
            <w:rFonts w:ascii="Times New Roman" w:hAnsi="Times New Roman" w:eastAsia="Times New Roman" w:cs="Times New Roman"/>
            <w:sz w:val="28"/>
            <w:szCs w:val="28"/>
          </w:rPr>
          <w:t xml:space="preserve">, </w:t>
        </w:r>
      </w:hyperlink>
      <w:hyperlink r:id="rId51">
        <w:r>
          <w:rPr>
            <w:rFonts w:ascii="Times New Roman" w:hAnsi="Times New Roman" w:eastAsia="Times New Roman" w:cs="Times New Roman"/>
            <w:i/>
            <w:iCs/>
            <w:sz w:val="28"/>
            <w:szCs w:val="28"/>
          </w:rPr>
          <w:t>31</w:t>
        </w:r>
      </w:hyperlink>
      <w:hyperlink r:id="rId52">
        <w:r>
          <w:rPr>
            <w:rFonts w:ascii="Times New Roman" w:hAnsi="Times New Roman" w:eastAsia="Times New Roman" w:cs="Times New Roman"/>
            <w:sz w:val="28"/>
            <w:szCs w:val="28"/>
          </w:rPr>
          <w:t xml:space="preserve"> (1), 47–53. https://doi.org/10.1002/pro.4172 </w:t>
        </w:r>
      </w:hyperlink>
    </w:p>
    <w:p xmlns:wp14="http://schemas.microsoft.com/office/word/2010/wordml" w14:paraId="21ECF8F9"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53">
        <w:r>
          <w:rPr>
            <w:rFonts w:ascii="Times New Roman" w:hAnsi="Times New Roman" w:eastAsia="Times New Roman" w:cs="Times New Roman"/>
            <w:sz w:val="28"/>
            <w:szCs w:val="28"/>
          </w:rPr>
          <w:t>(8)</w:t>
        </w:r>
      </w:hyperlink>
      <w:r>
        <w:rPr>
          <w:rFonts w:ascii="Times New Roman" w:hAnsi="Times New Roman" w:eastAsia="Times New Roman" w:cs="Times New Roman"/>
          <w:sz w:val="28"/>
          <w:szCs w:val="28"/>
        </w:rPr>
        <w:tab/>
      </w:r>
      <w:hyperlink r:id="rId54">
        <w:r>
          <w:rPr>
            <w:rFonts w:ascii="Times New Roman" w:hAnsi="Times New Roman" w:eastAsia="Times New Roman" w:cs="Times New Roman"/>
            <w:sz w:val="28"/>
            <w:szCs w:val="28"/>
          </w:rPr>
          <w:t xml:space="preserve">Sharma, A.; Garg, A.; Ramana, J.; Gupta, D. VirulentPred 2.0: An Improved Method for Prediction of Virulent Proteins in Bacterial Pathogens. </w:t>
        </w:r>
      </w:hyperlink>
      <w:hyperlink r:id="rId55">
        <w:r>
          <w:rPr>
            <w:rFonts w:ascii="Times New Roman" w:hAnsi="Times New Roman" w:eastAsia="Times New Roman" w:cs="Times New Roman"/>
            <w:i/>
            <w:iCs/>
            <w:sz w:val="28"/>
            <w:szCs w:val="28"/>
          </w:rPr>
          <w:t xml:space="preserve">Protein Sci </w:t>
        </w:r>
      </w:hyperlink>
      <w:hyperlink r:id="rId56">
        <w:r>
          <w:rPr>
            <w:rFonts w:ascii="Times New Roman" w:hAnsi="Times New Roman" w:eastAsia="Times New Roman" w:cs="Times New Roman"/>
            <w:b/>
            <w:bCs/>
            <w:sz w:val="28"/>
            <w:szCs w:val="28"/>
          </w:rPr>
          <w:t>2023</w:t>
        </w:r>
      </w:hyperlink>
      <w:hyperlink r:id="rId57">
        <w:r>
          <w:rPr>
            <w:rFonts w:ascii="Times New Roman" w:hAnsi="Times New Roman" w:eastAsia="Times New Roman" w:cs="Times New Roman"/>
            <w:sz w:val="28"/>
            <w:szCs w:val="28"/>
          </w:rPr>
          <w:t xml:space="preserve">, </w:t>
        </w:r>
      </w:hyperlink>
      <w:hyperlink r:id="rId58">
        <w:r>
          <w:rPr>
            <w:rFonts w:ascii="Times New Roman" w:hAnsi="Times New Roman" w:eastAsia="Times New Roman" w:cs="Times New Roman"/>
            <w:i/>
            <w:iCs/>
            <w:sz w:val="28"/>
            <w:szCs w:val="28"/>
          </w:rPr>
          <w:t>32</w:t>
        </w:r>
      </w:hyperlink>
      <w:hyperlink r:id="rId59">
        <w:r>
          <w:rPr>
            <w:rFonts w:ascii="Times New Roman" w:hAnsi="Times New Roman" w:eastAsia="Times New Roman" w:cs="Times New Roman"/>
            <w:sz w:val="28"/>
            <w:szCs w:val="28"/>
          </w:rPr>
          <w:t xml:space="preserve"> (12), e4808. https://doi.org/10.1002/pro.4808 </w:t>
        </w:r>
      </w:hyperlink>
    </w:p>
    <w:p xmlns:wp14="http://schemas.microsoft.com/office/word/2010/wordml" w14:paraId="630CC9D5"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60">
        <w:r>
          <w:rPr>
            <w:rFonts w:ascii="Times New Roman" w:hAnsi="Times New Roman" w:eastAsia="Times New Roman" w:cs="Times New Roman"/>
            <w:sz w:val="28"/>
            <w:szCs w:val="28"/>
          </w:rPr>
          <w:t>(9)</w:t>
        </w:r>
      </w:hyperlink>
      <w:r>
        <w:rPr>
          <w:rFonts w:ascii="Times New Roman" w:hAnsi="Times New Roman" w:eastAsia="Times New Roman" w:cs="Times New Roman"/>
          <w:sz w:val="28"/>
          <w:szCs w:val="28"/>
        </w:rPr>
        <w:tab/>
      </w:r>
      <w:hyperlink r:id="rId61">
        <w:r>
          <w:rPr>
            <w:rFonts w:ascii="Times New Roman" w:hAnsi="Times New Roman" w:eastAsia="Times New Roman" w:cs="Times New Roman"/>
            <w:i/>
            <w:iCs/>
            <w:sz w:val="28"/>
            <w:szCs w:val="28"/>
          </w:rPr>
          <w:t>VFDB: a reference database for bacterial virulence factors | Nucleic Acids Research | Oxford Academic</w:t>
        </w:r>
      </w:hyperlink>
      <w:hyperlink r:id="rId62">
        <w:r>
          <w:rPr>
            <w:rFonts w:ascii="Times New Roman" w:hAnsi="Times New Roman" w:eastAsia="Times New Roman" w:cs="Times New Roman"/>
            <w:sz w:val="28"/>
            <w:szCs w:val="28"/>
          </w:rPr>
          <w:t xml:space="preserve">. https://academic.oup.com/nar/article/33/suppl_1/D325/2505203 (accessed 2025-07-23) </w:t>
        </w:r>
      </w:hyperlink>
    </w:p>
    <w:p xmlns:wp14="http://schemas.microsoft.com/office/word/2010/wordml" w14:paraId="369CA1F4"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63">
        <w:r>
          <w:rPr>
            <w:rFonts w:ascii="Times New Roman" w:hAnsi="Times New Roman" w:eastAsia="Times New Roman" w:cs="Times New Roman"/>
            <w:sz w:val="28"/>
            <w:szCs w:val="28"/>
          </w:rPr>
          <w:t>(10)</w:t>
        </w:r>
      </w:hyperlink>
      <w:r>
        <w:rPr>
          <w:rFonts w:ascii="Times New Roman" w:hAnsi="Times New Roman" w:eastAsia="Times New Roman" w:cs="Times New Roman"/>
          <w:sz w:val="28"/>
          <w:szCs w:val="28"/>
        </w:rPr>
        <w:tab/>
      </w:r>
      <w:hyperlink r:id="rId64">
        <w:r>
          <w:rPr>
            <w:rFonts w:ascii="Times New Roman" w:hAnsi="Times New Roman" w:eastAsia="Times New Roman" w:cs="Times New Roman"/>
            <w:sz w:val="28"/>
            <w:szCs w:val="28"/>
          </w:rPr>
          <w:t xml:space="preserve">Barakat, M.; Ortet, P.; Whitworth, D. E. P2RP: A Web-Based Framework for the Identification and Analysis of Regulatory Proteins in Prokaryotic Genomes. </w:t>
        </w:r>
      </w:hyperlink>
      <w:hyperlink r:id="rId65">
        <w:r>
          <w:rPr>
            <w:rFonts w:ascii="Times New Roman" w:hAnsi="Times New Roman" w:eastAsia="Times New Roman" w:cs="Times New Roman"/>
            <w:i/>
            <w:iCs/>
            <w:sz w:val="28"/>
            <w:szCs w:val="28"/>
          </w:rPr>
          <w:t xml:space="preserve">BMC Genomics </w:t>
        </w:r>
      </w:hyperlink>
      <w:hyperlink r:id="rId66">
        <w:r>
          <w:rPr>
            <w:rFonts w:ascii="Times New Roman" w:hAnsi="Times New Roman" w:eastAsia="Times New Roman" w:cs="Times New Roman"/>
            <w:b/>
            <w:bCs/>
            <w:sz w:val="28"/>
            <w:szCs w:val="28"/>
          </w:rPr>
          <w:t>2013</w:t>
        </w:r>
      </w:hyperlink>
      <w:hyperlink r:id="rId67">
        <w:r>
          <w:rPr>
            <w:rFonts w:ascii="Times New Roman" w:hAnsi="Times New Roman" w:eastAsia="Times New Roman" w:cs="Times New Roman"/>
            <w:sz w:val="28"/>
            <w:szCs w:val="28"/>
          </w:rPr>
          <w:t xml:space="preserve">, </w:t>
        </w:r>
      </w:hyperlink>
      <w:hyperlink r:id="rId68">
        <w:r>
          <w:rPr>
            <w:rFonts w:ascii="Times New Roman" w:hAnsi="Times New Roman" w:eastAsia="Times New Roman" w:cs="Times New Roman"/>
            <w:i/>
            <w:iCs/>
            <w:sz w:val="28"/>
            <w:szCs w:val="28"/>
          </w:rPr>
          <w:t>14</w:t>
        </w:r>
      </w:hyperlink>
      <w:hyperlink r:id="rId69">
        <w:r>
          <w:rPr>
            <w:rFonts w:ascii="Times New Roman" w:hAnsi="Times New Roman" w:eastAsia="Times New Roman" w:cs="Times New Roman"/>
            <w:sz w:val="28"/>
            <w:szCs w:val="28"/>
          </w:rPr>
          <w:t xml:space="preserve">, 269. https://doi.org/10.1186/1471-2164-14-269 </w:t>
        </w:r>
      </w:hyperlink>
    </w:p>
    <w:p xmlns:wp14="http://schemas.microsoft.com/office/word/2010/wordml" w14:paraId="7C8F4261"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70">
        <w:r>
          <w:rPr>
            <w:rFonts w:ascii="Times New Roman" w:hAnsi="Times New Roman" w:eastAsia="Times New Roman" w:cs="Times New Roman"/>
            <w:sz w:val="28"/>
            <w:szCs w:val="28"/>
          </w:rPr>
          <w:t>(11)</w:t>
        </w:r>
      </w:hyperlink>
      <w:r>
        <w:rPr>
          <w:rFonts w:ascii="Times New Roman" w:hAnsi="Times New Roman" w:eastAsia="Times New Roman" w:cs="Times New Roman"/>
          <w:sz w:val="28"/>
          <w:szCs w:val="28"/>
        </w:rPr>
        <w:tab/>
      </w:r>
      <w:hyperlink r:id="rId71">
        <w:r>
          <w:rPr>
            <w:rFonts w:ascii="Times New Roman" w:hAnsi="Times New Roman" w:eastAsia="Times New Roman" w:cs="Times New Roman"/>
            <w:sz w:val="28"/>
            <w:szCs w:val="28"/>
          </w:rPr>
          <w:t xml:space="preserve">Kim, G. B.; Gao, Y.; Palsson, B. O.; Lee, S. Y. DeepTFactor: A Deep Learning-Based Tool for the Prediction of Transcription Factors. </w:t>
        </w:r>
      </w:hyperlink>
      <w:hyperlink r:id="rId72">
        <w:r>
          <w:rPr>
            <w:rFonts w:ascii="Times New Roman" w:hAnsi="Times New Roman" w:eastAsia="Times New Roman" w:cs="Times New Roman"/>
            <w:i/>
            <w:iCs/>
            <w:sz w:val="28"/>
            <w:szCs w:val="28"/>
          </w:rPr>
          <w:t xml:space="preserve">Proceedings of the National Academy of Sciences </w:t>
        </w:r>
      </w:hyperlink>
      <w:hyperlink r:id="rId73">
        <w:r>
          <w:rPr>
            <w:rFonts w:ascii="Times New Roman" w:hAnsi="Times New Roman" w:eastAsia="Times New Roman" w:cs="Times New Roman"/>
            <w:b/>
            <w:bCs/>
            <w:sz w:val="28"/>
            <w:szCs w:val="28"/>
          </w:rPr>
          <w:t>2021</w:t>
        </w:r>
      </w:hyperlink>
      <w:hyperlink r:id="rId74">
        <w:r>
          <w:rPr>
            <w:rFonts w:ascii="Times New Roman" w:hAnsi="Times New Roman" w:eastAsia="Times New Roman" w:cs="Times New Roman"/>
            <w:sz w:val="28"/>
            <w:szCs w:val="28"/>
          </w:rPr>
          <w:t xml:space="preserve">, </w:t>
        </w:r>
      </w:hyperlink>
      <w:hyperlink r:id="rId75">
        <w:r>
          <w:rPr>
            <w:rFonts w:ascii="Times New Roman" w:hAnsi="Times New Roman" w:eastAsia="Times New Roman" w:cs="Times New Roman"/>
            <w:i/>
            <w:iCs/>
            <w:sz w:val="28"/>
            <w:szCs w:val="28"/>
          </w:rPr>
          <w:t>118</w:t>
        </w:r>
      </w:hyperlink>
      <w:hyperlink r:id="rId76">
        <w:r>
          <w:rPr>
            <w:rFonts w:ascii="Times New Roman" w:hAnsi="Times New Roman" w:eastAsia="Times New Roman" w:cs="Times New Roman"/>
            <w:sz w:val="28"/>
            <w:szCs w:val="28"/>
          </w:rPr>
          <w:t xml:space="preserve"> (2), e2021171118. https://doi.org/10.1073/pnas.2021171118 </w:t>
        </w:r>
      </w:hyperlink>
    </w:p>
    <w:p xmlns:wp14="http://schemas.microsoft.com/office/word/2010/wordml" w14:paraId="574ADC03"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77">
        <w:r>
          <w:rPr>
            <w:rFonts w:ascii="Times New Roman" w:hAnsi="Times New Roman" w:eastAsia="Times New Roman" w:cs="Times New Roman"/>
            <w:sz w:val="28"/>
            <w:szCs w:val="28"/>
          </w:rPr>
          <w:t>(12)</w:t>
        </w:r>
      </w:hyperlink>
      <w:r>
        <w:rPr>
          <w:rFonts w:ascii="Times New Roman" w:hAnsi="Times New Roman" w:eastAsia="Times New Roman" w:cs="Times New Roman"/>
          <w:sz w:val="28"/>
          <w:szCs w:val="28"/>
        </w:rPr>
        <w:tab/>
      </w:r>
      <w:hyperlink r:id="rId78">
        <w:r>
          <w:rPr>
            <w:rFonts w:ascii="Times New Roman" w:hAnsi="Times New Roman" w:eastAsia="Times New Roman" w:cs="Times New Roman"/>
            <w:i/>
            <w:iCs/>
            <w:sz w:val="28"/>
            <w:szCs w:val="28"/>
          </w:rPr>
          <w:t>SCOP database in 2020: expanded classification of representative family and superfamily domains of known protein structures | Nucleic Acids Research | Oxford Academic</w:t>
        </w:r>
      </w:hyperlink>
      <w:hyperlink r:id="rId79">
        <w:r>
          <w:rPr>
            <w:rFonts w:ascii="Times New Roman" w:hAnsi="Times New Roman" w:eastAsia="Times New Roman" w:cs="Times New Roman"/>
            <w:sz w:val="28"/>
            <w:szCs w:val="28"/>
          </w:rPr>
          <w:t xml:space="preserve">. https://academic.oup.com/nar/article/48/D1/D376/5625529?login=true (accessed 2025-09-25) </w:t>
        </w:r>
      </w:hyperlink>
    </w:p>
    <w:p xmlns:wp14="http://schemas.microsoft.com/office/word/2010/wordml" w14:paraId="2D893A71"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80">
        <w:r>
          <w:rPr>
            <w:rFonts w:ascii="Times New Roman" w:hAnsi="Times New Roman" w:eastAsia="Times New Roman" w:cs="Times New Roman"/>
            <w:sz w:val="28"/>
            <w:szCs w:val="28"/>
          </w:rPr>
          <w:t>(13)</w:t>
        </w:r>
      </w:hyperlink>
      <w:r>
        <w:rPr>
          <w:rFonts w:ascii="Times New Roman" w:hAnsi="Times New Roman" w:eastAsia="Times New Roman" w:cs="Times New Roman"/>
          <w:sz w:val="28"/>
          <w:szCs w:val="28"/>
        </w:rPr>
        <w:tab/>
      </w:r>
      <w:hyperlink r:id="rId81">
        <w:r>
          <w:rPr>
            <w:rFonts w:ascii="Times New Roman" w:hAnsi="Times New Roman" w:eastAsia="Times New Roman" w:cs="Times New Roman"/>
            <w:sz w:val="28"/>
            <w:szCs w:val="28"/>
          </w:rPr>
          <w:t xml:space="preserve">Zhang, Y.; Skolnick, J. TM-Align: A Protein Structure Alignment Algorithm Based on the TM-Score. </w:t>
        </w:r>
      </w:hyperlink>
      <w:hyperlink r:id="rId82">
        <w:r>
          <w:rPr>
            <w:rFonts w:ascii="Times New Roman" w:hAnsi="Times New Roman" w:eastAsia="Times New Roman" w:cs="Times New Roman"/>
            <w:i/>
            <w:iCs/>
            <w:sz w:val="28"/>
            <w:szCs w:val="28"/>
          </w:rPr>
          <w:t xml:space="preserve">Nucleic Acids Res </w:t>
        </w:r>
      </w:hyperlink>
      <w:hyperlink r:id="rId83">
        <w:r>
          <w:rPr>
            <w:rFonts w:ascii="Times New Roman" w:hAnsi="Times New Roman" w:eastAsia="Times New Roman" w:cs="Times New Roman"/>
            <w:b/>
            <w:bCs/>
            <w:sz w:val="28"/>
            <w:szCs w:val="28"/>
          </w:rPr>
          <w:t>2005</w:t>
        </w:r>
      </w:hyperlink>
      <w:hyperlink r:id="rId84">
        <w:r>
          <w:rPr>
            <w:rFonts w:ascii="Times New Roman" w:hAnsi="Times New Roman" w:eastAsia="Times New Roman" w:cs="Times New Roman"/>
            <w:sz w:val="28"/>
            <w:szCs w:val="28"/>
          </w:rPr>
          <w:t xml:space="preserve">, </w:t>
        </w:r>
      </w:hyperlink>
      <w:hyperlink r:id="rId85">
        <w:r>
          <w:rPr>
            <w:rFonts w:ascii="Times New Roman" w:hAnsi="Times New Roman" w:eastAsia="Times New Roman" w:cs="Times New Roman"/>
            <w:i/>
            <w:iCs/>
            <w:sz w:val="28"/>
            <w:szCs w:val="28"/>
          </w:rPr>
          <w:t>33</w:t>
        </w:r>
      </w:hyperlink>
      <w:hyperlink r:id="rId86">
        <w:r>
          <w:rPr>
            <w:rFonts w:ascii="Times New Roman" w:hAnsi="Times New Roman" w:eastAsia="Times New Roman" w:cs="Times New Roman"/>
            <w:sz w:val="28"/>
            <w:szCs w:val="28"/>
          </w:rPr>
          <w:t xml:space="preserve"> (7), 2302–2309. https://doi.org/10.1093/nar/gki524 </w:t>
        </w:r>
      </w:hyperlink>
    </w:p>
    <w:p xmlns:wp14="http://schemas.microsoft.com/office/word/2010/wordml" w14:paraId="1585CB32"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87">
        <w:r>
          <w:rPr>
            <w:rFonts w:ascii="Times New Roman" w:hAnsi="Times New Roman" w:eastAsia="Times New Roman" w:cs="Times New Roman"/>
            <w:sz w:val="28"/>
            <w:szCs w:val="28"/>
          </w:rPr>
          <w:t>(14)</w:t>
        </w:r>
      </w:hyperlink>
      <w:r>
        <w:rPr>
          <w:rFonts w:ascii="Times New Roman" w:hAnsi="Times New Roman" w:eastAsia="Times New Roman" w:cs="Times New Roman"/>
          <w:sz w:val="28"/>
          <w:szCs w:val="28"/>
        </w:rPr>
        <w:tab/>
      </w:r>
      <w:hyperlink r:id="rId88">
        <w:r>
          <w:rPr>
            <w:rFonts w:ascii="Times New Roman" w:hAnsi="Times New Roman" w:eastAsia="Times New Roman" w:cs="Times New Roman"/>
            <w:sz w:val="28"/>
            <w:szCs w:val="28"/>
          </w:rPr>
          <w:t xml:space="preserve">Zdrazil, B.; Felix, E.; Hunter, F.; Manners, E. J.; Blackshaw, J.; Corbett, S.; de Veij, M.; Ioannidis, H.; Lopez, D. M.; Mosquera, J. F.; Magarinos, M. P.; Bosc, N.; Arcila, R.; Kizilören, T.; Gaulton, A.; Bento, A. P.; Adasme, M. F.; Monecke, P.; Landrum, G. A.; Leach, A. R. The ChEMBL Database in 2023: A Drug Discovery Platform Spanning Multiple Bioactivity Data Types and Time Periods. </w:t>
        </w:r>
      </w:hyperlink>
      <w:hyperlink r:id="rId89">
        <w:r>
          <w:rPr>
            <w:rFonts w:ascii="Times New Roman" w:hAnsi="Times New Roman" w:eastAsia="Times New Roman" w:cs="Times New Roman"/>
            <w:i/>
            <w:iCs/>
            <w:sz w:val="28"/>
            <w:szCs w:val="28"/>
          </w:rPr>
          <w:t xml:space="preserve">Nucleic Acids Res </w:t>
        </w:r>
      </w:hyperlink>
      <w:hyperlink r:id="rId90">
        <w:r>
          <w:rPr>
            <w:rFonts w:ascii="Times New Roman" w:hAnsi="Times New Roman" w:eastAsia="Times New Roman" w:cs="Times New Roman"/>
            <w:b/>
            <w:bCs/>
            <w:sz w:val="28"/>
            <w:szCs w:val="28"/>
          </w:rPr>
          <w:t>2024</w:t>
        </w:r>
      </w:hyperlink>
      <w:hyperlink r:id="rId91">
        <w:r>
          <w:rPr>
            <w:rFonts w:ascii="Times New Roman" w:hAnsi="Times New Roman" w:eastAsia="Times New Roman" w:cs="Times New Roman"/>
            <w:sz w:val="28"/>
            <w:szCs w:val="28"/>
          </w:rPr>
          <w:t xml:space="preserve">, </w:t>
        </w:r>
      </w:hyperlink>
      <w:hyperlink r:id="rId92">
        <w:r>
          <w:rPr>
            <w:rFonts w:ascii="Times New Roman" w:hAnsi="Times New Roman" w:eastAsia="Times New Roman" w:cs="Times New Roman"/>
            <w:i/>
            <w:iCs/>
            <w:sz w:val="28"/>
            <w:szCs w:val="28"/>
          </w:rPr>
          <w:t>52</w:t>
        </w:r>
      </w:hyperlink>
      <w:hyperlink r:id="rId93">
        <w:r>
          <w:rPr>
            <w:rFonts w:ascii="Times New Roman" w:hAnsi="Times New Roman" w:eastAsia="Times New Roman" w:cs="Times New Roman"/>
            <w:sz w:val="28"/>
            <w:szCs w:val="28"/>
          </w:rPr>
          <w:t xml:space="preserve"> (D1), D1180–D1192. https://doi.org/10.1093/nar/gkad1004 </w:t>
        </w:r>
      </w:hyperlink>
    </w:p>
    <w:p xmlns:wp14="http://schemas.microsoft.com/office/word/2010/wordml" w14:paraId="1E0029BE"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94">
        <w:r>
          <w:rPr>
            <w:rFonts w:ascii="Times New Roman" w:hAnsi="Times New Roman" w:eastAsia="Times New Roman" w:cs="Times New Roman"/>
            <w:sz w:val="28"/>
            <w:szCs w:val="28"/>
          </w:rPr>
          <w:t>(15)</w:t>
        </w:r>
      </w:hyperlink>
      <w:r>
        <w:rPr>
          <w:rFonts w:ascii="Times New Roman" w:hAnsi="Times New Roman" w:eastAsia="Times New Roman" w:cs="Times New Roman"/>
          <w:sz w:val="28"/>
          <w:szCs w:val="28"/>
        </w:rPr>
        <w:tab/>
      </w:r>
      <w:hyperlink r:id="rId95">
        <w:r>
          <w:rPr>
            <w:rFonts w:ascii="Times New Roman" w:hAnsi="Times New Roman" w:eastAsia="Times New Roman" w:cs="Times New Roman"/>
            <w:sz w:val="28"/>
            <w:szCs w:val="28"/>
          </w:rPr>
          <w:t xml:space="preserve">Zhang, C.; Zhang, X.; Freddolino, L.; Zhang, Y. BioLiP2: An Updated Structure Database for Biologically Relevant Ligand–Protein Interactions. </w:t>
        </w:r>
      </w:hyperlink>
      <w:hyperlink r:id="rId96">
        <w:r>
          <w:rPr>
            <w:rFonts w:ascii="Times New Roman" w:hAnsi="Times New Roman" w:eastAsia="Times New Roman" w:cs="Times New Roman"/>
            <w:i/>
            <w:iCs/>
            <w:sz w:val="28"/>
            <w:szCs w:val="28"/>
          </w:rPr>
          <w:t xml:space="preserve">Nucleic Acids Research </w:t>
        </w:r>
      </w:hyperlink>
      <w:hyperlink r:id="rId97">
        <w:r>
          <w:rPr>
            <w:rFonts w:ascii="Times New Roman" w:hAnsi="Times New Roman" w:eastAsia="Times New Roman" w:cs="Times New Roman"/>
            <w:b/>
            <w:bCs/>
            <w:sz w:val="28"/>
            <w:szCs w:val="28"/>
          </w:rPr>
          <w:t>2024</w:t>
        </w:r>
      </w:hyperlink>
      <w:hyperlink r:id="rId98">
        <w:r>
          <w:rPr>
            <w:rFonts w:ascii="Times New Roman" w:hAnsi="Times New Roman" w:eastAsia="Times New Roman" w:cs="Times New Roman"/>
            <w:sz w:val="28"/>
            <w:szCs w:val="28"/>
          </w:rPr>
          <w:t xml:space="preserve">, </w:t>
        </w:r>
      </w:hyperlink>
      <w:hyperlink r:id="rId99">
        <w:r>
          <w:rPr>
            <w:rFonts w:ascii="Times New Roman" w:hAnsi="Times New Roman" w:eastAsia="Times New Roman" w:cs="Times New Roman"/>
            <w:i/>
            <w:iCs/>
            <w:sz w:val="28"/>
            <w:szCs w:val="28"/>
          </w:rPr>
          <w:t>52</w:t>
        </w:r>
      </w:hyperlink>
      <w:hyperlink r:id="rId100">
        <w:r>
          <w:rPr>
            <w:rFonts w:ascii="Times New Roman" w:hAnsi="Times New Roman" w:eastAsia="Times New Roman" w:cs="Times New Roman"/>
            <w:sz w:val="28"/>
            <w:szCs w:val="28"/>
          </w:rPr>
          <w:t xml:space="preserve"> (D1), D404–D412. https://doi.org/10.1093/nar/gkad630 </w:t>
        </w:r>
      </w:hyperlink>
    </w:p>
    <w:p xmlns:wp14="http://schemas.microsoft.com/office/word/2010/wordml" w14:paraId="6D0274AF"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101">
        <w:r>
          <w:rPr>
            <w:rFonts w:ascii="Times New Roman" w:hAnsi="Times New Roman" w:eastAsia="Times New Roman" w:cs="Times New Roman"/>
            <w:sz w:val="28"/>
            <w:szCs w:val="28"/>
          </w:rPr>
          <w:t>(16)</w:t>
        </w:r>
      </w:hyperlink>
      <w:r>
        <w:rPr>
          <w:rFonts w:ascii="Times New Roman" w:hAnsi="Times New Roman" w:eastAsia="Times New Roman" w:cs="Times New Roman"/>
          <w:sz w:val="28"/>
          <w:szCs w:val="28"/>
        </w:rPr>
        <w:tab/>
      </w:r>
      <w:hyperlink r:id="rId102">
        <w:r>
          <w:rPr>
            <w:rFonts w:ascii="Times New Roman" w:hAnsi="Times New Roman" w:eastAsia="Times New Roman" w:cs="Times New Roman"/>
            <w:sz w:val="28"/>
            <w:szCs w:val="28"/>
          </w:rPr>
          <w:t xml:space="preserve">Lobo, I. Basic Local Alignment Search Tool (BLAST). </w:t>
        </w:r>
      </w:hyperlink>
      <w:hyperlink r:id="rId103">
        <w:r>
          <w:rPr>
            <w:rFonts w:ascii="Times New Roman" w:hAnsi="Times New Roman" w:eastAsia="Times New Roman" w:cs="Times New Roman"/>
            <w:i/>
            <w:iCs/>
            <w:sz w:val="28"/>
            <w:szCs w:val="28"/>
          </w:rPr>
          <w:t xml:space="preserve">Nature Education </w:t>
        </w:r>
      </w:hyperlink>
      <w:hyperlink r:id="rId104">
        <w:r>
          <w:rPr>
            <w:rFonts w:ascii="Times New Roman" w:hAnsi="Times New Roman" w:eastAsia="Times New Roman" w:cs="Times New Roman"/>
            <w:b/>
            <w:bCs/>
            <w:sz w:val="28"/>
            <w:szCs w:val="28"/>
          </w:rPr>
          <w:t>2008</w:t>
        </w:r>
      </w:hyperlink>
      <w:hyperlink r:id="rId105">
        <w:r>
          <w:rPr>
            <w:rFonts w:ascii="Times New Roman" w:hAnsi="Times New Roman" w:eastAsia="Times New Roman" w:cs="Times New Roman"/>
            <w:sz w:val="28"/>
            <w:szCs w:val="28"/>
          </w:rPr>
          <w:t xml:space="preserve">, </w:t>
        </w:r>
      </w:hyperlink>
      <w:hyperlink r:id="rId106">
        <w:r>
          <w:rPr>
            <w:rFonts w:ascii="Times New Roman" w:hAnsi="Times New Roman" w:eastAsia="Times New Roman" w:cs="Times New Roman"/>
            <w:i/>
            <w:iCs/>
            <w:sz w:val="28"/>
            <w:szCs w:val="28"/>
          </w:rPr>
          <w:t>1</w:t>
        </w:r>
      </w:hyperlink>
      <w:hyperlink r:id="rId107">
        <w:r>
          <w:rPr>
            <w:rFonts w:ascii="Times New Roman" w:hAnsi="Times New Roman" w:eastAsia="Times New Roman" w:cs="Times New Roman"/>
            <w:sz w:val="28"/>
            <w:szCs w:val="28"/>
          </w:rPr>
          <w:t xml:space="preserve"> (1). </w:t>
        </w:r>
      </w:hyperlink>
    </w:p>
    <w:p xmlns:wp14="http://schemas.microsoft.com/office/word/2010/wordml" w14:paraId="576D823E"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108">
        <w:r>
          <w:rPr>
            <w:rFonts w:ascii="Times New Roman" w:hAnsi="Times New Roman" w:eastAsia="Times New Roman" w:cs="Times New Roman"/>
            <w:sz w:val="28"/>
            <w:szCs w:val="28"/>
          </w:rPr>
          <w:t>(17)</w:t>
        </w:r>
      </w:hyperlink>
      <w:r>
        <w:rPr>
          <w:rFonts w:ascii="Times New Roman" w:hAnsi="Times New Roman" w:eastAsia="Times New Roman" w:cs="Times New Roman"/>
          <w:sz w:val="28"/>
          <w:szCs w:val="28"/>
        </w:rPr>
        <w:tab/>
      </w:r>
      <w:hyperlink r:id="rId109">
        <w:r>
          <w:rPr>
            <w:rFonts w:ascii="Times New Roman" w:hAnsi="Times New Roman" w:eastAsia="Times New Roman" w:cs="Times New Roman"/>
            <w:i/>
            <w:iCs/>
            <w:sz w:val="28"/>
            <w:szCs w:val="28"/>
          </w:rPr>
          <w:t>A novel enzyme with antioxidant capacity produced by the ubiquitous skin colonizer Propionibacterium acnes | Scientific Reports</w:t>
        </w:r>
      </w:hyperlink>
      <w:hyperlink r:id="rId110">
        <w:r>
          <w:rPr>
            <w:rFonts w:ascii="Times New Roman" w:hAnsi="Times New Roman" w:eastAsia="Times New Roman" w:cs="Times New Roman"/>
            <w:sz w:val="28"/>
            <w:szCs w:val="28"/>
          </w:rPr>
          <w:t xml:space="preserve">. https://www.nature.com/articles/srep36412 (accessed 2025-07-23) </w:t>
        </w:r>
      </w:hyperlink>
    </w:p>
    <w:p xmlns:wp14="http://schemas.microsoft.com/office/word/2010/wordml" w14:paraId="08D7416F" wp14:textId="77777777">
      <w:pPr>
        <w:pStyle w:val="Normal1"/>
        <w:keepNext w:val="false"/>
        <w:keepLines w:val="false"/>
        <w:pageBreakBefore w:val="false"/>
        <w:widowControl w:val="false"/>
        <w:pBdr/>
        <w:shd w:val="clear" w:fill="auto"/>
        <w:spacing w:before="0" w:after="0" w:line="240" w:lineRule="auto"/>
        <w:ind w:left="504" w:right="0" w:hanging="504"/>
        <w:jc w:val="left"/>
        <w:rPr/>
      </w:pPr>
      <w:hyperlink r:id="rId111">
        <w:r>
          <w:rPr>
            <w:rFonts w:ascii="Times New Roman" w:hAnsi="Times New Roman" w:eastAsia="Times New Roman" w:cs="Times New Roman"/>
            <w:sz w:val="28"/>
            <w:szCs w:val="28"/>
          </w:rPr>
          <w:t>(18)</w:t>
        </w:r>
      </w:hyperlink>
      <w:r>
        <w:rPr>
          <w:rFonts w:ascii="Times New Roman" w:hAnsi="Times New Roman" w:eastAsia="Times New Roman" w:cs="Times New Roman"/>
          <w:sz w:val="28"/>
          <w:szCs w:val="28"/>
        </w:rPr>
        <w:tab/>
      </w:r>
      <w:hyperlink r:id="rId112">
        <w:r>
          <w:rPr>
            <w:rFonts w:ascii="Times New Roman" w:hAnsi="Times New Roman" w:eastAsia="Times New Roman" w:cs="Times New Roman"/>
            <w:i/>
            <w:iCs/>
            <w:sz w:val="28"/>
            <w:szCs w:val="28"/>
          </w:rPr>
          <w:t>A Cutibacterium acnes antibiotic modulates human skin microbiota composition in hair follicles | Science Translational Medicine</w:t>
        </w:r>
      </w:hyperlink>
      <w:hyperlink r:id="rId113">
        <w:r>
          <w:rPr>
            <w:rFonts w:ascii="Times New Roman" w:hAnsi="Times New Roman" w:eastAsia="Times New Roman" w:cs="Times New Roman"/>
            <w:sz w:val="28"/>
            <w:szCs w:val="28"/>
          </w:rPr>
          <w:t xml:space="preserve">. https://www.science.org/doi/10.1126/scitranslmed.aay5445?url_ver=Z39.88-2003&amp;rfr_id=ori:rid:crossref.org&amp;rfr_dat=cr_pub%20%200pubmed (accessed 2025-07-23) </w:t>
        </w:r>
      </w:hyperlink>
    </w:p>
    <w:p xmlns:wp14="http://schemas.microsoft.com/office/word/2010/wordml" w14:paraId="3656B9AB" wp14:textId="77777777">
      <w:pPr>
        <w:pStyle w:val="Normal1"/>
        <w:keepNext w:val="false"/>
        <w:keepLines w:val="false"/>
        <w:pageBreakBefore w:val="false"/>
        <w:widowControl w:val="false"/>
        <w:pBdr/>
        <w:shd w:val="clear" w:fill="auto"/>
        <w:spacing w:before="0" w:after="0" w:line="240" w:lineRule="auto"/>
        <w:ind w:left="504" w:right="0" w:hanging="504"/>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p>
    <w:p xmlns:wp14="http://schemas.microsoft.com/office/word/2010/wordml" w:rsidP="7FF33EF6" w14:paraId="049F31CB" wp14:textId="4F05BE51">
      <w:pPr>
        <w:pStyle w:val="Normal1"/>
        <w:keepNext w:val="0"/>
        <w:keepLines w:val="0"/>
        <w:pageBreakBefore w:val="0"/>
        <w:widowControl w:val="0"/>
        <w:shd w:val="clear" w:color="auto" w:fill="auto"/>
        <w:spacing w:before="0" w:after="0" w:line="240" w:lineRule="auto"/>
        <w:ind w:left="504" w:right="0" w:hanging="504"/>
        <w:jc w:val="both"/>
        <w:rPr>
          <w:rFonts w:ascii="Times New Roman" w:hAnsi="Times New Roman" w:eastAsia="Times New Roman" w:cs="Times New Roman"/>
          <w:sz w:val="28"/>
          <w:szCs w:val="28"/>
        </w:rPr>
      </w:pPr>
    </w:p>
    <w:sectPr>
      <w:headerReference w:type="default" r:id="rId114"/>
      <w:type w:val="nextPage"/>
      <w:pgSz w:w="12240" w:h="15840" w:orient="portrait"/>
      <w:pgMar w:top="1440" w:right="1440" w:bottom="1440" w:left="1440" w:header="720" w:footer="0" w:gutter="0"/>
      <w:pgNumType w:fmt="decimal" w:start="1"/>
      <w:formProt w:val="false"/>
      <w:textDirection w:val="lrTb"/>
      <w:docGrid w:type="default" w:linePitch="10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w:fontKey="{01014A78-CABC-4EF0-12AC-5CD89AEFDE01}" r:id="rId1"/>
    <w:embedBold w:fontKey="{02014A78-CABC-4EF0-12AC-5CD89AEFDE02}" r:id="rId2"/>
    <w:embedItalic w:fontKey="{03014A78-CABC-4EF0-12AC-5CD89AEFDE03}" r:id="rId3"/>
    <w:embedBoldItalic w:fontKey="{04014A78-CABC-4EF0-12AC-5CD89AEFDE04}" r:id="rId4"/>
  </w:font>
  <w:font w:name="Symbol">
    <w:charset w:val="02"/>
    <w:family w:val="roman"/>
    <w:pitch w:val="variable"/>
  </w:font>
  <w:font w:name="Arial">
    <w:charset w:val="00"/>
    <w:family w:val="swiss"/>
    <w:pitch w:val="variable"/>
    <w:embedRegular w:fontKey="{05014A78-CABC-4EF0-12AC-5CD89AEFDE05}" r:id="rId5"/>
    <w:embedBold w:fontKey="{06014A78-CABC-4EF0-12AC-5CD89AEFDE06}" r:id="rId6"/>
    <w:embedItalic w:fontKey="{07014A78-CABC-4EF0-12AC-5CD89AEFDE07}" r:id="rId7"/>
    <w:embedBoldItalic w:fontKey="{08014A78-CABC-4EF0-12AC-5CD89AEFDE08}" r:id="rId8"/>
  </w:font>
  <w:font w:name="Liberation Serif">
    <w:altName w:val="Times New Roman"/>
    <w:charset w:val="01"/>
    <w:family w:val="roman"/>
    <w:pitch w:val="variable"/>
    <w:embedRegular w:fontKey="{09014A78-CABC-4EF0-12AC-5CD89AEFDE09}" r:id="rId9"/>
    <w:embedBold w:fontKey="{0A014A78-CABC-4EF0-12AC-5CD89AEFDE0A}" r:id="rId10"/>
    <w:embedItalic w:fontKey="{0B014A78-CABC-4EF0-12AC-5CD89AEFDE0B}" r:id="rId11"/>
    <w:embedBoldItalic w:fontKey="{0C014A78-CABC-4EF0-12AC-5CD89AEFDE0C}" r:id="rId12"/>
  </w:font>
  <w:font w:name="Arial">
    <w:charset w:val="01"/>
    <w:family w:val="roman"/>
    <w:pitch w:val="variable"/>
  </w:font>
  <w:font w:name="Liberation Sans">
    <w:altName w:val="Arial"/>
    <w:charset w:val="01"/>
    <w:family w:val="swiss"/>
    <w:pitch w:val="variable"/>
    <w:embedRegular w:fontKey="{0D014A78-CABC-4EF0-12AC-5CD89AEFDE0D}" r:id="rId13"/>
    <w:embedBold w:fontKey="{0E014A78-CABC-4EF0-12AC-5CD89AEFDE0E}" r:id="rId14"/>
    <w:embedItalic w:fontKey="{0F014A78-CABC-4EF0-12AC-5CD89AEFDE0F}" r:id="rId15"/>
    <w:embedBoldItalic w:fontKey="{10014A78-CABC-4EF0-12AC-5CD89AEFDE10}" r:id="rId16"/>
  </w:font>
  <w:font w:name="Times New Roman">
    <w:charset w:val="01"/>
    <w:family w:val="roman"/>
    <w:pitch w:val="variable"/>
    <w:embedRegular w:fontKey="{01014A78-CABC-4EF0-12AC-5CD89AEFDE01}" r:id="rId1"/>
    <w:embedBold w:fontKey="{02014A78-CABC-4EF0-12AC-5CD89AEFDE02}" r:id="rId2"/>
    <w:embedItalic w:fontKey="{03014A78-CABC-4EF0-12AC-5CD89AEFDE03}" r:id="rId3"/>
    <w:embedBoldItalic w:fontKey="{04014A78-CABC-4EF0-12AC-5CD89AEFDE04}" r:id="rId4"/>
  </w:font>
  <w:font w:name="Gungsuh">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718821A" wp14:textId="77777777">
    <w:pPr>
      <w:pStyle w:val="Normal1"/>
      <w:jc w:val="right"/>
      <w:rPr/>
    </w:pPr>
    <w:r>
      <w:rPr/>
      <w:fldChar w:fldCharType="begin"/>
    </w:r>
    <w:r>
      <w:rPr/>
      <w:instrText xml:space="preserve"> PAGE </w:instrText>
    </w:r>
    <w:r>
      <w:rPr/>
      <w:fldChar w:fldCharType="separate"/>
    </w:r>
    <w:r>
      <w:rPr/>
      <w:t>10</w:t>
    </w:r>
    <w:r>
      <w:rPr/>
      <w:fldChar w:fldCharType="end"/>
    </w:r>
  </w:p>
</w:hdr>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60"/>
  <w:embedTrueTypeFonts/>
  <w:trackRevisions w:val="false"/>
  <w:defaultTabStop w:val="720"/>
  <w:autoHyphenation w:val="true"/>
  <w:compat>
    <w:compatSetting w:name="compatibilityMode" w:uri="http://schemas.microsoft.com/office/word" w:val="15"/>
  </w:compat>
  <w:themeFontLang w:val="" w:eastAsia="" w:bidi=""/>
  <w14:docId w14:val="4D8D0BF4"/>
  <w15:docId w15:val="{6D167AA6-FEBC-438D-AD45-6C9F895DA4CE}"/>
  <w:rsids>
    <w:rsidRoot w:val="7FF33EF6"/>
    <w:rsid w:val="7FF33EF6"/>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line="276" w:lineRule="auto"/>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before="400" w:after="120" w:line="240" w:lineRule="auto"/>
    </w:pPr>
    <w:rPr>
      <w:sz w:val="40"/>
      <w:szCs w:val="40"/>
    </w:rPr>
  </w:style>
  <w:style w:type="paragraph" w:styleId="Heading2">
    <w:name w:val="heading 2"/>
    <w:basedOn w:val="Normal1"/>
    <w:next w:val="Normal1"/>
    <w:qFormat/>
    <w:pPr>
      <w:keepNext w:val="true"/>
      <w:keepLines/>
      <w:pageBreakBefore w:val="false"/>
      <w:spacing w:before="360" w:after="120" w:line="240" w:lineRule="auto"/>
    </w:pPr>
    <w:rPr>
      <w:b w:val="false"/>
      <w:bCs w:val="false"/>
      <w:sz w:val="32"/>
      <w:szCs w:val="32"/>
    </w:rPr>
  </w:style>
  <w:style w:type="paragraph" w:styleId="Heading3">
    <w:name w:val="heading 3"/>
    <w:basedOn w:val="Normal1"/>
    <w:next w:val="Normal1"/>
    <w:qFormat/>
    <w:pPr>
      <w:keepNext w:val="true"/>
      <w:keepLines/>
      <w:pageBreakBefore w:val="false"/>
      <w:spacing w:before="320" w:after="80" w:line="240" w:lineRule="auto"/>
    </w:pPr>
    <w:rPr>
      <w:b w:val="false"/>
      <w:bCs w:val="false"/>
      <w:color w:val="434343"/>
      <w:sz w:val="28"/>
      <w:szCs w:val="28"/>
    </w:rPr>
  </w:style>
  <w:style w:type="paragraph" w:styleId="Heading4">
    <w:name w:val="heading 4"/>
    <w:basedOn w:val="Normal1"/>
    <w:next w:val="Normal1"/>
    <w:qFormat/>
    <w:pPr>
      <w:keepNext w:val="true"/>
      <w:keepLines/>
      <w:pageBreakBefore w:val="false"/>
      <w:spacing w:before="280" w:after="80" w:line="240" w:lineRule="auto"/>
    </w:pPr>
    <w:rPr>
      <w:color w:val="666666"/>
      <w:sz w:val="24"/>
      <w:szCs w:val="24"/>
    </w:rPr>
  </w:style>
  <w:style w:type="paragraph" w:styleId="Heading5">
    <w:name w:val="heading 5"/>
    <w:basedOn w:val="Normal1"/>
    <w:next w:val="Normal1"/>
    <w:qFormat/>
    <w:pPr>
      <w:keepNext w:val="true"/>
      <w:keepLines/>
      <w:pageBreakBefore w:val="false"/>
      <w:spacing w:before="240" w:after="80" w:line="240" w:lineRule="auto"/>
    </w:pPr>
    <w:rPr>
      <w:color w:val="666666"/>
      <w:sz w:val="22"/>
      <w:szCs w:val="22"/>
    </w:rPr>
  </w:style>
  <w:style w:type="paragraph" w:styleId="Heading6">
    <w:name w:val="heading 6"/>
    <w:basedOn w:val="Normal1"/>
    <w:next w:val="Normal1"/>
    <w:qFormat/>
    <w:pPr>
      <w:keepNext w:val="true"/>
      <w:keepLines/>
      <w:pageBreakBefore w:val="false"/>
      <w:spacing w:before="240" w:after="80" w:line="240" w:lineRule="auto"/>
    </w:pPr>
    <w:rPr>
      <w:i/>
      <w:iCs/>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before="0" w:after="0" w:line="276" w:lineRule="auto"/>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before="0" w:after="60" w:line="240" w:lineRule="auto"/>
    </w:pPr>
    <w:rPr>
      <w:sz w:val="52"/>
      <w:szCs w:val="52"/>
    </w:rPr>
  </w:style>
  <w:style w:type="paragraph" w:styleId="Subtitle">
    <w:name w:val="Subtitle"/>
    <w:basedOn w:val="Normal1"/>
    <w:next w:val="Normal1"/>
    <w:qFormat/>
    <w:pPr>
      <w:keepNext w:val="true"/>
      <w:keepLines/>
      <w:pageBreakBefore w:val="false"/>
      <w:spacing w:before="0" w:after="320" w:line="240" w:lineRule="auto"/>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styleId="TableNormal" w:default="1">
    <w:name w:val="Normal Table"/>
    <w:tblPr>
      <w:tblCellMar>
        <w:top w:w="100" w:type="dxa"/>
        <w:left w:w="100" w:type="dxa"/>
        <w:bottom w:w="100" w:type="dxa"/>
        <w:right w:w="100"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https://www.zotero.org/google-docs/?H8xUuE" TargetMode="External" Id="rId2" /><Relationship Type="http://schemas.openxmlformats.org/officeDocument/2006/relationships/hyperlink" Target="https://www.zotero.org/google-docs/?KAI6GI" TargetMode="External" Id="rId3" /><Relationship Type="http://schemas.openxmlformats.org/officeDocument/2006/relationships/hyperlink" Target="https://www.zotero.org/google-docs/?r0PFOn" TargetMode="External" Id="rId4" /><Relationship Type="http://schemas.openxmlformats.org/officeDocument/2006/relationships/hyperlink" Target="https://www.zotero.org/google-docs/?qSobkD" TargetMode="External" Id="rId5" /><Relationship Type="http://schemas.openxmlformats.org/officeDocument/2006/relationships/hyperlink" Target="https://www.zotero.org/google-docs/?OLuvK3" TargetMode="External" Id="rId6" /><Relationship Type="http://schemas.openxmlformats.org/officeDocument/2006/relationships/hyperlink" Target="https://www.zotero.org/google-docs/?bHCVT5" TargetMode="External" Id="rId7" /><Relationship Type="http://schemas.openxmlformats.org/officeDocument/2006/relationships/hyperlink" Target="https://www.zotero.org/google-docs/?wXL9Lw" TargetMode="External" Id="rId8" /><Relationship Type="http://schemas.openxmlformats.org/officeDocument/2006/relationships/hyperlink" Target="https://www.zotero.org/google-docs/?Aq1g1x" TargetMode="External" Id="rId9" /><Relationship Type="http://schemas.openxmlformats.org/officeDocument/2006/relationships/hyperlink" Target="https://www.zotero.org/google-docs/?2xw4Mq" TargetMode="External" Id="rId10" /><Relationship Type="http://schemas.openxmlformats.org/officeDocument/2006/relationships/hyperlink" Target="https://www.zotero.org/google-docs/?kHbP8o" TargetMode="External" Id="rId11" /><Relationship Type="http://schemas.openxmlformats.org/officeDocument/2006/relationships/image" Target="media/image1.png" Id="rId12" /><Relationship Type="http://schemas.openxmlformats.org/officeDocument/2006/relationships/image" Target="media/image2.png" Id="rId13" /><Relationship Type="http://schemas.openxmlformats.org/officeDocument/2006/relationships/hyperlink" Target="https://www.zotero.org/google-docs/?q8Q3Pe" TargetMode="External" Id="rId14" /><Relationship Type="http://schemas.openxmlformats.org/officeDocument/2006/relationships/hyperlink" Target="https://www.zotero.org/google-docs/?oY5WWo" TargetMode="External" Id="rId15" /><Relationship Type="http://schemas.openxmlformats.org/officeDocument/2006/relationships/hyperlink" Target="https://www.zotero.org/google-docs/?Hb5T5C" TargetMode="External" Id="rId16" /><Relationship Type="http://schemas.openxmlformats.org/officeDocument/2006/relationships/image" Target="media/image3.png" Id="rId17" /><Relationship Type="http://schemas.openxmlformats.org/officeDocument/2006/relationships/hyperlink" Target="https://www.zotero.org/google-docs/?hxnpDu" TargetMode="External" Id="rId18" /><Relationship Type="http://schemas.openxmlformats.org/officeDocument/2006/relationships/hyperlink" Target="https://www.zotero.org/google-docs/?KF7o7d" TargetMode="External" Id="rId19" /><Relationship Type="http://schemas.openxmlformats.org/officeDocument/2006/relationships/hyperlink" Target="https://www.zotero.org/google-docs/?1JEXp9" TargetMode="External" Id="rId20" /><Relationship Type="http://schemas.openxmlformats.org/officeDocument/2006/relationships/hyperlink" Target="https://www.zotero.org/google-docs/?3pW2f2" TargetMode="External" Id="rId21" /><Relationship Type="http://schemas.openxmlformats.org/officeDocument/2006/relationships/hyperlink" Target="https://www.zotero.org/google-docs/?SKFaBo" TargetMode="External" Id="rId22" /><Relationship Type="http://schemas.openxmlformats.org/officeDocument/2006/relationships/hyperlink" Target="https://www.zotero.org/google-docs/?Z2LlAW" TargetMode="External" Id="rId23" /><Relationship Type="http://schemas.openxmlformats.org/officeDocument/2006/relationships/hyperlink" Target="https://www.zotero.org/google-docs/?F4RM90" TargetMode="External" Id="rId24" /><Relationship Type="http://schemas.openxmlformats.org/officeDocument/2006/relationships/hyperlink" Target="https://www.zotero.org/google-docs/?F4RM90" TargetMode="External" Id="rId25" /><Relationship Type="http://schemas.openxmlformats.org/officeDocument/2006/relationships/hyperlink" Target="https://www.zotero.org/google-docs/?F4RM90" TargetMode="External" Id="rId26" /><Relationship Type="http://schemas.openxmlformats.org/officeDocument/2006/relationships/hyperlink" Target="https://www.zotero.org/google-docs/?F4RM90" TargetMode="External" Id="rId27" /><Relationship Type="http://schemas.openxmlformats.org/officeDocument/2006/relationships/hyperlink" Target="https://www.zotero.org/google-docs/?F4RM90" TargetMode="External" Id="rId28" /><Relationship Type="http://schemas.openxmlformats.org/officeDocument/2006/relationships/hyperlink" Target="https://www.zotero.org/google-docs/?F4RM90" TargetMode="External" Id="rId29" /><Relationship Type="http://schemas.openxmlformats.org/officeDocument/2006/relationships/hyperlink" Target="https://www.zotero.org/google-docs/?F4RM90" TargetMode="External" Id="rId30" /><Relationship Type="http://schemas.openxmlformats.org/officeDocument/2006/relationships/hyperlink" Target="https://www.zotero.org/google-docs/?F4RM90" TargetMode="External" Id="rId31" /><Relationship Type="http://schemas.openxmlformats.org/officeDocument/2006/relationships/hyperlink" Target="https://www.zotero.org/google-docs/?F4RM90" TargetMode="External" Id="rId32" /><Relationship Type="http://schemas.openxmlformats.org/officeDocument/2006/relationships/hyperlink" Target="https://www.zotero.org/google-docs/?F4RM90" TargetMode="External" Id="rId33" /><Relationship Type="http://schemas.openxmlformats.org/officeDocument/2006/relationships/hyperlink" Target="https://www.zotero.org/google-docs/?F4RM90" TargetMode="External" Id="rId34" /><Relationship Type="http://schemas.openxmlformats.org/officeDocument/2006/relationships/hyperlink" Target="https://www.zotero.org/google-docs/?F4RM90" TargetMode="External" Id="rId35" /><Relationship Type="http://schemas.openxmlformats.org/officeDocument/2006/relationships/hyperlink" Target="https://www.zotero.org/google-docs/?F4RM90" TargetMode="External" Id="rId36" /><Relationship Type="http://schemas.openxmlformats.org/officeDocument/2006/relationships/hyperlink" Target="https://www.zotero.org/google-docs/?F4RM90" TargetMode="External" Id="rId37" /><Relationship Type="http://schemas.openxmlformats.org/officeDocument/2006/relationships/hyperlink" Target="https://www.zotero.org/google-docs/?F4RM90" TargetMode="External" Id="rId38" /><Relationship Type="http://schemas.openxmlformats.org/officeDocument/2006/relationships/hyperlink" Target="https://www.zotero.org/google-docs/?F4RM90" TargetMode="External" Id="rId39" /><Relationship Type="http://schemas.openxmlformats.org/officeDocument/2006/relationships/hyperlink" Target="https://www.zotero.org/google-docs/?F4RM90" TargetMode="External" Id="rId40" /><Relationship Type="http://schemas.openxmlformats.org/officeDocument/2006/relationships/hyperlink" Target="https://www.zotero.org/google-docs/?F4RM90" TargetMode="External" Id="rId41" /><Relationship Type="http://schemas.openxmlformats.org/officeDocument/2006/relationships/hyperlink" Target="https://www.zotero.org/google-docs/?F4RM90" TargetMode="External" Id="rId42" /><Relationship Type="http://schemas.openxmlformats.org/officeDocument/2006/relationships/hyperlink" Target="https://www.zotero.org/google-docs/?F4RM90" TargetMode="External" Id="rId43" /><Relationship Type="http://schemas.openxmlformats.org/officeDocument/2006/relationships/hyperlink" Target="https://www.zotero.org/google-docs/?F4RM90" TargetMode="External" Id="rId44" /><Relationship Type="http://schemas.openxmlformats.org/officeDocument/2006/relationships/hyperlink" Target="https://www.zotero.org/google-docs/?F4RM90" TargetMode="External" Id="rId45" /><Relationship Type="http://schemas.openxmlformats.org/officeDocument/2006/relationships/hyperlink" Target="https://www.zotero.org/google-docs/?F4RM90" TargetMode="External" Id="rId46" /><Relationship Type="http://schemas.openxmlformats.org/officeDocument/2006/relationships/hyperlink" Target="https://www.zotero.org/google-docs/?F4RM90" TargetMode="External" Id="rId47" /><Relationship Type="http://schemas.openxmlformats.org/officeDocument/2006/relationships/hyperlink" Target="https://www.zotero.org/google-docs/?F4RM90" TargetMode="External" Id="rId48" /><Relationship Type="http://schemas.openxmlformats.org/officeDocument/2006/relationships/hyperlink" Target="https://www.zotero.org/google-docs/?F4RM90" TargetMode="External" Id="rId49" /><Relationship Type="http://schemas.openxmlformats.org/officeDocument/2006/relationships/hyperlink" Target="https://www.zotero.org/google-docs/?F4RM90" TargetMode="External" Id="rId50" /><Relationship Type="http://schemas.openxmlformats.org/officeDocument/2006/relationships/hyperlink" Target="https://www.zotero.org/google-docs/?F4RM90" TargetMode="External" Id="rId51" /><Relationship Type="http://schemas.openxmlformats.org/officeDocument/2006/relationships/hyperlink" Target="https://www.zotero.org/google-docs/?F4RM90" TargetMode="External" Id="rId52" /><Relationship Type="http://schemas.openxmlformats.org/officeDocument/2006/relationships/hyperlink" Target="https://www.zotero.org/google-docs/?F4RM90" TargetMode="External" Id="rId53" /><Relationship Type="http://schemas.openxmlformats.org/officeDocument/2006/relationships/hyperlink" Target="https://www.zotero.org/google-docs/?F4RM90" TargetMode="External" Id="rId54" /><Relationship Type="http://schemas.openxmlformats.org/officeDocument/2006/relationships/hyperlink" Target="https://www.zotero.org/google-docs/?F4RM90" TargetMode="External" Id="rId55" /><Relationship Type="http://schemas.openxmlformats.org/officeDocument/2006/relationships/hyperlink" Target="https://www.zotero.org/google-docs/?F4RM90" TargetMode="External" Id="rId56" /><Relationship Type="http://schemas.openxmlformats.org/officeDocument/2006/relationships/hyperlink" Target="https://www.zotero.org/google-docs/?F4RM90" TargetMode="External" Id="rId57" /><Relationship Type="http://schemas.openxmlformats.org/officeDocument/2006/relationships/hyperlink" Target="https://www.zotero.org/google-docs/?F4RM90" TargetMode="External" Id="rId58" /><Relationship Type="http://schemas.openxmlformats.org/officeDocument/2006/relationships/hyperlink" Target="https://www.zotero.org/google-docs/?F4RM90" TargetMode="External" Id="rId59" /><Relationship Type="http://schemas.openxmlformats.org/officeDocument/2006/relationships/hyperlink" Target="https://www.zotero.org/google-docs/?F4RM90" TargetMode="External" Id="rId60" /><Relationship Type="http://schemas.openxmlformats.org/officeDocument/2006/relationships/hyperlink" Target="https://www.zotero.org/google-docs/?F4RM90" TargetMode="External" Id="rId61" /><Relationship Type="http://schemas.openxmlformats.org/officeDocument/2006/relationships/hyperlink" Target="https://www.zotero.org/google-docs/?F4RM90" TargetMode="External" Id="rId62" /><Relationship Type="http://schemas.openxmlformats.org/officeDocument/2006/relationships/hyperlink" Target="https://www.zotero.org/google-docs/?F4RM90" TargetMode="External" Id="rId63" /><Relationship Type="http://schemas.openxmlformats.org/officeDocument/2006/relationships/hyperlink" Target="https://www.zotero.org/google-docs/?F4RM90" TargetMode="External" Id="rId64" /><Relationship Type="http://schemas.openxmlformats.org/officeDocument/2006/relationships/hyperlink" Target="https://www.zotero.org/google-docs/?F4RM90" TargetMode="External" Id="rId65" /><Relationship Type="http://schemas.openxmlformats.org/officeDocument/2006/relationships/hyperlink" Target="https://www.zotero.org/google-docs/?F4RM90" TargetMode="External" Id="rId66" /><Relationship Type="http://schemas.openxmlformats.org/officeDocument/2006/relationships/hyperlink" Target="https://www.zotero.org/google-docs/?F4RM90" TargetMode="External" Id="rId67" /><Relationship Type="http://schemas.openxmlformats.org/officeDocument/2006/relationships/hyperlink" Target="https://www.zotero.org/google-docs/?F4RM90" TargetMode="External" Id="rId68" /><Relationship Type="http://schemas.openxmlformats.org/officeDocument/2006/relationships/hyperlink" Target="https://www.zotero.org/google-docs/?F4RM90" TargetMode="External" Id="rId69" /><Relationship Type="http://schemas.openxmlformats.org/officeDocument/2006/relationships/hyperlink" Target="https://www.zotero.org/google-docs/?F4RM90" TargetMode="External" Id="rId70" /><Relationship Type="http://schemas.openxmlformats.org/officeDocument/2006/relationships/hyperlink" Target="https://www.zotero.org/google-docs/?F4RM90" TargetMode="External" Id="rId71" /><Relationship Type="http://schemas.openxmlformats.org/officeDocument/2006/relationships/hyperlink" Target="https://www.zotero.org/google-docs/?F4RM90" TargetMode="External" Id="rId72" /><Relationship Type="http://schemas.openxmlformats.org/officeDocument/2006/relationships/hyperlink" Target="https://www.zotero.org/google-docs/?F4RM90" TargetMode="External" Id="rId73" /><Relationship Type="http://schemas.openxmlformats.org/officeDocument/2006/relationships/hyperlink" Target="https://www.zotero.org/google-docs/?F4RM90" TargetMode="External" Id="rId74" /><Relationship Type="http://schemas.openxmlformats.org/officeDocument/2006/relationships/hyperlink" Target="https://www.zotero.org/google-docs/?F4RM90" TargetMode="External" Id="rId75" /><Relationship Type="http://schemas.openxmlformats.org/officeDocument/2006/relationships/hyperlink" Target="https://www.zotero.org/google-docs/?F4RM90" TargetMode="External" Id="rId76" /><Relationship Type="http://schemas.openxmlformats.org/officeDocument/2006/relationships/hyperlink" Target="https://www.zotero.org/google-docs/?F4RM90" TargetMode="External" Id="rId77" /><Relationship Type="http://schemas.openxmlformats.org/officeDocument/2006/relationships/hyperlink" Target="https://www.zotero.org/google-docs/?F4RM90" TargetMode="External" Id="rId78" /><Relationship Type="http://schemas.openxmlformats.org/officeDocument/2006/relationships/hyperlink" Target="https://www.zotero.org/google-docs/?F4RM90" TargetMode="External" Id="rId79" /><Relationship Type="http://schemas.openxmlformats.org/officeDocument/2006/relationships/hyperlink" Target="https://www.zotero.org/google-docs/?F4RM90" TargetMode="External" Id="rId80" /><Relationship Type="http://schemas.openxmlformats.org/officeDocument/2006/relationships/hyperlink" Target="https://www.zotero.org/google-docs/?F4RM90" TargetMode="External" Id="rId81" /><Relationship Type="http://schemas.openxmlformats.org/officeDocument/2006/relationships/hyperlink" Target="https://www.zotero.org/google-docs/?F4RM90" TargetMode="External" Id="rId82" /><Relationship Type="http://schemas.openxmlformats.org/officeDocument/2006/relationships/hyperlink" Target="https://www.zotero.org/google-docs/?F4RM90" TargetMode="External" Id="rId83" /><Relationship Type="http://schemas.openxmlformats.org/officeDocument/2006/relationships/hyperlink" Target="https://www.zotero.org/google-docs/?F4RM90" TargetMode="External" Id="rId84" /><Relationship Type="http://schemas.openxmlformats.org/officeDocument/2006/relationships/hyperlink" Target="https://www.zotero.org/google-docs/?F4RM90" TargetMode="External" Id="rId85" /><Relationship Type="http://schemas.openxmlformats.org/officeDocument/2006/relationships/hyperlink" Target="https://www.zotero.org/google-docs/?F4RM90" TargetMode="External" Id="rId86" /><Relationship Type="http://schemas.openxmlformats.org/officeDocument/2006/relationships/hyperlink" Target="https://www.zotero.org/google-docs/?F4RM90" TargetMode="External" Id="rId87" /><Relationship Type="http://schemas.openxmlformats.org/officeDocument/2006/relationships/hyperlink" Target="https://www.zotero.org/google-docs/?F4RM90" TargetMode="External" Id="rId88" /><Relationship Type="http://schemas.openxmlformats.org/officeDocument/2006/relationships/hyperlink" Target="https://www.zotero.org/google-docs/?F4RM90" TargetMode="External" Id="rId89" /><Relationship Type="http://schemas.openxmlformats.org/officeDocument/2006/relationships/hyperlink" Target="https://www.zotero.org/google-docs/?F4RM90" TargetMode="External" Id="rId90" /><Relationship Type="http://schemas.openxmlformats.org/officeDocument/2006/relationships/hyperlink" Target="https://www.zotero.org/google-docs/?F4RM90" TargetMode="External" Id="rId91" /><Relationship Type="http://schemas.openxmlformats.org/officeDocument/2006/relationships/hyperlink" Target="https://www.zotero.org/google-docs/?F4RM90" TargetMode="External" Id="rId92" /><Relationship Type="http://schemas.openxmlformats.org/officeDocument/2006/relationships/hyperlink" Target="https://www.zotero.org/google-docs/?F4RM90" TargetMode="External" Id="rId93" /><Relationship Type="http://schemas.openxmlformats.org/officeDocument/2006/relationships/hyperlink" Target="https://www.zotero.org/google-docs/?F4RM90" TargetMode="External" Id="rId94" /><Relationship Type="http://schemas.openxmlformats.org/officeDocument/2006/relationships/hyperlink" Target="https://www.zotero.org/google-docs/?F4RM90" TargetMode="External" Id="rId95" /><Relationship Type="http://schemas.openxmlformats.org/officeDocument/2006/relationships/hyperlink" Target="https://www.zotero.org/google-docs/?F4RM90" TargetMode="External" Id="rId96" /><Relationship Type="http://schemas.openxmlformats.org/officeDocument/2006/relationships/hyperlink" Target="https://www.zotero.org/google-docs/?F4RM90" TargetMode="External" Id="rId97" /><Relationship Type="http://schemas.openxmlformats.org/officeDocument/2006/relationships/hyperlink" Target="https://www.zotero.org/google-docs/?F4RM90" TargetMode="External" Id="rId98" /><Relationship Type="http://schemas.openxmlformats.org/officeDocument/2006/relationships/hyperlink" Target="https://www.zotero.org/google-docs/?F4RM90" TargetMode="External" Id="rId99" /><Relationship Type="http://schemas.openxmlformats.org/officeDocument/2006/relationships/hyperlink" Target="https://www.zotero.org/google-docs/?F4RM90" TargetMode="External" Id="rId100" /><Relationship Type="http://schemas.openxmlformats.org/officeDocument/2006/relationships/hyperlink" Target="https://www.zotero.org/google-docs/?F4RM90" TargetMode="External" Id="rId101" /><Relationship Type="http://schemas.openxmlformats.org/officeDocument/2006/relationships/hyperlink" Target="https://www.zotero.org/google-docs/?F4RM90" TargetMode="External" Id="rId102" /><Relationship Type="http://schemas.openxmlformats.org/officeDocument/2006/relationships/hyperlink" Target="https://www.zotero.org/google-docs/?F4RM90" TargetMode="External" Id="rId103" /><Relationship Type="http://schemas.openxmlformats.org/officeDocument/2006/relationships/hyperlink" Target="https://www.zotero.org/google-docs/?F4RM90" TargetMode="External" Id="rId104" /><Relationship Type="http://schemas.openxmlformats.org/officeDocument/2006/relationships/hyperlink" Target="https://www.zotero.org/google-docs/?F4RM90" TargetMode="External" Id="rId105" /><Relationship Type="http://schemas.openxmlformats.org/officeDocument/2006/relationships/hyperlink" Target="https://www.zotero.org/google-docs/?F4RM90" TargetMode="External" Id="rId106" /><Relationship Type="http://schemas.openxmlformats.org/officeDocument/2006/relationships/hyperlink" Target="https://www.zotero.org/google-docs/?F4RM90" TargetMode="External" Id="rId107" /><Relationship Type="http://schemas.openxmlformats.org/officeDocument/2006/relationships/hyperlink" Target="https://www.zotero.org/google-docs/?F4RM90" TargetMode="External" Id="rId108" /><Relationship Type="http://schemas.openxmlformats.org/officeDocument/2006/relationships/hyperlink" Target="https://www.zotero.org/google-docs/?F4RM90" TargetMode="External" Id="rId109" /><Relationship Type="http://schemas.openxmlformats.org/officeDocument/2006/relationships/hyperlink" Target="https://www.zotero.org/google-docs/?F4RM90" TargetMode="External" Id="rId110" /><Relationship Type="http://schemas.openxmlformats.org/officeDocument/2006/relationships/hyperlink" Target="https://www.zotero.org/google-docs/?F4RM90" TargetMode="External" Id="rId111" /><Relationship Type="http://schemas.openxmlformats.org/officeDocument/2006/relationships/hyperlink" Target="https://www.zotero.org/google-docs/?F4RM90" TargetMode="External" Id="rId112" /><Relationship Type="http://schemas.openxmlformats.org/officeDocument/2006/relationships/hyperlink" Target="https://www.zotero.org/google-docs/?F4RM90" TargetMode="External" Id="rId113" /><Relationship Type="http://schemas.openxmlformats.org/officeDocument/2006/relationships/header" Target="header1.xml" Id="rId114" /><Relationship Type="http://schemas.openxmlformats.org/officeDocument/2006/relationships/fontTable" Target="fontTable.xml" Id="rId115" /><Relationship Type="http://schemas.openxmlformats.org/officeDocument/2006/relationships/settings" Target="settings.xml" Id="rId116" /><Relationship Type="http://schemas.openxmlformats.org/officeDocument/2006/relationships/theme" Target="theme/theme1.xml" Id="rId117"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description/>
  <dc:language>en-IN</dc:language>
  <lastModifiedBy>Nihesh Rathod</lastModifiedBy>
  <dcterms:modified xsi:type="dcterms:W3CDTF">2026-10-05T15:33:21.6154532Z</dcterms:modified>
  <revision>3</revision>
  <dc:subject/>
  <dc:title/>
</coreProperties>
</file>