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nts/font13.odttf" ContentType="application/vnd.openxmlformats-officedocument.obfuscatedFont"/>
  <Override PartName="/word/fonts/font12.odttf" ContentType="application/vnd.openxmlformats-officedocument.obfuscatedFont"/>
  <Override PartName="/word/fonts/font10.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16.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shd w:val="clear" w:fill="FFFFFF"/>
        <w:spacing w:lineRule="auto" w:line="240" w:before="40" w:after="120"/>
        <w:ind w:left="-810" w:right="-900" w:hanging="0"/>
        <w:jc w:val="both"/>
        <w:rPr>
          <w:rFonts w:ascii="Times New Roman" w:hAnsi="Times New Roman" w:eastAsia="Times New Roman" w:cs="Times New Roman"/>
          <w:b/>
          <w:b/>
          <w:bCs/>
          <w:sz w:val="28"/>
          <w:szCs w:val="28"/>
        </w:rPr>
      </w:pPr>
      <w:bookmarkStart w:id="0" w:name="_hbpdoevuvond"/>
      <w:bookmarkEnd w:id="0"/>
      <w:r>
        <w:rPr>
          <w:rFonts w:eastAsia="Times New Roman" w:cs="Times New Roman" w:ascii="Times New Roman" w:hAnsi="Times New Roman"/>
          <w:b/>
          <w:bCs/>
          <w:sz w:val="32"/>
          <w:szCs w:val="32"/>
        </w:rPr>
        <w:t>Supplementary Results</w:t>
      </w:r>
      <w:r>
        <w:rPr>
          <w:rFonts w:eastAsia="Times New Roman" w:cs="Times New Roman" w:ascii="Times New Roman" w:hAnsi="Times New Roman"/>
          <w:b/>
          <w:bCs/>
          <w:sz w:val="28"/>
          <w:szCs w:val="28"/>
        </w:rPr>
        <w:t xml:space="preserve"> </w:t>
      </w:r>
    </w:p>
    <w:p>
      <w:pPr>
        <w:pStyle w:val="Heading2"/>
        <w:pBdr/>
        <w:shd w:val="clear" w:fill="FFFFFF"/>
        <w:spacing w:lineRule="auto" w:line="240" w:before="40" w:after="120"/>
        <w:ind w:left="-810" w:right="-900" w:hanging="0"/>
        <w:jc w:val="both"/>
        <w:rPr>
          <w:rFonts w:ascii="Times New Roman" w:hAnsi="Times New Roman" w:eastAsia="Times New Roman" w:cs="Times New Roman"/>
          <w:sz w:val="30"/>
          <w:szCs w:val="30"/>
        </w:rPr>
      </w:pPr>
      <w:bookmarkStart w:id="1" w:name="_3r0uui10dje4"/>
      <w:bookmarkEnd w:id="1"/>
      <w:r>
        <w:rPr>
          <w:rFonts w:eastAsia="Times New Roman" w:cs="Times New Roman" w:ascii="Times New Roman" w:hAnsi="Times New Roman"/>
          <w:sz w:val="30"/>
          <w:szCs w:val="30"/>
        </w:rPr>
        <w:t>Annotation Overview and Summary Statistics</w:t>
      </w:r>
    </w:p>
    <w:p>
      <w:pPr>
        <w:pStyle w:val="Normal1"/>
        <w:widowControl w:val="false"/>
        <w:spacing w:lineRule="auto" w:line="240" w:before="122" w:after="0"/>
        <w:ind w:left="-540" w:right="-63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tbl>
      <w:tblPr>
        <w:tblStyle w:val="Table1"/>
        <w:tblW w:w="9360" w:type="dxa"/>
        <w:jc w:val="left"/>
        <w:tblInd w:w="0" w:type="dxa"/>
        <w:tblLayout w:type="fixed"/>
        <w:tblCellMar>
          <w:top w:w="0" w:type="dxa"/>
          <w:left w:w="0" w:type="dxa"/>
          <w:bottom w:w="0" w:type="dxa"/>
          <w:right w:w="0" w:type="dxa"/>
        </w:tblCellMar>
        <w:tblLook w:val="0600"/>
      </w:tblPr>
      <w:tblGrid>
        <w:gridCol w:w="5273"/>
        <w:gridCol w:w="4086"/>
      </w:tblGrid>
      <w:tr>
        <w:trPr>
          <w:trHeight w:val="288" w:hRule="atLeast"/>
        </w:trPr>
        <w:tc>
          <w:tcPr>
            <w:tcW w:w="5273" w:type="dxa"/>
            <w:tcBorders>
              <w:top w:val="single" w:sz="6" w:space="0" w:color="000000"/>
              <w:left w:val="single" w:sz="6" w:space="0" w:color="000000"/>
              <w:bottom w:val="single" w:sz="6" w:space="0" w:color="000000"/>
              <w:right w:val="single" w:sz="6" w:space="0" w:color="000000"/>
            </w:tcBorders>
            <w:vAlign w:val="center"/>
          </w:tcPr>
          <w:p>
            <w:pPr>
              <w:pStyle w:val="Normal1"/>
              <w:widowControl w:val="false"/>
              <w:rPr>
                <w:sz w:val="20"/>
                <w:szCs w:val="20"/>
              </w:rPr>
            </w:pPr>
            <w:r>
              <w:rPr>
                <w:sz w:val="20"/>
                <w:szCs w:val="20"/>
              </w:rPr>
            </w:r>
          </w:p>
        </w:tc>
        <w:tc>
          <w:tcPr>
            <w:tcW w:w="4086" w:type="dxa"/>
            <w:tcBorders>
              <w:top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CAcnesDB</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rFonts w:ascii="Times New Roman" w:hAnsi="Times New Roman" w:eastAsia="Times New Roman" w:cs="Times New Roman"/>
                <w:b/>
                <w:b/>
                <w:bCs/>
                <w:sz w:val="20"/>
                <w:szCs w:val="20"/>
              </w:rPr>
            </w:pPr>
            <w:r>
              <w:rPr>
                <w:rFonts w:eastAsia="Times New Roman" w:cs="Times New Roman" w:ascii="Times New Roman" w:hAnsi="Times New Roman"/>
                <w:b/>
                <w:bCs/>
                <w:sz w:val="20"/>
                <w:szCs w:val="20"/>
              </w:rPr>
              <w:t># Protein coding genes</w:t>
            </w:r>
          </w:p>
          <w:p>
            <w:pPr>
              <w:pStyle w:val="Normal1"/>
              <w:widowControl w:val="false"/>
              <w:jc w:val="center"/>
              <w:rPr>
                <w:sz w:val="20"/>
                <w:szCs w:val="20"/>
              </w:rPr>
            </w:pPr>
            <w:r>
              <w:rPr>
                <w:rFonts w:eastAsia="Times New Roman" w:cs="Times New Roman" w:ascii="Times New Roman" w:hAnsi="Times New Roman"/>
                <w:b/>
                <w:bCs/>
                <w:sz w:val="20"/>
                <w:szCs w:val="20"/>
              </w:rPr>
              <w:t>(CDS)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2297</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Pseudogenes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17</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 non-coding genes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55 (6 rRNA + 47 tRNA + 2 tmRNA)</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rFonts w:ascii="Times New Roman" w:hAnsi="Times New Roman" w:eastAsia="Times New Roman" w:cs="Times New Roman"/>
                <w:b/>
                <w:b/>
                <w:bCs/>
                <w:sz w:val="20"/>
                <w:szCs w:val="20"/>
              </w:rPr>
            </w:pPr>
            <w:r>
              <w:rPr>
                <w:rFonts w:eastAsia="Times New Roman" w:cs="Times New Roman" w:ascii="Times New Roman" w:hAnsi="Times New Roman"/>
                <w:b/>
                <w:bCs/>
                <w:sz w:val="20"/>
                <w:szCs w:val="20"/>
              </w:rPr>
              <w:t># Protein with definite functional assignments</w:t>
            </w:r>
          </w:p>
          <w:p>
            <w:pPr>
              <w:pStyle w:val="Normal1"/>
              <w:widowControl w:val="false"/>
              <w:jc w:val="center"/>
              <w:rPr>
                <w:sz w:val="20"/>
                <w:szCs w:val="20"/>
              </w:rPr>
            </w:pPr>
            <w:r>
              <w:rPr>
                <w:rFonts w:eastAsia="Times New Roman" w:cs="Times New Roman" w:ascii="Times New Roman" w:hAnsi="Times New Roman"/>
                <w:b/>
                <w:bCs/>
                <w:sz w:val="20"/>
                <w:szCs w:val="20"/>
              </w:rPr>
              <w:t>(absence of ' Putative/ Probable/ Predicted/ Hypothetical')</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1826</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 with 'Probable/ Putative/ Predicted' functional assignments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215 (194 'putative' + 14 'probable'+ 7 'predicted)</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Hypothetical/ Uncharacterized/ Domain of Unknown (DUF) proteins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256 (225 are newly annotated)</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 with gene symbols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823</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 with assigned domains</w:t>
            </w:r>
          </w:p>
        </w:tc>
        <w:tc>
          <w:tcPr>
            <w:tcW w:w="4086" w:type="dxa"/>
            <w:tcBorders>
              <w:bottom w:val="single" w:sz="6" w:space="0" w:color="000000"/>
              <w:right w:val="single" w:sz="6" w:space="0" w:color="000000"/>
            </w:tcBorders>
            <w:vAlign w:val="center"/>
          </w:tcPr>
          <w:p>
            <w:pPr>
              <w:pStyle w:val="Normal1"/>
              <w:widowControl w:val="false"/>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2085 (InterPro, Pfam, Gene3D, CDD, Coils, HAMAP,</w:t>
            </w:r>
          </w:p>
          <w:p>
            <w:pPr>
              <w:pStyle w:val="Normal1"/>
              <w:widowControl w:val="false"/>
              <w:jc w:val="center"/>
              <w:rPr>
                <w:rFonts w:ascii="Times New Roman" w:hAnsi="Times New Roman" w:eastAsia="Times New Roman" w:cs="Times New Roman"/>
                <w:sz w:val="20"/>
                <w:szCs w:val="20"/>
              </w:rPr>
            </w:pPr>
            <w:r>
              <w:rPr>
                <w:rFonts w:eastAsia="Times New Roman" w:cs="Times New Roman" w:ascii="Times New Roman" w:hAnsi="Times New Roman"/>
                <w:sz w:val="20"/>
                <w:szCs w:val="20"/>
              </w:rPr>
              <w:t>PRINTS, PrositePatterns, PrositeProfiles, SFLD, SMART,</w:t>
            </w:r>
          </w:p>
          <w:p>
            <w:pPr>
              <w:pStyle w:val="Normal1"/>
              <w:widowControl w:val="false"/>
              <w:jc w:val="center"/>
              <w:rPr>
                <w:sz w:val="20"/>
                <w:szCs w:val="20"/>
              </w:rPr>
            </w:pPr>
            <w:r>
              <w:rPr>
                <w:rFonts w:eastAsia="Times New Roman" w:cs="Times New Roman" w:ascii="Times New Roman" w:hAnsi="Times New Roman"/>
                <w:sz w:val="20"/>
                <w:szCs w:val="20"/>
              </w:rPr>
              <w:t>superfamily, Tigrfam, MobiDB, Panther)</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 with assigned Gene Ontology (GO) (BP or MF or CC)</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1686 (BP: 1036, MF: 1566, CC: 326)</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 with assigned KEGG orthology (KO)</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1503</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 with assigned KEGG pathways/modules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1596 (KEGG pathways + KEGG modules)</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Structural models for proteins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2289</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 with SCOP domains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1208 (Superfamily and/or FOLD and/or Family)</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Availabilitiy of Ligand-to-Function Annotation</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Yes</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Protein-ligand pairs within intermolecular binding energy, -5 to -12 (± 2) kcal/mol</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4738</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Availability of Functional for the whole genome of C. acnes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Yes</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Functional Classes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9 Functional Classes</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 Proteins with Functional Classes</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2273</w:t>
            </w:r>
          </w:p>
        </w:tc>
      </w:tr>
      <w:tr>
        <w:trPr>
          <w:trHeight w:val="288" w:hRule="atLeast"/>
        </w:trPr>
        <w:tc>
          <w:tcPr>
            <w:tcW w:w="5273" w:type="dxa"/>
            <w:tcBorders>
              <w:left w:val="single" w:sz="6" w:space="0" w:color="000000"/>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b/>
                <w:bCs/>
                <w:sz w:val="20"/>
                <w:szCs w:val="20"/>
              </w:rPr>
              <w:t>Availability of Annotation-confidence schema</w:t>
            </w:r>
          </w:p>
        </w:tc>
        <w:tc>
          <w:tcPr>
            <w:tcW w:w="4086" w:type="dxa"/>
            <w:tcBorders>
              <w:bottom w:val="single" w:sz="6" w:space="0" w:color="000000"/>
              <w:right w:val="single" w:sz="6" w:space="0" w:color="000000"/>
            </w:tcBorders>
            <w:vAlign w:val="center"/>
          </w:tcPr>
          <w:p>
            <w:pPr>
              <w:pStyle w:val="Normal1"/>
              <w:widowControl w:val="false"/>
              <w:jc w:val="center"/>
              <w:rPr>
                <w:sz w:val="20"/>
                <w:szCs w:val="20"/>
              </w:rPr>
            </w:pPr>
            <w:r>
              <w:rPr>
                <w:rFonts w:eastAsia="Times New Roman" w:cs="Times New Roman" w:ascii="Times New Roman" w:hAnsi="Times New Roman"/>
                <w:sz w:val="20"/>
                <w:szCs w:val="20"/>
              </w:rPr>
              <w:t>Yes</w:t>
            </w:r>
          </w:p>
        </w:tc>
      </w:tr>
    </w:tbl>
    <w:p>
      <w:pPr>
        <w:pStyle w:val="Normal1"/>
        <w:widowControl w:val="false"/>
        <w:spacing w:lineRule="auto" w:line="240" w:before="122" w:after="0"/>
        <w:ind w:left="-540" w:right="-63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widowControl w:val="false"/>
        <w:spacing w:lineRule="auto" w:line="240" w:before="122" w:after="0"/>
        <w:ind w:left="-540" w:right="-630" w:hanging="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Table S1</w:t>
      </w:r>
      <w:r>
        <w:rPr>
          <w:rFonts w:eastAsia="Times New Roman" w:cs="Times New Roman" w:ascii="Times New Roman" w:hAnsi="Times New Roman"/>
          <w:sz w:val="28"/>
          <w:szCs w:val="28"/>
        </w:rPr>
        <w:t xml:space="preserve">: Summary statistics of the availability of results from each analysis carried out in the annotation of the </w:t>
      </w:r>
      <w:r>
        <w:rPr>
          <w:rFonts w:eastAsia="Times New Roman" w:cs="Times New Roman" w:ascii="Times New Roman" w:hAnsi="Times New Roman"/>
          <w:i/>
          <w:iCs/>
          <w:sz w:val="28"/>
          <w:szCs w:val="28"/>
        </w:rPr>
        <w:t>C. acnes</w:t>
      </w:r>
      <w:r>
        <w:rPr>
          <w:rFonts w:eastAsia="Times New Roman" w:cs="Times New Roman" w:ascii="Times New Roman" w:hAnsi="Times New Roman"/>
          <w:sz w:val="28"/>
          <w:szCs w:val="28"/>
        </w:rPr>
        <w:t xml:space="preserve"> KPA171202.</w:t>
      </w:r>
    </w:p>
    <w:p>
      <w:pPr>
        <w:pStyle w:val="Normal1"/>
        <w:pBdr/>
        <w:shd w:val="clear" w:fill="FFFFFF"/>
        <w:spacing w:lineRule="auto" w:line="240" w:before="40" w:after="0"/>
        <w:ind w:left="-810" w:right="-90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before="697" w:after="0"/>
        <w:ind w:left="-810" w:right="-630" w:hanging="0"/>
        <w:jc w:val="both"/>
        <w:rPr>
          <w:rFonts w:ascii="Times New Roman" w:hAnsi="Times New Roman" w:eastAsia="Times New Roman" w:cs="Times New Roman"/>
          <w:sz w:val="28"/>
          <w:szCs w:val="28"/>
        </w:rPr>
      </w:pPr>
      <w:r>
        <w:rPr/>
        <w:drawing>
          <wp:inline distT="0" distB="0" distL="0" distR="0">
            <wp:extent cx="6633210" cy="398653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6633210" cy="3986530"/>
                    </a:xfrm>
                    <a:prstGeom prst="rect">
                      <a:avLst/>
                    </a:prstGeom>
                  </pic:spPr>
                </pic:pic>
              </a:graphicData>
            </a:graphic>
          </wp:inline>
        </w:drawing>
      </w:r>
    </w:p>
    <w:p>
      <w:pPr>
        <w:pStyle w:val="Normal1"/>
        <w:widowControl w:val="false"/>
        <w:spacing w:lineRule="auto" w:line="240" w:before="697" w:after="0"/>
        <w:ind w:left="-810" w:right="-630" w:hanging="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Figure S3</w:t>
      </w:r>
      <w:r>
        <w:rPr>
          <w:rFonts w:eastAsia="Times New Roman" w:cs="Times New Roman" w:ascii="Times New Roman" w:hAnsi="Times New Roman"/>
          <w:sz w:val="28"/>
          <w:szCs w:val="28"/>
        </w:rPr>
        <w:t xml:space="preserve">: Pie chart representing the Gene Ontology (GO) analysis from Pannzer2 (a) Association of GO terms for </w:t>
      </w:r>
      <w:r>
        <w:rPr>
          <w:rFonts w:eastAsia="Times New Roman" w:cs="Times New Roman" w:ascii="Times New Roman" w:hAnsi="Times New Roman"/>
          <w:i/>
          <w:iCs/>
          <w:sz w:val="28"/>
          <w:szCs w:val="28"/>
        </w:rPr>
        <w:t>C. acnes</w:t>
      </w:r>
      <w:r>
        <w:rPr>
          <w:rFonts w:eastAsia="Times New Roman" w:cs="Times New Roman" w:ascii="Times New Roman" w:hAnsi="Times New Roman"/>
          <w:sz w:val="28"/>
          <w:szCs w:val="28"/>
        </w:rPr>
        <w:t xml:space="preserve"> KPA171202 genome in three principal GO categories (BP: Biological Process, MF: Molecular Function, CC: Cellular Component). (b) The distribution of GO terms for the BP category across 1036 genes. (c)The distribution of GO terms in the MF category for 1566 genes. (d) The distribution of GO terms in the CC category for 326 genes.</w:t>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widowControl w:val="false"/>
        <w:ind w:left="-810" w:right="-720" w:hanging="0"/>
        <w:jc w:val="both"/>
        <w:rPr>
          <w:rFonts w:ascii="Times New Roman" w:hAnsi="Times New Roman" w:eastAsia="Times New Roman" w:cs="Times New Roman"/>
          <w:sz w:val="28"/>
          <w:szCs w:val="28"/>
        </w:rPr>
      </w:pPr>
      <w:bookmarkStart w:id="2" w:name="_vfihxfpnamy6"/>
      <w:bookmarkEnd w:id="2"/>
      <w:r>
        <w:rPr>
          <w:rFonts w:eastAsia="Times New Roman" w:cs="Times New Roman" w:ascii="Times New Roman" w:hAnsi="Times New Roman"/>
          <w:sz w:val="30"/>
          <w:szCs w:val="30"/>
        </w:rPr>
        <w:t>Structure-based Analysis</w:t>
      </w:r>
    </w:p>
    <w:p>
      <w:pPr>
        <w:pStyle w:val="Normal1"/>
        <w:widowControl w:val="false"/>
        <w:ind w:left="-810" w:right="-720" w:hanging="0"/>
        <w:jc w:val="both"/>
        <w:rPr>
          <w:rFonts w:ascii="Times New Roman" w:hAnsi="Times New Roman" w:eastAsia="Times New Roman" w:cs="Times New Roman"/>
          <w:sz w:val="28"/>
          <w:szCs w:val="28"/>
        </w:rPr>
      </w:pPr>
      <w:r>
        <w:rPr/>
        <w:drawing>
          <wp:inline distT="0" distB="0" distL="0" distR="0">
            <wp:extent cx="5781675" cy="7672070"/>
            <wp:effectExtent l="0" t="0" r="0" b="0"/>
            <wp:docPr id="2"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descr=""/>
                    <pic:cNvPicPr>
                      <a:picLocks noChangeAspect="1" noChangeArrowheads="1"/>
                    </pic:cNvPicPr>
                  </pic:nvPicPr>
                  <pic:blipFill>
                    <a:blip r:embed="rId3"/>
                    <a:stretch>
                      <a:fillRect/>
                    </a:stretch>
                  </pic:blipFill>
                  <pic:spPr bwMode="auto">
                    <a:xfrm>
                      <a:off x="0" y="0"/>
                      <a:ext cx="5781675" cy="7672070"/>
                    </a:xfrm>
                    <a:prstGeom prst="rect">
                      <a:avLst/>
                    </a:prstGeom>
                  </pic:spPr>
                </pic:pic>
              </a:graphicData>
            </a:graphic>
          </wp:inline>
        </w:drawing>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 xml:space="preserve">Figure S4: </w:t>
      </w:r>
      <w:r>
        <w:rPr>
          <w:rFonts w:eastAsia="Times New Roman" w:cs="Times New Roman" w:ascii="Times New Roman" w:hAnsi="Times New Roman"/>
          <w:sz w:val="28"/>
          <w:szCs w:val="28"/>
        </w:rPr>
        <w:t>Comparison between the AlphaFoldDB and ColabFold modeled structures. A) The distribution of RMSD values across the number of ColabFold models. The cumulative distribution shows that 83 % &lt; 3Å and 67% &lt; 2Å, over their entire polypeptide chains. Superposition of the modeled structures from AlphaFoldDB (blue) and ColabFold (red) for example proteins, B) PPA1627 and C) PPA2186, with RMSDs &lt; 1Å. For structures with RMSD &gt; 3Å, the domains are largely superposable with slightly different orientations, as shown in the example D) PPA1316.</w:t>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widowControl w:val="false"/>
        <w:ind w:left="-810" w:right="-720" w:hanging="0"/>
        <w:jc w:val="both"/>
        <w:rPr>
          <w:rFonts w:ascii="Times New Roman" w:hAnsi="Times New Roman" w:eastAsia="Times New Roman" w:cs="Times New Roman"/>
          <w:sz w:val="30"/>
          <w:szCs w:val="30"/>
        </w:rPr>
      </w:pPr>
      <w:r>
        <w:rPr>
          <w:rFonts w:eastAsia="Times New Roman" w:cs="Times New Roman" w:ascii="Times New Roman" w:hAnsi="Times New Roman"/>
          <w:sz w:val="30"/>
          <w:szCs w:val="30"/>
        </w:rPr>
      </w:r>
      <w:bookmarkStart w:id="3" w:name="_271amyk9uh3p"/>
      <w:bookmarkStart w:id="4" w:name="_271amyk9uh3p"/>
      <w:bookmarkEnd w:id="4"/>
    </w:p>
    <w:p>
      <w:pPr>
        <w:pStyle w:val="Normal1"/>
        <w:widowControl w:val="false"/>
        <w:ind w:left="-810" w:right="-72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widowControl w:val="false"/>
        <w:ind w:left="-810" w:right="-72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Modeled proteome’s quality assessment</w:t>
      </w:r>
    </w:p>
    <w:p>
      <w:pPr>
        <w:pStyle w:val="Normal1"/>
        <w:widowControl w:val="false"/>
        <w:ind w:left="-810" w:right="-720" w:hanging="0"/>
        <w:jc w:val="both"/>
        <w:rPr>
          <w:rFonts w:ascii="Times New Roman" w:hAnsi="Times New Roman" w:eastAsia="Times New Roman" w:cs="Times New Roman"/>
          <w:b/>
          <w:b/>
          <w:bCs/>
          <w:sz w:val="28"/>
          <w:szCs w:val="28"/>
        </w:rPr>
      </w:pPr>
      <w:r>
        <w:rPr/>
        <w:drawing>
          <wp:inline distT="0" distB="0" distL="0" distR="0">
            <wp:extent cx="3429635" cy="4021455"/>
            <wp:effectExtent l="0" t="0" r="0" b="0"/>
            <wp:docPr id="3"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png" descr=""/>
                    <pic:cNvPicPr>
                      <a:picLocks noChangeAspect="1" noChangeArrowheads="1"/>
                    </pic:cNvPicPr>
                  </pic:nvPicPr>
                  <pic:blipFill>
                    <a:blip r:embed="rId4"/>
                    <a:stretch>
                      <a:fillRect/>
                    </a:stretch>
                  </pic:blipFill>
                  <pic:spPr bwMode="auto">
                    <a:xfrm>
                      <a:off x="0" y="0"/>
                      <a:ext cx="3429635" cy="4021455"/>
                    </a:xfrm>
                    <a:prstGeom prst="rect">
                      <a:avLst/>
                    </a:prstGeom>
                  </pic:spPr>
                </pic:pic>
              </a:graphicData>
            </a:graphic>
          </wp:inline>
        </w:drawing>
      </w:r>
    </w:p>
    <w:p>
      <w:pPr>
        <w:pStyle w:val="Normal1"/>
        <w:widowControl w:val="false"/>
        <w:ind w:left="-810" w:right="-72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t xml:space="preserve">Figure S5: </w:t>
      </w:r>
      <w:r>
        <w:rPr>
          <w:rFonts w:eastAsia="Times New Roman" w:cs="Times New Roman" w:ascii="Times New Roman" w:hAnsi="Times New Roman"/>
          <w:sz w:val="28"/>
          <w:szCs w:val="28"/>
        </w:rPr>
        <w:t>Coverage of the proteome by different ColabFold pLDDT score thresholds.</w:t>
      </w:r>
    </w:p>
    <w:p>
      <w:pPr>
        <w:pStyle w:val="Normal1"/>
        <w:widowControl w:val="false"/>
        <w:ind w:left="-810" w:right="-720" w:hanging="0"/>
        <w:jc w:val="both"/>
        <w:rPr>
          <w:rFonts w:ascii="Times New Roman" w:hAnsi="Times New Roman" w:eastAsia="Times New Roman" w:cs="Times New Roman"/>
          <w:b/>
          <w:b/>
          <w:bCs/>
          <w:sz w:val="28"/>
          <w:szCs w:val="28"/>
        </w:rPr>
      </w:pPr>
      <w:r>
        <w:rPr>
          <w:rFonts w:eastAsia="Times New Roman" w:cs="Times New Roman" w:ascii="Times New Roman" w:hAnsi="Times New Roman"/>
          <w:b/>
          <w:bCs/>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w:hAnsi="Times" w:eastAsia="Times" w:cs="Times"/>
          <w:sz w:val="28"/>
          <w:szCs w:val="28"/>
          <w:highlight w:val="green"/>
        </w:rPr>
      </w:pPr>
      <w:r>
        <w:rPr>
          <w:rFonts w:eastAsia="Times" w:cs="Times" w:ascii="Times" w:hAnsi="Times"/>
          <w:sz w:val="28"/>
          <w:szCs w:val="28"/>
          <w:highlight w:val="green"/>
        </w:rPr>
        <w:t xml:space="preserve"> </w:t>
      </w:r>
    </w:p>
    <w:p>
      <w:pPr>
        <w:pStyle w:val="Normal1"/>
        <w:widowControl w:val="false"/>
        <w:ind w:left="-810" w:right="-720" w:hanging="0"/>
        <w:jc w:val="both"/>
        <w:rPr>
          <w:rFonts w:ascii="Times" w:hAnsi="Times" w:eastAsia="Times" w:cs="Times"/>
          <w:sz w:val="28"/>
          <w:szCs w:val="28"/>
          <w:highlight w:val="green"/>
        </w:rPr>
      </w:pPr>
      <w:r>
        <w:rPr>
          <w:rFonts w:eastAsia="Times" w:cs="Times" w:ascii="Times" w:hAnsi="Times"/>
          <w:sz w:val="28"/>
          <w:szCs w:val="28"/>
          <w:highlight w:val="green"/>
        </w:rPr>
      </w:r>
    </w:p>
    <w:p>
      <w:pPr>
        <w:pStyle w:val="Normal1"/>
        <w:widowControl w:val="false"/>
        <w:ind w:left="-810" w:right="-720" w:hanging="0"/>
        <w:jc w:val="both"/>
        <w:rPr>
          <w:rFonts w:ascii="Times" w:hAnsi="Times" w:eastAsia="Times" w:cs="Times"/>
          <w:sz w:val="28"/>
          <w:szCs w:val="28"/>
          <w:highlight w:val="green"/>
        </w:rPr>
      </w:pPr>
      <w:r>
        <w:rPr>
          <w:rFonts w:eastAsia="Times" w:cs="Times" w:ascii="Times" w:hAnsi="Times"/>
          <w:sz w:val="28"/>
          <w:szCs w:val="28"/>
          <w:highlight w:val="green"/>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Summary of the associated FOLD, superfamily, and family</w:t>
      </w:r>
      <w:r>
        <w:rPr>
          <w:rFonts w:eastAsia="Times New Roman" w:cs="Times New Roman" w:ascii="Times New Roman" w:hAnsi="Times New Roman"/>
          <w:sz w:val="28"/>
          <w:szCs w:val="28"/>
        </w:rPr>
        <w:t xml:space="preserve"> </w:t>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Unlike traditional homology modeling methods, AlphaFold does not give other information, such as the template structure used, making it difficult to assign functional hierarchies, such as from the SCOP database. Further, template structures are usually annotated and help transfer functions to the modeled protein structure. A structural alignment exercise was performed to assign fold information to </w:t>
      </w:r>
      <w:r>
        <w:rPr>
          <w:rFonts w:eastAsia="Times New Roman" w:cs="Times New Roman" w:ascii="Times New Roman" w:hAnsi="Times New Roman"/>
          <w:i/>
          <w:iCs/>
          <w:sz w:val="28"/>
          <w:szCs w:val="28"/>
        </w:rPr>
        <w:t>C. acnes</w:t>
      </w:r>
      <w:r>
        <w:rPr>
          <w:rFonts w:eastAsia="Times New Roman" w:cs="Times New Roman" w:ascii="Times New Roman" w:hAnsi="Times New Roman"/>
          <w:sz w:val="28"/>
          <w:szCs w:val="28"/>
        </w:rPr>
        <w:t xml:space="preserve"> (n=2289), where 2289 proteins were aligned against non-redundant protein structures present in PDB. The program TMalign was used to establish the scan. This resulted in a 6,12,87,921 combination of pairs, which is roughly equivalent to 61 million pairs of structural alignments (see </w:t>
      </w:r>
      <w:r>
        <w:fldChar w:fldCharType="begin"/>
      </w:r>
      <w:r>
        <w:rPr>
          <w:sz w:val="28"/>
          <w:u w:val="single"/>
          <w:szCs w:val="28"/>
          <w:rFonts w:eastAsia="Times New Roman" w:cs="Times New Roman" w:ascii="Times New Roman" w:hAnsi="Times New Roman"/>
        </w:rPr>
        <w:instrText xml:space="preserve"> HYPERLINK "https://docs.google.com/spreadsheets/d/1z6P2PB2_h9N4WwovIBCHk1OZ1659b_6xj9P7S8GcCGU/edit?gid=0" \l "gid=0"</w:instrText>
      </w:r>
      <w:r>
        <w:rPr>
          <w:sz w:val="28"/>
          <w:u w:val="single"/>
          <w:szCs w:val="28"/>
          <w:rFonts w:eastAsia="Times New Roman" w:cs="Times New Roman" w:ascii="Times New Roman" w:hAnsi="Times New Roman"/>
        </w:rPr>
        <w:fldChar w:fldCharType="separate"/>
      </w:r>
      <w:r>
        <w:rPr>
          <w:rFonts w:eastAsia="Times New Roman" w:cs="Times New Roman" w:ascii="Times New Roman" w:hAnsi="Times New Roman"/>
          <w:sz w:val="28"/>
          <w:szCs w:val="28"/>
          <w:u w:val="single"/>
        </w:rPr>
        <w:t>Sheet S1 (summary stats)</w:t>
      </w:r>
      <w:r>
        <w:rPr>
          <w:sz w:val="28"/>
          <w:u w:val="single"/>
          <w:szCs w:val="28"/>
          <w:rFonts w:eastAsia="Times New Roman" w:cs="Times New Roman" w:ascii="Times New Roman" w:hAnsi="Times New Roman"/>
        </w:rPr>
        <w:fldChar w:fldCharType="end"/>
      </w:r>
      <w:r>
        <w:rPr>
          <w:rFonts w:eastAsia="Times New Roman" w:cs="Times New Roman" w:ascii="Times New Roman" w:hAnsi="Times New Roman"/>
          <w:sz w:val="28"/>
          <w:szCs w:val="28"/>
        </w:rPr>
        <w:t xml:space="preserve">). The top folds (Figure S5(a)) in the modeled </w:t>
      </w:r>
      <w:r>
        <w:rPr>
          <w:rFonts w:eastAsia="Times New Roman" w:cs="Times New Roman" w:ascii="Times New Roman" w:hAnsi="Times New Roman"/>
          <w:i/>
          <w:iCs/>
          <w:sz w:val="28"/>
          <w:szCs w:val="28"/>
        </w:rPr>
        <w:t>C. acnes</w:t>
      </w:r>
      <w:r>
        <w:rPr>
          <w:rFonts w:eastAsia="Times New Roman" w:cs="Times New Roman" w:ascii="Times New Roman" w:hAnsi="Times New Roman"/>
          <w:sz w:val="28"/>
          <w:szCs w:val="28"/>
        </w:rPr>
        <w:t xml:space="preserve"> proteome include TIM beta/alpha-barrel, Rossmann(2×3)oid, Ferredoxin-like, OB-fold, UBA-type 3-helical bundle, etc. The top superfamilies (Figure S5(b)) in the modeled proteome include ‘Aldolase’, ‘Dihydropteroate synthetase-like’, and ‘Phosphoenolpyruvate/pyruvate domain’.</w:t>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drawing>
          <wp:inline distT="0" distB="0" distL="0" distR="0">
            <wp:extent cx="5943600" cy="3670300"/>
            <wp:effectExtent l="0" t="0" r="0" b="0"/>
            <wp:docPr id="4"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descr=""/>
                    <pic:cNvPicPr>
                      <a:picLocks noChangeAspect="1" noChangeArrowheads="1"/>
                    </pic:cNvPicPr>
                  </pic:nvPicPr>
                  <pic:blipFill>
                    <a:blip r:embed="rId5"/>
                    <a:stretch>
                      <a:fillRect/>
                    </a:stretch>
                  </pic:blipFill>
                  <pic:spPr bwMode="auto">
                    <a:xfrm>
                      <a:off x="0" y="0"/>
                      <a:ext cx="5943600" cy="3670300"/>
                    </a:xfrm>
                    <a:prstGeom prst="rect">
                      <a:avLst/>
                    </a:prstGeom>
                  </pic:spPr>
                </pic:pic>
              </a:graphicData>
            </a:graphic>
          </wp:inline>
        </w:drawing>
      </w:r>
    </w:p>
    <w:p>
      <w:pPr>
        <w:pStyle w:val="Normal1"/>
        <w:widowControl w:val="false"/>
        <w:numPr>
          <w:ilvl w:val="0"/>
          <w:numId w:val="1"/>
        </w:numPr>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SCOP2: FOLD</w:t>
      </w:r>
    </w:p>
    <w:p>
      <w:pPr>
        <w:pStyle w:val="Normal1"/>
        <w:widowControl w:val="false"/>
        <w:ind w:left="-810" w:right="-720" w:hanging="0"/>
        <w:jc w:val="both"/>
        <w:rPr>
          <w:rFonts w:ascii="Times New Roman" w:hAnsi="Times New Roman" w:eastAsia="Times New Roman" w:cs="Times New Roman"/>
          <w:sz w:val="28"/>
          <w:szCs w:val="28"/>
        </w:rPr>
      </w:pPr>
      <w:r>
        <w:rPr/>
        <w:drawing>
          <wp:inline distT="0" distB="0" distL="0" distR="0">
            <wp:extent cx="5943600" cy="3683000"/>
            <wp:effectExtent l="0" t="0" r="0" b="0"/>
            <wp:docPr id="5"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descr=""/>
                    <pic:cNvPicPr>
                      <a:picLocks noChangeAspect="1" noChangeArrowheads="1"/>
                    </pic:cNvPicPr>
                  </pic:nvPicPr>
                  <pic:blipFill>
                    <a:blip r:embed="rId6"/>
                    <a:stretch>
                      <a:fillRect/>
                    </a:stretch>
                  </pic:blipFill>
                  <pic:spPr bwMode="auto">
                    <a:xfrm>
                      <a:off x="0" y="0"/>
                      <a:ext cx="5943600" cy="3683000"/>
                    </a:xfrm>
                    <a:prstGeom prst="rect">
                      <a:avLst/>
                    </a:prstGeom>
                  </pic:spPr>
                </pic:pic>
              </a:graphicData>
            </a:graphic>
          </wp:inline>
        </w:drawing>
      </w:r>
    </w:p>
    <w:p>
      <w:pPr>
        <w:pStyle w:val="Normal1"/>
        <w:widowControl w:val="false"/>
        <w:numPr>
          <w:ilvl w:val="0"/>
          <w:numId w:val="1"/>
        </w:numPr>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SCOP2: Superfamily</w:t>
      </w:r>
    </w:p>
    <w:p>
      <w:pPr>
        <w:pStyle w:val="Normal1"/>
        <w:widowControl w:val="false"/>
        <w:ind w:left="-810" w:right="-720" w:hanging="0"/>
        <w:jc w:val="both"/>
        <w:rPr>
          <w:rFonts w:ascii="Times New Roman" w:hAnsi="Times New Roman" w:eastAsia="Times New Roman" w:cs="Times New Roman"/>
          <w:sz w:val="28"/>
          <w:szCs w:val="28"/>
        </w:rPr>
      </w:pPr>
      <w:r>
        <w:rPr/>
        <w:drawing>
          <wp:inline distT="0" distB="0" distL="0" distR="0">
            <wp:extent cx="5943600" cy="2794000"/>
            <wp:effectExtent l="0" t="0" r="0" b="0"/>
            <wp:docPr id="6"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png" descr=""/>
                    <pic:cNvPicPr>
                      <a:picLocks noChangeAspect="1" noChangeArrowheads="1"/>
                    </pic:cNvPicPr>
                  </pic:nvPicPr>
                  <pic:blipFill>
                    <a:blip r:embed="rId7"/>
                    <a:stretch>
                      <a:fillRect/>
                    </a:stretch>
                  </pic:blipFill>
                  <pic:spPr bwMode="auto">
                    <a:xfrm>
                      <a:off x="0" y="0"/>
                      <a:ext cx="5943600" cy="2794000"/>
                    </a:xfrm>
                    <a:prstGeom prst="rect">
                      <a:avLst/>
                    </a:prstGeom>
                  </pic:spPr>
                </pic:pic>
              </a:graphicData>
            </a:graphic>
          </wp:inline>
        </w:drawing>
      </w:r>
    </w:p>
    <w:p>
      <w:pPr>
        <w:pStyle w:val="Normal1"/>
        <w:widowControl w:val="false"/>
        <w:numPr>
          <w:ilvl w:val="0"/>
          <w:numId w:val="1"/>
        </w:numPr>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t>SCOP2: Family</w:t>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Figure S6</w:t>
      </w:r>
      <w:r>
        <w:rPr>
          <w:rFonts w:eastAsia="Times New Roman" w:cs="Times New Roman" w:ascii="Times New Roman" w:hAnsi="Times New Roman"/>
          <w:sz w:val="28"/>
          <w:szCs w:val="28"/>
        </w:rPr>
        <w:t>: Pie chart displaying the fraction of the modeled proteome associated with (a)Fold, (b)Superfamily, and (c)Family (derived from the SCOP2 database).</w:t>
      </w:r>
    </w:p>
    <w:p>
      <w:pPr>
        <w:pStyle w:val="Normal1"/>
        <w:widowControl w:val="false"/>
        <w:spacing w:lineRule="auto" w:line="240"/>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left="-810" w:right="-720" w:hanging="0"/>
        <w:jc w:val="both"/>
        <w:rPr>
          <w:rFonts w:ascii="Times New Roman" w:hAnsi="Times New Roman" w:eastAsia="Times New Roman" w:cs="Times New Roman"/>
          <w:sz w:val="28"/>
          <w:szCs w:val="28"/>
        </w:rPr>
      </w:pPr>
      <w:r>
        <w:rPr/>
        <w:drawing>
          <wp:inline distT="0" distB="0" distL="0" distR="0">
            <wp:extent cx="6838315" cy="3210560"/>
            <wp:effectExtent l="0" t="0" r="0" b="0"/>
            <wp:docPr id="7"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pic:cNvPicPr>
                      <a:picLocks noChangeAspect="1" noChangeArrowheads="1"/>
                    </pic:cNvPicPr>
                  </pic:nvPicPr>
                  <pic:blipFill>
                    <a:blip r:embed="rId8"/>
                    <a:stretch>
                      <a:fillRect/>
                    </a:stretch>
                  </pic:blipFill>
                  <pic:spPr bwMode="auto">
                    <a:xfrm>
                      <a:off x="0" y="0"/>
                      <a:ext cx="6838315" cy="3210560"/>
                    </a:xfrm>
                    <a:prstGeom prst="rect">
                      <a:avLst/>
                    </a:prstGeom>
                  </pic:spPr>
                </pic:pic>
              </a:graphicData>
            </a:graphic>
          </wp:inline>
        </w:drawing>
      </w:r>
    </w:p>
    <w:p>
      <w:pPr>
        <w:pStyle w:val="Normal1"/>
        <w:widowControl w:val="false"/>
        <w:spacing w:lineRule="auto" w:line="240"/>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widowControl w:val="false"/>
        <w:spacing w:lineRule="auto" w:line="240"/>
        <w:ind w:left="-810" w:right="-720" w:hanging="0"/>
        <w:jc w:val="both"/>
        <w:rPr>
          <w:rFonts w:ascii="Times New Roman" w:hAnsi="Times New Roman" w:eastAsia="Times New Roman" w:cs="Times New Roman"/>
          <w:sz w:val="28"/>
          <w:szCs w:val="28"/>
        </w:rPr>
      </w:pPr>
      <w:r>
        <w:rPr>
          <w:rFonts w:eastAsia="Times New Roman" w:cs="Times New Roman" w:ascii="Times New Roman" w:hAnsi="Times New Roman"/>
          <w:b/>
          <w:bCs/>
          <w:sz w:val="28"/>
          <w:szCs w:val="28"/>
        </w:rPr>
        <w:t>Figure S7</w:t>
      </w:r>
      <w:r>
        <w:rPr>
          <w:rFonts w:eastAsia="Times New Roman" w:cs="Times New Roman" w:ascii="Times New Roman" w:hAnsi="Times New Roman"/>
          <w:sz w:val="28"/>
          <w:szCs w:val="28"/>
        </w:rPr>
        <w:t>: Front-end of CAcnesDB showcasing different functionalities.</w:t>
      </w:r>
    </w:p>
    <w:sectPr>
      <w:headerReference w:type="default" r:id="rId9"/>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font>
  <w:font w:name="Arial">
    <w:charset w:val="00"/>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Liberation Serif">
    <w:altName w:val="Times New Roman"/>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w:charset w:val="01"/>
    <w:family w:val="roman"/>
    <w:pitch w:val="variable"/>
  </w:font>
  <w:font w:name="Liberation Sans">
    <w:altName w:val="Arial"/>
    <w:charset w:val="01"/>
    <w:family w:val="swiss"/>
    <w:pitch w:val="variable"/>
    <w:embedRegular r:id="rId13" w:fontKey="{0D014A78-CABC-4EF0-12AC-5CD89AEFDE0D}"/>
    <w:embedBold r:id="rId14" w:fontKey="{0E014A78-CABC-4EF0-12AC-5CD89AEFDE0E}"/>
    <w:embedItalic r:id="rId15" w:fontKey="{0F014A78-CABC-4EF0-12AC-5CD89AEFDE0F}"/>
    <w:embedBoldItalic r:id="rId16" w:fontKey="{10014A78-CABC-4EF0-12AC-5CD89AEFDE10}"/>
  </w:font>
  <w:font w:name="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w:altName w:val="Times New Roman"/>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right"/>
      <w:rPr/>
    </w:pPr>
    <w:r>
      <w:rPr/>
      <w:fldChar w:fldCharType="begin"/>
    </w:r>
    <w:r>
      <w:rPr/>
      <w:instrText xml:space="preserve"> PAGE </w:instrText>
    </w:r>
    <w:r>
      <w:rPr/>
      <w:fldChar w:fldCharType="separate"/>
    </w:r>
    <w:r>
      <w:rPr/>
      <w:t>7</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591</Words>
  <Characters>3476</Characters>
  <CharactersWithSpaces>4008</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2026-10-05T20:57:20Z</dcterms:modified>
  <cp:revision>1</cp:revision>
  <dc:subject/>
  <dc:title/>
</cp:coreProperties>
</file>