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FADF" w14:textId="77777777" w:rsidR="0014233E" w:rsidRDefault="00000000">
      <w:pPr>
        <w:spacing w:before="760"/>
      </w:pPr>
      <w:r>
        <w:rPr>
          <w:rFonts w:ascii="Aptos Display" w:hAnsi="Aptos Display"/>
          <w:b/>
          <w:color w:val="2F5597"/>
          <w:sz w:val="26"/>
        </w:rPr>
        <w:t>BLOCKMEDIARY</w:t>
      </w:r>
    </w:p>
    <w:p w14:paraId="3AB72BD5" w14:textId="77777777" w:rsidR="0014233E" w:rsidRDefault="00000000">
      <w:pPr>
        <w:pStyle w:val="Title"/>
      </w:pPr>
      <w:r>
        <w:t>DIFC Partner-Led Pilot and VARA Scale Readiness Report</w:t>
      </w:r>
    </w:p>
    <w:p w14:paraId="201956A8" w14:textId="77777777" w:rsidR="0014233E" w:rsidRDefault="00000000">
      <w:pPr>
        <w:spacing w:after="280"/>
      </w:pPr>
      <w:r>
        <w:rPr>
          <w:color w:val="595959"/>
          <w:sz w:val="26"/>
        </w:rPr>
        <w:t>Requirements, activity mapping, parallel timeline and financial-model implications</w:t>
      </w:r>
    </w:p>
    <w:tbl>
      <w:tblPr>
        <w:tblW w:w="0" w:type="auto"/>
        <w:jc w:val="center"/>
        <w:tblBorders>
          <w:top w:val="single" w:sz="8" w:space="0" w:color="70AD47"/>
          <w:left w:val="single" w:sz="8" w:space="0" w:color="70AD47"/>
          <w:bottom w:val="single" w:sz="8" w:space="0" w:color="70AD47"/>
          <w:right w:val="single" w:sz="8" w:space="0" w:color="70AD47"/>
        </w:tblBorders>
        <w:tblLayout w:type="fixed"/>
        <w:tblLook w:val="04A0" w:firstRow="1" w:lastRow="0" w:firstColumn="1" w:lastColumn="0" w:noHBand="0" w:noVBand="1"/>
      </w:tblPr>
      <w:tblGrid>
        <w:gridCol w:w="9864"/>
      </w:tblGrid>
      <w:tr w:rsidR="0014233E" w14:paraId="322B3BFF" w14:textId="77777777">
        <w:trPr>
          <w:jc w:val="center"/>
        </w:trPr>
        <w:tc>
          <w:tcPr>
            <w:tcW w:w="9864" w:type="dxa"/>
            <w:shd w:val="clear" w:color="auto" w:fill="E2F0D9"/>
            <w:tcMar>
              <w:top w:w="150" w:type="dxa"/>
              <w:left w:w="180" w:type="dxa"/>
              <w:bottom w:w="150" w:type="dxa"/>
              <w:right w:w="180" w:type="dxa"/>
            </w:tcMar>
          </w:tcPr>
          <w:p w14:paraId="071E416D" w14:textId="77777777" w:rsidR="0014233E" w:rsidRDefault="00000000">
            <w:pPr>
              <w:spacing w:after="60"/>
            </w:pPr>
            <w:r>
              <w:rPr>
                <w:rFonts w:ascii="Aptos Display" w:hAnsi="Aptos Display"/>
                <w:b/>
                <w:color w:val="17365D"/>
                <w:sz w:val="22"/>
              </w:rPr>
              <w:t>Recommended planning position</w:t>
            </w:r>
          </w:p>
          <w:p w14:paraId="2EC0B6A2" w14:textId="77777777" w:rsidR="0014233E" w:rsidRDefault="00000000">
            <w:pPr>
              <w:spacing w:after="0"/>
            </w:pPr>
            <w:r>
              <w:rPr>
                <w:sz w:val="19"/>
              </w:rPr>
              <w:t>Begin the DIFC partner-led pilot and VARA application workstreams in parallel from Month 1. Retain Month 12 for the first paid pilot. Model full VARA licensing at Month 18 in the base case, with Month 12 as an early case and Month 24 as a delayed case.</w:t>
            </w:r>
          </w:p>
        </w:tc>
      </w:tr>
    </w:tbl>
    <w:p w14:paraId="3FA962A1" w14:textId="77777777" w:rsidR="0014233E" w:rsidRDefault="0014233E">
      <w:pPr>
        <w:spacing w:after="20"/>
      </w:pP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088"/>
        <w:gridCol w:w="7343"/>
      </w:tblGrid>
      <w:tr w:rsidR="0014233E" w14:paraId="53DD6AEB" w14:textId="77777777">
        <w:trPr>
          <w:cantSplit/>
          <w:tblHeader/>
          <w:jc w:val="center"/>
        </w:trPr>
        <w:tc>
          <w:tcPr>
            <w:tcW w:w="2088" w:type="dxa"/>
            <w:shd w:val="clear" w:color="auto" w:fill="EFF4FA"/>
            <w:tcMar>
              <w:top w:w="100" w:type="dxa"/>
              <w:left w:w="110" w:type="dxa"/>
              <w:bottom w:w="100" w:type="dxa"/>
              <w:right w:w="110" w:type="dxa"/>
            </w:tcMar>
            <w:vAlign w:val="center"/>
          </w:tcPr>
          <w:p w14:paraId="60398EC8" w14:textId="77777777" w:rsidR="0014233E" w:rsidRPr="00E82518" w:rsidRDefault="00000000">
            <w:pPr>
              <w:spacing w:after="0" w:line="240" w:lineRule="auto"/>
            </w:pPr>
            <w:r w:rsidRPr="00E82518">
              <w:rPr>
                <w:b/>
                <w:sz w:val="18"/>
              </w:rPr>
              <w:t>Prepared by</w:t>
            </w:r>
          </w:p>
        </w:tc>
        <w:tc>
          <w:tcPr>
            <w:tcW w:w="7343" w:type="dxa"/>
            <w:shd w:val="clear" w:color="auto" w:fill="EFF4FA"/>
            <w:tcMar>
              <w:top w:w="100" w:type="dxa"/>
              <w:left w:w="110" w:type="dxa"/>
              <w:bottom w:w="100" w:type="dxa"/>
              <w:right w:w="110" w:type="dxa"/>
            </w:tcMar>
            <w:vAlign w:val="center"/>
          </w:tcPr>
          <w:p w14:paraId="1B2775C3" w14:textId="6C6D1A70" w:rsidR="0014233E" w:rsidRPr="00E82518" w:rsidRDefault="00000000">
            <w:pPr>
              <w:spacing w:after="0" w:line="240" w:lineRule="auto"/>
            </w:pPr>
            <w:r w:rsidRPr="00E82518">
              <w:rPr>
                <w:b/>
                <w:sz w:val="18"/>
              </w:rPr>
              <w:t>Blockmediary project team</w:t>
            </w:r>
          </w:p>
        </w:tc>
      </w:tr>
      <w:tr w:rsidR="0014233E" w14:paraId="73209FC4" w14:textId="77777777">
        <w:trPr>
          <w:cantSplit/>
          <w:jc w:val="center"/>
        </w:trPr>
        <w:tc>
          <w:tcPr>
            <w:tcW w:w="2088" w:type="dxa"/>
            <w:shd w:val="clear" w:color="auto" w:fill="EFF4FA"/>
            <w:tcMar>
              <w:top w:w="100" w:type="dxa"/>
              <w:left w:w="110" w:type="dxa"/>
              <w:bottom w:w="100" w:type="dxa"/>
              <w:right w:w="110" w:type="dxa"/>
            </w:tcMar>
            <w:vAlign w:val="center"/>
          </w:tcPr>
          <w:p w14:paraId="705B923C" w14:textId="77777777" w:rsidR="0014233E" w:rsidRDefault="00000000">
            <w:pPr>
              <w:spacing w:after="0" w:line="240" w:lineRule="auto"/>
            </w:pPr>
            <w:r>
              <w:rPr>
                <w:b/>
                <w:color w:val="17365D"/>
                <w:sz w:val="18"/>
              </w:rPr>
              <w:t>Purpose</w:t>
            </w:r>
          </w:p>
        </w:tc>
        <w:tc>
          <w:tcPr>
            <w:tcW w:w="7343" w:type="dxa"/>
            <w:tcMar>
              <w:top w:w="100" w:type="dxa"/>
              <w:left w:w="110" w:type="dxa"/>
              <w:bottom w:w="100" w:type="dxa"/>
              <w:right w:w="110" w:type="dxa"/>
            </w:tcMar>
            <w:vAlign w:val="center"/>
          </w:tcPr>
          <w:p w14:paraId="0405F1F9" w14:textId="77777777" w:rsidR="0014233E" w:rsidRDefault="00000000">
            <w:pPr>
              <w:spacing w:after="0" w:line="240" w:lineRule="auto"/>
            </w:pPr>
            <w:r>
              <w:rPr>
                <w:sz w:val="18"/>
              </w:rPr>
              <w:t>Master's-level preliminary business report for academic and investor review</w:t>
            </w:r>
          </w:p>
        </w:tc>
      </w:tr>
      <w:tr w:rsidR="0014233E" w14:paraId="3D0DD06B" w14:textId="77777777">
        <w:trPr>
          <w:cantSplit/>
          <w:jc w:val="center"/>
        </w:trPr>
        <w:tc>
          <w:tcPr>
            <w:tcW w:w="2088" w:type="dxa"/>
            <w:shd w:val="clear" w:color="auto" w:fill="EFF4FA"/>
            <w:tcMar>
              <w:top w:w="100" w:type="dxa"/>
              <w:left w:w="110" w:type="dxa"/>
              <w:bottom w:w="100" w:type="dxa"/>
              <w:right w:w="110" w:type="dxa"/>
            </w:tcMar>
            <w:vAlign w:val="center"/>
          </w:tcPr>
          <w:p w14:paraId="459E18E4" w14:textId="77777777" w:rsidR="0014233E" w:rsidRDefault="00000000">
            <w:pPr>
              <w:spacing w:after="0" w:line="240" w:lineRule="auto"/>
            </w:pPr>
            <w:r>
              <w:rPr>
                <w:b/>
                <w:color w:val="17365D"/>
                <w:sz w:val="18"/>
              </w:rPr>
              <w:t>Status</w:t>
            </w:r>
          </w:p>
        </w:tc>
        <w:tc>
          <w:tcPr>
            <w:tcW w:w="7343" w:type="dxa"/>
            <w:tcMar>
              <w:top w:w="100" w:type="dxa"/>
              <w:left w:w="110" w:type="dxa"/>
              <w:bottom w:w="100" w:type="dxa"/>
              <w:right w:w="110" w:type="dxa"/>
            </w:tcMar>
            <w:vAlign w:val="center"/>
          </w:tcPr>
          <w:p w14:paraId="5D2DB1E0" w14:textId="77777777" w:rsidR="0014233E" w:rsidRDefault="00000000">
            <w:pPr>
              <w:spacing w:after="0" w:line="240" w:lineRule="auto"/>
            </w:pPr>
            <w:r>
              <w:rPr>
                <w:sz w:val="18"/>
              </w:rPr>
              <w:t>Business-planning report; not legal advice or a licence application</w:t>
            </w:r>
          </w:p>
        </w:tc>
      </w:tr>
      <w:tr w:rsidR="0014233E" w14:paraId="51FAFE2B" w14:textId="77777777">
        <w:trPr>
          <w:cantSplit/>
          <w:jc w:val="center"/>
        </w:trPr>
        <w:tc>
          <w:tcPr>
            <w:tcW w:w="2088" w:type="dxa"/>
            <w:shd w:val="clear" w:color="auto" w:fill="EFF4FA"/>
            <w:tcMar>
              <w:top w:w="100" w:type="dxa"/>
              <w:left w:w="110" w:type="dxa"/>
              <w:bottom w:w="100" w:type="dxa"/>
              <w:right w:w="110" w:type="dxa"/>
            </w:tcMar>
            <w:vAlign w:val="center"/>
          </w:tcPr>
          <w:p w14:paraId="56015DE1" w14:textId="77777777" w:rsidR="0014233E" w:rsidRDefault="00000000">
            <w:pPr>
              <w:spacing w:after="0" w:line="240" w:lineRule="auto"/>
            </w:pPr>
            <w:r>
              <w:rPr>
                <w:b/>
                <w:color w:val="17365D"/>
                <w:sz w:val="18"/>
              </w:rPr>
              <w:t>Reference model</w:t>
            </w:r>
          </w:p>
        </w:tc>
        <w:tc>
          <w:tcPr>
            <w:tcW w:w="7343" w:type="dxa"/>
            <w:tcMar>
              <w:top w:w="100" w:type="dxa"/>
              <w:left w:w="110" w:type="dxa"/>
              <w:bottom w:w="100" w:type="dxa"/>
              <w:right w:w="110" w:type="dxa"/>
            </w:tcMar>
            <w:vAlign w:val="center"/>
          </w:tcPr>
          <w:p w14:paraId="0D7B65BF" w14:textId="77777777" w:rsidR="0014233E" w:rsidRDefault="00000000">
            <w:pPr>
              <w:spacing w:after="0" w:line="240" w:lineRule="auto"/>
            </w:pPr>
            <w:r>
              <w:rPr>
                <w:sz w:val="18"/>
              </w:rPr>
              <w:t>Blockmediary Financial Model, 12 August 2026</w:t>
            </w:r>
          </w:p>
        </w:tc>
      </w:tr>
      <w:tr w:rsidR="0014233E" w14:paraId="1B982782" w14:textId="77777777">
        <w:trPr>
          <w:cantSplit/>
          <w:jc w:val="center"/>
        </w:trPr>
        <w:tc>
          <w:tcPr>
            <w:tcW w:w="2088" w:type="dxa"/>
            <w:shd w:val="clear" w:color="auto" w:fill="EFF4FA"/>
            <w:tcMar>
              <w:top w:w="100" w:type="dxa"/>
              <w:left w:w="110" w:type="dxa"/>
              <w:bottom w:w="100" w:type="dxa"/>
              <w:right w:w="110" w:type="dxa"/>
            </w:tcMar>
            <w:vAlign w:val="center"/>
          </w:tcPr>
          <w:p w14:paraId="24F590CA" w14:textId="77777777" w:rsidR="0014233E" w:rsidRDefault="00000000">
            <w:pPr>
              <w:spacing w:after="0" w:line="240" w:lineRule="auto"/>
            </w:pPr>
            <w:r>
              <w:rPr>
                <w:b/>
                <w:color w:val="17365D"/>
                <w:sz w:val="18"/>
              </w:rPr>
              <w:t>Research date</w:t>
            </w:r>
          </w:p>
        </w:tc>
        <w:tc>
          <w:tcPr>
            <w:tcW w:w="7343" w:type="dxa"/>
            <w:tcMar>
              <w:top w:w="100" w:type="dxa"/>
              <w:left w:w="110" w:type="dxa"/>
              <w:bottom w:w="100" w:type="dxa"/>
              <w:right w:w="110" w:type="dxa"/>
            </w:tcMar>
            <w:vAlign w:val="center"/>
          </w:tcPr>
          <w:p w14:paraId="7BC04EB3" w14:textId="77777777" w:rsidR="0014233E" w:rsidRDefault="00000000">
            <w:pPr>
              <w:spacing w:after="0" w:line="240" w:lineRule="auto"/>
            </w:pPr>
            <w:r>
              <w:rPr>
                <w:sz w:val="18"/>
              </w:rPr>
              <w:t>12 August 2026</w:t>
            </w:r>
          </w:p>
        </w:tc>
      </w:tr>
    </w:tbl>
    <w:p w14:paraId="37307115" w14:textId="77777777" w:rsidR="0014233E" w:rsidRDefault="00000000">
      <w:pPr>
        <w:spacing w:before="360"/>
      </w:pPr>
      <w:r>
        <w:rPr>
          <w:b/>
          <w:color w:val="17365D"/>
        </w:rPr>
        <w:t>Scope note</w:t>
      </w:r>
      <w:r>
        <w:t>: This report interprets current public regulatory material against Blockmediary’s stated product architecture. Final permissions depend on the actual legal entities, contracts, wallet and key controls, customer location and regulator/counsel decisions.</w:t>
      </w:r>
    </w:p>
    <w:p w14:paraId="586EF7B6" w14:textId="77777777" w:rsidR="0014233E" w:rsidRDefault="00000000">
      <w:pPr>
        <w:spacing w:before="120"/>
      </w:pPr>
      <w:r>
        <w:rPr>
          <w:b/>
          <w:color w:val="17365D"/>
        </w:rPr>
        <w:t>Terminology</w:t>
      </w:r>
      <w:r>
        <w:t>: The correct term is “VARA-licensed,” not “VARA-certified.”</w:t>
      </w:r>
    </w:p>
    <w:p w14:paraId="3421ED17" w14:textId="77777777" w:rsidR="0014233E" w:rsidRDefault="00000000">
      <w:r>
        <w:br w:type="page"/>
      </w:r>
    </w:p>
    <w:p w14:paraId="14915B62" w14:textId="77777777" w:rsidR="0014233E" w:rsidRDefault="00000000">
      <w:pPr>
        <w:pStyle w:val="Heading1"/>
      </w:pPr>
      <w:r>
        <w:lastRenderedPageBreak/>
        <w:t>Contents</w:t>
      </w:r>
    </w:p>
    <w:p w14:paraId="276B71C8" w14:textId="77777777" w:rsidR="0014233E" w:rsidRDefault="00000000">
      <w:pPr>
        <w:spacing w:after="40"/>
        <w:ind w:left="216"/>
      </w:pPr>
      <w:r>
        <w:t>1. Executive conclusion</w:t>
      </w:r>
    </w:p>
    <w:p w14:paraId="5FF8BB74" w14:textId="77777777" w:rsidR="0014233E" w:rsidRDefault="00000000">
      <w:pPr>
        <w:spacing w:after="40"/>
        <w:ind w:left="216"/>
      </w:pPr>
      <w:r>
        <w:t>2. Blockmediary’s regulatory boundary</w:t>
      </w:r>
    </w:p>
    <w:p w14:paraId="643C3B03" w14:textId="77777777" w:rsidR="0014233E" w:rsidRDefault="00000000">
      <w:pPr>
        <w:spacing w:after="40"/>
        <w:ind w:left="216"/>
      </w:pPr>
      <w:r>
        <w:t>3. Track A — DIFC partner-led pilot</w:t>
      </w:r>
    </w:p>
    <w:p w14:paraId="75B0D52D" w14:textId="77777777" w:rsidR="0014233E" w:rsidRDefault="00000000">
      <w:pPr>
        <w:spacing w:after="40"/>
        <w:ind w:left="216"/>
      </w:pPr>
      <w:r>
        <w:t>4. Track B — VARA licensing for scale</w:t>
      </w:r>
    </w:p>
    <w:p w14:paraId="1BEF1F8D" w14:textId="77777777" w:rsidR="0014233E" w:rsidRDefault="00000000">
      <w:pPr>
        <w:spacing w:after="40"/>
        <w:ind w:left="216"/>
      </w:pPr>
      <w:r>
        <w:t>5. Parallel implementation timeline</w:t>
      </w:r>
    </w:p>
    <w:p w14:paraId="3F9A35F8" w14:textId="77777777" w:rsidR="0014233E" w:rsidRDefault="00000000">
      <w:pPr>
        <w:spacing w:after="40"/>
        <w:ind w:left="216"/>
      </w:pPr>
      <w:r>
        <w:t>6. Product-readiness gaps and launch gates</w:t>
      </w:r>
    </w:p>
    <w:p w14:paraId="1A154B74" w14:textId="77777777" w:rsidR="0014233E" w:rsidRDefault="00000000">
      <w:pPr>
        <w:spacing w:after="40"/>
        <w:ind w:left="216"/>
      </w:pPr>
      <w:r>
        <w:t>7. Financial-model implications</w:t>
      </w:r>
    </w:p>
    <w:p w14:paraId="3DFC6B3F" w14:textId="77777777" w:rsidR="0014233E" w:rsidRDefault="00000000">
      <w:pPr>
        <w:spacing w:after="40"/>
        <w:ind w:left="216"/>
      </w:pPr>
      <w:r>
        <w:t>8. Open regulatory questions and validation priorities</w:t>
      </w:r>
    </w:p>
    <w:p w14:paraId="17AB1C04" w14:textId="77777777" w:rsidR="0014233E" w:rsidRDefault="00000000">
      <w:pPr>
        <w:spacing w:after="40"/>
        <w:ind w:left="216"/>
      </w:pPr>
      <w:r>
        <w:t>9. Conclusion</w:t>
      </w:r>
    </w:p>
    <w:p w14:paraId="1A5E8DE9" w14:textId="77777777" w:rsidR="0014233E" w:rsidRDefault="00000000">
      <w:pPr>
        <w:spacing w:after="40"/>
        <w:ind w:left="216"/>
      </w:pPr>
      <w:r>
        <w:t>References</w:t>
      </w:r>
    </w:p>
    <w:p w14:paraId="3876EFEC" w14:textId="77777777" w:rsidR="0014233E" w:rsidRDefault="00000000">
      <w:pPr>
        <w:pStyle w:val="Heading1"/>
      </w:pPr>
      <w:r>
        <w:t>1. Executive conclusion</w:t>
      </w:r>
    </w:p>
    <w:p w14:paraId="45DF0720" w14:textId="77777777" w:rsidR="0014233E" w:rsidRDefault="00000000">
      <w:pPr>
        <w:keepLines/>
      </w:pPr>
      <w:r>
        <w:t>Blockmediary can pursue a limited DIFC partner-led pilot and a VARA licensing programme in parallel from inception. They are not competing alternatives: the pilot is a controlled commercial route under a suitably authorised partner, while the VARA workstream builds Blockmediary’s own non-DIFC Dubai licensing platform for wider scale.</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232"/>
        <w:gridCol w:w="3096"/>
        <w:gridCol w:w="4392"/>
      </w:tblGrid>
      <w:tr w:rsidR="0014233E" w14:paraId="1BA662BD" w14:textId="77777777">
        <w:trPr>
          <w:cantSplit/>
          <w:tblHeader/>
          <w:jc w:val="center"/>
        </w:trPr>
        <w:tc>
          <w:tcPr>
            <w:tcW w:w="2232" w:type="dxa"/>
            <w:shd w:val="clear" w:color="auto" w:fill="17365D"/>
            <w:tcMar>
              <w:top w:w="100" w:type="dxa"/>
              <w:left w:w="110" w:type="dxa"/>
              <w:bottom w:w="100" w:type="dxa"/>
              <w:right w:w="110" w:type="dxa"/>
            </w:tcMar>
            <w:vAlign w:val="center"/>
          </w:tcPr>
          <w:p w14:paraId="18214107" w14:textId="77777777" w:rsidR="0014233E" w:rsidRDefault="00000000">
            <w:pPr>
              <w:spacing w:after="0" w:line="240" w:lineRule="auto"/>
              <w:jc w:val="center"/>
            </w:pPr>
            <w:r>
              <w:rPr>
                <w:b/>
                <w:color w:val="FFFFFF"/>
                <w:sz w:val="16"/>
              </w:rPr>
              <w:t>Question</w:t>
            </w:r>
          </w:p>
        </w:tc>
        <w:tc>
          <w:tcPr>
            <w:tcW w:w="3096" w:type="dxa"/>
            <w:shd w:val="clear" w:color="auto" w:fill="17365D"/>
            <w:tcMar>
              <w:top w:w="100" w:type="dxa"/>
              <w:left w:w="110" w:type="dxa"/>
              <w:bottom w:w="100" w:type="dxa"/>
              <w:right w:w="110" w:type="dxa"/>
            </w:tcMar>
            <w:vAlign w:val="center"/>
          </w:tcPr>
          <w:p w14:paraId="4EC85A52" w14:textId="77777777" w:rsidR="0014233E" w:rsidRDefault="00000000">
            <w:pPr>
              <w:spacing w:after="0" w:line="240" w:lineRule="auto"/>
              <w:jc w:val="center"/>
            </w:pPr>
            <w:r>
              <w:rPr>
                <w:b/>
                <w:color w:val="FFFFFF"/>
                <w:sz w:val="16"/>
              </w:rPr>
              <w:t>Conclusion</w:t>
            </w:r>
          </w:p>
        </w:tc>
        <w:tc>
          <w:tcPr>
            <w:tcW w:w="4392" w:type="dxa"/>
            <w:shd w:val="clear" w:color="auto" w:fill="17365D"/>
            <w:tcMar>
              <w:top w:w="100" w:type="dxa"/>
              <w:left w:w="110" w:type="dxa"/>
              <w:bottom w:w="100" w:type="dxa"/>
              <w:right w:w="110" w:type="dxa"/>
            </w:tcMar>
            <w:vAlign w:val="center"/>
          </w:tcPr>
          <w:p w14:paraId="773DDF24" w14:textId="77777777" w:rsidR="0014233E" w:rsidRDefault="00000000">
            <w:pPr>
              <w:spacing w:after="0" w:line="240" w:lineRule="auto"/>
              <w:jc w:val="center"/>
            </w:pPr>
            <w:r>
              <w:rPr>
                <w:b/>
                <w:color w:val="FFFFFF"/>
                <w:sz w:val="16"/>
              </w:rPr>
              <w:t>Planning treatment</w:t>
            </w:r>
          </w:p>
        </w:tc>
      </w:tr>
      <w:tr w:rsidR="0014233E" w14:paraId="2CF27861" w14:textId="77777777">
        <w:trPr>
          <w:cantSplit/>
          <w:jc w:val="center"/>
        </w:trPr>
        <w:tc>
          <w:tcPr>
            <w:tcW w:w="2232" w:type="dxa"/>
            <w:shd w:val="clear" w:color="auto" w:fill="E2F0D9"/>
            <w:tcMar>
              <w:top w:w="100" w:type="dxa"/>
              <w:left w:w="110" w:type="dxa"/>
              <w:bottom w:w="100" w:type="dxa"/>
              <w:right w:w="110" w:type="dxa"/>
            </w:tcMar>
            <w:vAlign w:val="center"/>
          </w:tcPr>
          <w:p w14:paraId="5926AD79" w14:textId="77777777" w:rsidR="0014233E" w:rsidRDefault="00000000">
            <w:pPr>
              <w:spacing w:after="0" w:line="240" w:lineRule="auto"/>
            </w:pPr>
            <w:r>
              <w:rPr>
                <w:b/>
                <w:color w:val="17365D"/>
                <w:sz w:val="16"/>
              </w:rPr>
              <w:t>Can both workstreams start together?</w:t>
            </w:r>
          </w:p>
        </w:tc>
        <w:tc>
          <w:tcPr>
            <w:tcW w:w="3096" w:type="dxa"/>
            <w:shd w:val="clear" w:color="auto" w:fill="E2F0D9"/>
            <w:tcMar>
              <w:top w:w="100" w:type="dxa"/>
              <w:left w:w="110" w:type="dxa"/>
              <w:bottom w:w="100" w:type="dxa"/>
              <w:right w:w="110" w:type="dxa"/>
            </w:tcMar>
            <w:vAlign w:val="center"/>
          </w:tcPr>
          <w:p w14:paraId="3BD9D95E" w14:textId="77777777" w:rsidR="0014233E" w:rsidRDefault="00000000">
            <w:pPr>
              <w:spacing w:after="0" w:line="240" w:lineRule="auto"/>
            </w:pPr>
            <w:r>
              <w:rPr>
                <w:sz w:val="16"/>
              </w:rPr>
              <w:t>Yes. Begin both in Month 1 of the model.</w:t>
            </w:r>
          </w:p>
        </w:tc>
        <w:tc>
          <w:tcPr>
            <w:tcW w:w="4392" w:type="dxa"/>
            <w:shd w:val="clear" w:color="auto" w:fill="E2F0D9"/>
            <w:tcMar>
              <w:top w:w="100" w:type="dxa"/>
              <w:left w:w="110" w:type="dxa"/>
              <w:bottom w:w="100" w:type="dxa"/>
              <w:right w:w="110" w:type="dxa"/>
            </w:tcMar>
            <w:vAlign w:val="center"/>
          </w:tcPr>
          <w:p w14:paraId="2F74BFE5" w14:textId="77777777" w:rsidR="0014233E" w:rsidRDefault="00000000">
            <w:pPr>
              <w:spacing w:after="0" w:line="240" w:lineRule="auto"/>
            </w:pPr>
            <w:r>
              <w:rPr>
                <w:sz w:val="16"/>
              </w:rPr>
              <w:t>Parallel workstreams; do not make VARA preparation wait for pilot revenue.</w:t>
            </w:r>
          </w:p>
        </w:tc>
      </w:tr>
      <w:tr w:rsidR="0014233E" w14:paraId="72EC5996" w14:textId="77777777">
        <w:trPr>
          <w:cantSplit/>
          <w:jc w:val="center"/>
        </w:trPr>
        <w:tc>
          <w:tcPr>
            <w:tcW w:w="2232" w:type="dxa"/>
            <w:shd w:val="clear" w:color="auto" w:fill="E2F0D9"/>
            <w:tcMar>
              <w:top w:w="100" w:type="dxa"/>
              <w:left w:w="110" w:type="dxa"/>
              <w:bottom w:w="100" w:type="dxa"/>
              <w:right w:w="110" w:type="dxa"/>
            </w:tcMar>
            <w:vAlign w:val="center"/>
          </w:tcPr>
          <w:p w14:paraId="6D00DFF3" w14:textId="77777777" w:rsidR="0014233E" w:rsidRDefault="00000000">
            <w:pPr>
              <w:spacing w:after="0" w:line="240" w:lineRule="auto"/>
            </w:pPr>
            <w:r>
              <w:rPr>
                <w:b/>
                <w:color w:val="17365D"/>
                <w:sz w:val="16"/>
              </w:rPr>
              <w:t>Can the first paid pilot remain Month 12?</w:t>
            </w:r>
          </w:p>
        </w:tc>
        <w:tc>
          <w:tcPr>
            <w:tcW w:w="3096" w:type="dxa"/>
            <w:shd w:val="clear" w:color="auto" w:fill="E2F0D9"/>
            <w:tcMar>
              <w:top w:w="100" w:type="dxa"/>
              <w:left w:w="110" w:type="dxa"/>
              <w:bottom w:w="100" w:type="dxa"/>
              <w:right w:w="110" w:type="dxa"/>
            </w:tcMar>
            <w:vAlign w:val="center"/>
          </w:tcPr>
          <w:p w14:paraId="559C6EC1" w14:textId="77777777" w:rsidR="0014233E" w:rsidRDefault="00000000">
            <w:pPr>
              <w:spacing w:after="0" w:line="240" w:lineRule="auto"/>
            </w:pPr>
            <w:r>
              <w:rPr>
                <w:sz w:val="16"/>
              </w:rPr>
              <w:t>Yes, provided the partner structure and production controls are completed.</w:t>
            </w:r>
          </w:p>
        </w:tc>
        <w:tc>
          <w:tcPr>
            <w:tcW w:w="4392" w:type="dxa"/>
            <w:shd w:val="clear" w:color="auto" w:fill="E2F0D9"/>
            <w:tcMar>
              <w:top w:w="100" w:type="dxa"/>
              <w:left w:w="110" w:type="dxa"/>
              <w:bottom w:w="100" w:type="dxa"/>
              <w:right w:w="110" w:type="dxa"/>
            </w:tcMar>
            <w:vAlign w:val="center"/>
          </w:tcPr>
          <w:p w14:paraId="6D51B728" w14:textId="77777777" w:rsidR="0014233E" w:rsidRDefault="00000000">
            <w:pPr>
              <w:spacing w:after="0" w:line="240" w:lineRule="auto"/>
            </w:pPr>
            <w:r>
              <w:rPr>
                <w:sz w:val="16"/>
              </w:rPr>
              <w:t>Retain Month 12 as the base pilot date.</w:t>
            </w:r>
          </w:p>
        </w:tc>
      </w:tr>
      <w:tr w:rsidR="0014233E" w14:paraId="2737560D" w14:textId="77777777">
        <w:trPr>
          <w:cantSplit/>
          <w:jc w:val="center"/>
        </w:trPr>
        <w:tc>
          <w:tcPr>
            <w:tcW w:w="2232" w:type="dxa"/>
            <w:shd w:val="clear" w:color="auto" w:fill="FFF2CC"/>
            <w:tcMar>
              <w:top w:w="100" w:type="dxa"/>
              <w:left w:w="110" w:type="dxa"/>
              <w:bottom w:w="100" w:type="dxa"/>
              <w:right w:w="110" w:type="dxa"/>
            </w:tcMar>
            <w:vAlign w:val="center"/>
          </w:tcPr>
          <w:p w14:paraId="7035CA99" w14:textId="77777777" w:rsidR="0014233E" w:rsidRDefault="00000000">
            <w:pPr>
              <w:spacing w:after="0" w:line="240" w:lineRule="auto"/>
            </w:pPr>
            <w:r>
              <w:rPr>
                <w:b/>
                <w:color w:val="17365D"/>
                <w:sz w:val="16"/>
              </w:rPr>
              <w:t>Can full VARA licensing be achieved by Month 12?</w:t>
            </w:r>
          </w:p>
        </w:tc>
        <w:tc>
          <w:tcPr>
            <w:tcW w:w="3096" w:type="dxa"/>
            <w:shd w:val="clear" w:color="auto" w:fill="FFF2CC"/>
            <w:tcMar>
              <w:top w:w="100" w:type="dxa"/>
              <w:left w:w="110" w:type="dxa"/>
              <w:bottom w:w="100" w:type="dxa"/>
              <w:right w:w="110" w:type="dxa"/>
            </w:tcMar>
            <w:vAlign w:val="center"/>
          </w:tcPr>
          <w:p w14:paraId="5AAA3A34" w14:textId="77777777" w:rsidR="0014233E" w:rsidRDefault="00000000">
            <w:pPr>
              <w:spacing w:after="0" w:line="240" w:lineRule="auto"/>
            </w:pPr>
            <w:r>
              <w:rPr>
                <w:sz w:val="16"/>
              </w:rPr>
              <w:t>Possible, but optimistic. VARA publishes a process, not a guaranteed approval period.</w:t>
            </w:r>
          </w:p>
        </w:tc>
        <w:tc>
          <w:tcPr>
            <w:tcW w:w="4392" w:type="dxa"/>
            <w:shd w:val="clear" w:color="auto" w:fill="FFF2CC"/>
            <w:tcMar>
              <w:top w:w="100" w:type="dxa"/>
              <w:left w:w="110" w:type="dxa"/>
              <w:bottom w:w="100" w:type="dxa"/>
              <w:right w:w="110" w:type="dxa"/>
            </w:tcMar>
            <w:vAlign w:val="center"/>
          </w:tcPr>
          <w:p w14:paraId="4F87C903" w14:textId="77777777" w:rsidR="0014233E" w:rsidRDefault="00000000">
            <w:pPr>
              <w:spacing w:after="0" w:line="240" w:lineRule="auto"/>
            </w:pPr>
            <w:r>
              <w:rPr>
                <w:sz w:val="16"/>
              </w:rPr>
              <w:t>Early case: M12; base: M18; delayed: M24.</w:t>
            </w:r>
          </w:p>
        </w:tc>
      </w:tr>
      <w:tr w:rsidR="0014233E" w14:paraId="57C3395F" w14:textId="77777777">
        <w:trPr>
          <w:cantSplit/>
          <w:jc w:val="center"/>
        </w:trPr>
        <w:tc>
          <w:tcPr>
            <w:tcW w:w="2232" w:type="dxa"/>
            <w:shd w:val="clear" w:color="auto" w:fill="FFF2CC"/>
            <w:tcMar>
              <w:top w:w="100" w:type="dxa"/>
              <w:left w:w="110" w:type="dxa"/>
              <w:bottom w:w="100" w:type="dxa"/>
              <w:right w:w="110" w:type="dxa"/>
            </w:tcMar>
            <w:vAlign w:val="center"/>
          </w:tcPr>
          <w:p w14:paraId="10ED0206" w14:textId="77777777" w:rsidR="0014233E" w:rsidRDefault="00000000">
            <w:pPr>
              <w:spacing w:after="0" w:line="240" w:lineRule="auto"/>
            </w:pPr>
            <w:r>
              <w:rPr>
                <w:b/>
                <w:color w:val="17365D"/>
                <w:sz w:val="16"/>
              </w:rPr>
              <w:t>Does a DIFC Innovation Licence authorise the pilot?</w:t>
            </w:r>
          </w:p>
        </w:tc>
        <w:tc>
          <w:tcPr>
            <w:tcW w:w="3096" w:type="dxa"/>
            <w:shd w:val="clear" w:color="auto" w:fill="FFF2CC"/>
            <w:tcMar>
              <w:top w:w="100" w:type="dxa"/>
              <w:left w:w="110" w:type="dxa"/>
              <w:bottom w:w="100" w:type="dxa"/>
              <w:right w:w="110" w:type="dxa"/>
            </w:tcMar>
            <w:vAlign w:val="center"/>
          </w:tcPr>
          <w:p w14:paraId="6F7356BA" w14:textId="77777777" w:rsidR="0014233E" w:rsidRDefault="00000000">
            <w:pPr>
              <w:spacing w:after="0" w:line="240" w:lineRule="auto"/>
            </w:pPr>
            <w:r>
              <w:rPr>
                <w:sz w:val="16"/>
              </w:rPr>
              <w:t>No. A commercial licence does not authorise regulated financial services.</w:t>
            </w:r>
          </w:p>
        </w:tc>
        <w:tc>
          <w:tcPr>
            <w:tcW w:w="4392" w:type="dxa"/>
            <w:shd w:val="clear" w:color="auto" w:fill="FFF2CC"/>
            <w:tcMar>
              <w:top w:w="100" w:type="dxa"/>
              <w:left w:w="110" w:type="dxa"/>
              <w:bottom w:w="100" w:type="dxa"/>
              <w:right w:w="110" w:type="dxa"/>
            </w:tcMar>
            <w:vAlign w:val="center"/>
          </w:tcPr>
          <w:p w14:paraId="36D30067" w14:textId="77777777" w:rsidR="0014233E" w:rsidRDefault="00000000">
            <w:pPr>
              <w:spacing w:after="0" w:line="240" w:lineRule="auto"/>
            </w:pPr>
            <w:r>
              <w:rPr>
                <w:sz w:val="16"/>
              </w:rPr>
              <w:t>The regulated partner must hold the relevant DFSA permissions; Blockmediary’s own status must be confirmed.</w:t>
            </w:r>
          </w:p>
        </w:tc>
      </w:tr>
      <w:tr w:rsidR="0014233E" w14:paraId="554D3139" w14:textId="77777777">
        <w:trPr>
          <w:cantSplit/>
          <w:jc w:val="center"/>
        </w:trPr>
        <w:tc>
          <w:tcPr>
            <w:tcW w:w="2232" w:type="dxa"/>
            <w:shd w:val="clear" w:color="auto" w:fill="FFF2CC"/>
            <w:tcMar>
              <w:top w:w="100" w:type="dxa"/>
              <w:left w:w="110" w:type="dxa"/>
              <w:bottom w:w="100" w:type="dxa"/>
              <w:right w:w="110" w:type="dxa"/>
            </w:tcMar>
            <w:vAlign w:val="center"/>
          </w:tcPr>
          <w:p w14:paraId="777CD610" w14:textId="77777777" w:rsidR="0014233E" w:rsidRDefault="00000000">
            <w:pPr>
              <w:spacing w:after="0" w:line="240" w:lineRule="auto"/>
            </w:pPr>
            <w:r>
              <w:rPr>
                <w:b/>
                <w:color w:val="17365D"/>
                <w:sz w:val="16"/>
              </w:rPr>
              <w:t>Which VARA permissions are required?</w:t>
            </w:r>
          </w:p>
        </w:tc>
        <w:tc>
          <w:tcPr>
            <w:tcW w:w="3096" w:type="dxa"/>
            <w:shd w:val="clear" w:color="auto" w:fill="FFF2CC"/>
            <w:tcMar>
              <w:top w:w="100" w:type="dxa"/>
              <w:left w:w="110" w:type="dxa"/>
              <w:bottom w:w="100" w:type="dxa"/>
              <w:right w:w="110" w:type="dxa"/>
            </w:tcMar>
            <w:vAlign w:val="center"/>
          </w:tcPr>
          <w:p w14:paraId="0B2D1AE1" w14:textId="77777777" w:rsidR="0014233E" w:rsidRDefault="00000000">
            <w:pPr>
              <w:spacing w:after="0" w:line="240" w:lineRule="auto"/>
            </w:pPr>
            <w:r>
              <w:rPr>
                <w:sz w:val="16"/>
              </w:rPr>
              <w:t>Transfer and Settlement is the closest apparent fit; Custody is control-dependent; Broker-Dealer is not established by the current facts.</w:t>
            </w:r>
          </w:p>
        </w:tc>
        <w:tc>
          <w:tcPr>
            <w:tcW w:w="4392" w:type="dxa"/>
            <w:shd w:val="clear" w:color="auto" w:fill="FFF2CC"/>
            <w:tcMar>
              <w:top w:w="100" w:type="dxa"/>
              <w:left w:w="110" w:type="dxa"/>
              <w:bottom w:w="100" w:type="dxa"/>
              <w:right w:w="110" w:type="dxa"/>
            </w:tcMar>
            <w:vAlign w:val="center"/>
          </w:tcPr>
          <w:p w14:paraId="5C6CCEFA" w14:textId="77777777" w:rsidR="0014233E" w:rsidRDefault="00000000">
            <w:pPr>
              <w:spacing w:after="0" w:line="240" w:lineRule="auto"/>
            </w:pPr>
            <w:r>
              <w:rPr>
                <w:sz w:val="16"/>
              </w:rPr>
              <w:t>Use activity-scope scenarios until a written perimeter opinion or regulator response is obtained.</w:t>
            </w:r>
          </w:p>
        </w:tc>
      </w:tr>
    </w:tbl>
    <w:p w14:paraId="0D6640D6" w14:textId="77777777" w:rsidR="0014233E" w:rsidRDefault="0014233E">
      <w:pPr>
        <w:spacing w:after="20"/>
      </w:pPr>
    </w:p>
    <w:tbl>
      <w:tblPr>
        <w:tblW w:w="0" w:type="auto"/>
        <w:jc w:val="center"/>
        <w:tblBorders>
          <w:top w:val="single" w:sz="8" w:space="0" w:color="70AD47"/>
          <w:left w:val="single" w:sz="8" w:space="0" w:color="70AD47"/>
          <w:bottom w:val="single" w:sz="8" w:space="0" w:color="70AD47"/>
          <w:right w:val="single" w:sz="8" w:space="0" w:color="70AD47"/>
        </w:tblBorders>
        <w:tblLayout w:type="fixed"/>
        <w:tblLook w:val="04A0" w:firstRow="1" w:lastRow="0" w:firstColumn="1" w:lastColumn="0" w:noHBand="0" w:noVBand="1"/>
      </w:tblPr>
      <w:tblGrid>
        <w:gridCol w:w="9864"/>
      </w:tblGrid>
      <w:tr w:rsidR="0014233E" w14:paraId="77157CB2" w14:textId="77777777">
        <w:trPr>
          <w:jc w:val="center"/>
        </w:trPr>
        <w:tc>
          <w:tcPr>
            <w:tcW w:w="9864" w:type="dxa"/>
            <w:shd w:val="clear" w:color="auto" w:fill="E2F0D9"/>
            <w:tcMar>
              <w:top w:w="150" w:type="dxa"/>
              <w:left w:w="180" w:type="dxa"/>
              <w:bottom w:w="150" w:type="dxa"/>
              <w:right w:w="180" w:type="dxa"/>
            </w:tcMar>
          </w:tcPr>
          <w:p w14:paraId="26D1FF27" w14:textId="77777777" w:rsidR="0014233E" w:rsidRDefault="00000000">
            <w:pPr>
              <w:spacing w:after="60"/>
            </w:pPr>
            <w:r>
              <w:rPr>
                <w:rFonts w:ascii="Aptos Display" w:hAnsi="Aptos Display"/>
                <w:b/>
                <w:color w:val="17365D"/>
                <w:sz w:val="22"/>
              </w:rPr>
              <w:t>Base-case recommendation</w:t>
            </w:r>
          </w:p>
          <w:p w14:paraId="6136317D" w14:textId="77777777" w:rsidR="0014233E" w:rsidRDefault="00000000">
            <w:pPr>
              <w:spacing w:after="0"/>
            </w:pPr>
            <w:r>
              <w:rPr>
                <w:sz w:val="19"/>
              </w:rPr>
              <w:t>Use Month 18 as the expected full VARA licence date. Month 12 should be retained as a credible early case only where the activity scope is resolved quickly, the applicant entity and two Responsible Individuals are in place, the full submission is made early, and the regulator requires limited remediation. VARA Approval to Incorporate or in-principle approval must not be counted as permission to serve customers. [9][10]</w:t>
            </w:r>
          </w:p>
        </w:tc>
      </w:tr>
    </w:tbl>
    <w:p w14:paraId="0E5DB546" w14:textId="77777777" w:rsidR="0014233E" w:rsidRDefault="0014233E">
      <w:pPr>
        <w:spacing w:after="20"/>
      </w:pPr>
    </w:p>
    <w:p w14:paraId="3BFFF49A" w14:textId="77777777" w:rsidR="0014233E" w:rsidRDefault="00000000">
      <w:pPr>
        <w:keepLines/>
      </w:pPr>
      <w:r>
        <w:t>The main constraint is not the age of the business. It is the unresolved regulatory perimeter: whether Blockmediary’s smart-contract and server-side release controls amount to custody, transfer and settlement, or a technology service supporting a licensed principal. The answer determines entity structure, capital, fees, safeguarding and the design of the pilot.</w:t>
      </w:r>
    </w:p>
    <w:p w14:paraId="65579E4C" w14:textId="77777777" w:rsidR="0014233E" w:rsidRDefault="00000000">
      <w:pPr>
        <w:pStyle w:val="Heading1"/>
      </w:pPr>
      <w:r>
        <w:lastRenderedPageBreak/>
        <w:t>2. Blockmediary’s regulatory boundary</w:t>
      </w:r>
    </w:p>
    <w:p w14:paraId="6D60A817" w14:textId="77777777" w:rsidR="0014233E" w:rsidRDefault="00000000">
      <w:pPr>
        <w:keepLines/>
      </w:pPr>
      <w:r>
        <w:t>The Blockmediary BRD defines a prefunded documentary escrow. A buyer sends stablecoin directly to a smart contract; Blockmediary verifies trade documents off-chain; an authorised server-side function submits the release decision on-chain. Blockmediary does not lend, provide working capital, guarantee the goods, or route customer funds through an ordinary Blockmediary wallet. The delivered prototype is testnet-based and uses a deterministic document-rules engine. Production KYB/sanctions screening, legal agreements, human-review operations and partner API hardening remain roadmap items. [1]</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944"/>
        <w:gridCol w:w="3888"/>
        <w:gridCol w:w="3888"/>
      </w:tblGrid>
      <w:tr w:rsidR="0014233E" w14:paraId="58D12D9C" w14:textId="77777777">
        <w:trPr>
          <w:cantSplit/>
          <w:tblHeader/>
          <w:jc w:val="center"/>
        </w:trPr>
        <w:tc>
          <w:tcPr>
            <w:tcW w:w="1944" w:type="dxa"/>
            <w:shd w:val="clear" w:color="auto" w:fill="17365D"/>
            <w:tcMar>
              <w:top w:w="100" w:type="dxa"/>
              <w:left w:w="110" w:type="dxa"/>
              <w:bottom w:w="100" w:type="dxa"/>
              <w:right w:w="110" w:type="dxa"/>
            </w:tcMar>
            <w:vAlign w:val="center"/>
          </w:tcPr>
          <w:p w14:paraId="301D7C6F" w14:textId="77777777" w:rsidR="0014233E" w:rsidRDefault="00000000">
            <w:pPr>
              <w:spacing w:after="0" w:line="240" w:lineRule="auto"/>
              <w:jc w:val="center"/>
            </w:pPr>
            <w:r>
              <w:rPr>
                <w:b/>
                <w:color w:val="FFFFFF"/>
                <w:sz w:val="16"/>
              </w:rPr>
              <w:t>Design feature</w:t>
            </w:r>
          </w:p>
        </w:tc>
        <w:tc>
          <w:tcPr>
            <w:tcW w:w="3888" w:type="dxa"/>
            <w:shd w:val="clear" w:color="auto" w:fill="17365D"/>
            <w:tcMar>
              <w:top w:w="100" w:type="dxa"/>
              <w:left w:w="110" w:type="dxa"/>
              <w:bottom w:w="100" w:type="dxa"/>
              <w:right w:w="110" w:type="dxa"/>
            </w:tcMar>
            <w:vAlign w:val="center"/>
          </w:tcPr>
          <w:p w14:paraId="763B6E63" w14:textId="77777777" w:rsidR="0014233E" w:rsidRDefault="00000000">
            <w:pPr>
              <w:spacing w:after="0" w:line="240" w:lineRule="auto"/>
              <w:jc w:val="center"/>
            </w:pPr>
            <w:r>
              <w:rPr>
                <w:b/>
                <w:color w:val="FFFFFF"/>
                <w:sz w:val="16"/>
              </w:rPr>
              <w:t>Regulatory relevance</w:t>
            </w:r>
          </w:p>
        </w:tc>
        <w:tc>
          <w:tcPr>
            <w:tcW w:w="3888" w:type="dxa"/>
            <w:shd w:val="clear" w:color="auto" w:fill="17365D"/>
            <w:tcMar>
              <w:top w:w="100" w:type="dxa"/>
              <w:left w:w="110" w:type="dxa"/>
              <w:bottom w:w="100" w:type="dxa"/>
              <w:right w:w="110" w:type="dxa"/>
            </w:tcMar>
            <w:vAlign w:val="center"/>
          </w:tcPr>
          <w:p w14:paraId="6106B16B" w14:textId="77777777" w:rsidR="0014233E" w:rsidRDefault="00000000">
            <w:pPr>
              <w:spacing w:after="0" w:line="240" w:lineRule="auto"/>
              <w:jc w:val="center"/>
            </w:pPr>
            <w:r>
              <w:rPr>
                <w:b/>
                <w:color w:val="FFFFFF"/>
                <w:sz w:val="16"/>
              </w:rPr>
              <w:t>Current interpretation</w:t>
            </w:r>
          </w:p>
        </w:tc>
      </w:tr>
      <w:tr w:rsidR="0014233E" w14:paraId="7579CDD2" w14:textId="77777777">
        <w:trPr>
          <w:cantSplit/>
          <w:jc w:val="center"/>
        </w:trPr>
        <w:tc>
          <w:tcPr>
            <w:tcW w:w="1944" w:type="dxa"/>
            <w:tcMar>
              <w:top w:w="100" w:type="dxa"/>
              <w:left w:w="110" w:type="dxa"/>
              <w:bottom w:w="100" w:type="dxa"/>
              <w:right w:w="110" w:type="dxa"/>
            </w:tcMar>
            <w:vAlign w:val="center"/>
          </w:tcPr>
          <w:p w14:paraId="6BCFAE68" w14:textId="77777777" w:rsidR="0014233E" w:rsidRDefault="00000000">
            <w:pPr>
              <w:spacing w:after="0" w:line="240" w:lineRule="auto"/>
            </w:pPr>
            <w:r>
              <w:rPr>
                <w:b/>
                <w:color w:val="17365D"/>
                <w:sz w:val="16"/>
              </w:rPr>
              <w:t>Direct smart-contract escrow</w:t>
            </w:r>
          </w:p>
        </w:tc>
        <w:tc>
          <w:tcPr>
            <w:tcW w:w="3888" w:type="dxa"/>
            <w:tcMar>
              <w:top w:w="100" w:type="dxa"/>
              <w:left w:w="110" w:type="dxa"/>
              <w:bottom w:w="100" w:type="dxa"/>
              <w:right w:w="110" w:type="dxa"/>
            </w:tcMar>
            <w:vAlign w:val="center"/>
          </w:tcPr>
          <w:p w14:paraId="1962CBD6" w14:textId="77777777" w:rsidR="0014233E" w:rsidRDefault="00000000">
            <w:pPr>
              <w:spacing w:after="0" w:line="240" w:lineRule="auto"/>
            </w:pPr>
            <w:r>
              <w:rPr>
                <w:sz w:val="16"/>
              </w:rPr>
              <w:t>Removing an ordinary platform wallet reduces one custody indicator, but does not by itself remove custody or settlement risk.</w:t>
            </w:r>
          </w:p>
        </w:tc>
        <w:tc>
          <w:tcPr>
            <w:tcW w:w="3888" w:type="dxa"/>
            <w:tcMar>
              <w:top w:w="100" w:type="dxa"/>
              <w:left w:w="110" w:type="dxa"/>
              <w:bottom w:w="100" w:type="dxa"/>
              <w:right w:w="110" w:type="dxa"/>
            </w:tcMar>
            <w:vAlign w:val="center"/>
          </w:tcPr>
          <w:p w14:paraId="7E32948C" w14:textId="77777777" w:rsidR="0014233E" w:rsidRDefault="00000000">
            <w:pPr>
              <w:spacing w:after="0" w:line="240" w:lineRule="auto"/>
            </w:pPr>
            <w:r>
              <w:rPr>
                <w:sz w:val="16"/>
              </w:rPr>
              <w:t>Functional control over contract administration, release keys, upgrades and recovery must be analysed.</w:t>
            </w:r>
          </w:p>
        </w:tc>
      </w:tr>
      <w:tr w:rsidR="0014233E" w14:paraId="76A4E057" w14:textId="77777777">
        <w:trPr>
          <w:cantSplit/>
          <w:jc w:val="center"/>
        </w:trPr>
        <w:tc>
          <w:tcPr>
            <w:tcW w:w="1944" w:type="dxa"/>
            <w:tcMar>
              <w:top w:w="100" w:type="dxa"/>
              <w:left w:w="110" w:type="dxa"/>
              <w:bottom w:w="100" w:type="dxa"/>
              <w:right w:w="110" w:type="dxa"/>
            </w:tcMar>
            <w:vAlign w:val="center"/>
          </w:tcPr>
          <w:p w14:paraId="5CD9E101" w14:textId="77777777" w:rsidR="0014233E" w:rsidRDefault="00000000">
            <w:pPr>
              <w:spacing w:after="0" w:line="240" w:lineRule="auto"/>
            </w:pPr>
            <w:r>
              <w:rPr>
                <w:b/>
                <w:color w:val="17365D"/>
                <w:sz w:val="16"/>
              </w:rPr>
              <w:t>Server-side release key</w:t>
            </w:r>
          </w:p>
        </w:tc>
        <w:tc>
          <w:tcPr>
            <w:tcW w:w="3888" w:type="dxa"/>
            <w:tcMar>
              <w:top w:w="100" w:type="dxa"/>
              <w:left w:w="110" w:type="dxa"/>
              <w:bottom w:w="100" w:type="dxa"/>
              <w:right w:w="110" w:type="dxa"/>
            </w:tcMar>
            <w:vAlign w:val="center"/>
          </w:tcPr>
          <w:p w14:paraId="2D99DCF9" w14:textId="77777777" w:rsidR="0014233E" w:rsidRDefault="00000000">
            <w:pPr>
              <w:spacing w:after="0" w:line="240" w:lineRule="auto"/>
            </w:pPr>
            <w:r>
              <w:rPr>
                <w:sz w:val="16"/>
              </w:rPr>
              <w:t>Blockmediary can determine when funds move after document review.</w:t>
            </w:r>
          </w:p>
        </w:tc>
        <w:tc>
          <w:tcPr>
            <w:tcW w:w="3888" w:type="dxa"/>
            <w:tcMar>
              <w:top w:w="100" w:type="dxa"/>
              <w:left w:w="110" w:type="dxa"/>
              <w:bottom w:w="100" w:type="dxa"/>
              <w:right w:w="110" w:type="dxa"/>
            </w:tcMar>
            <w:vAlign w:val="center"/>
          </w:tcPr>
          <w:p w14:paraId="02BF0EBB" w14:textId="77777777" w:rsidR="0014233E" w:rsidRDefault="00000000">
            <w:pPr>
              <w:spacing w:after="0" w:line="240" w:lineRule="auto"/>
            </w:pPr>
            <w:r>
              <w:rPr>
                <w:sz w:val="16"/>
              </w:rPr>
              <w:t>Material indicator of operational control; requires separation of duties, secure key management and legal classification.</w:t>
            </w:r>
          </w:p>
        </w:tc>
      </w:tr>
      <w:tr w:rsidR="0014233E" w14:paraId="4CAA6A23" w14:textId="77777777">
        <w:trPr>
          <w:cantSplit/>
          <w:jc w:val="center"/>
        </w:trPr>
        <w:tc>
          <w:tcPr>
            <w:tcW w:w="1944" w:type="dxa"/>
            <w:tcMar>
              <w:top w:w="100" w:type="dxa"/>
              <w:left w:w="110" w:type="dxa"/>
              <w:bottom w:w="100" w:type="dxa"/>
              <w:right w:w="110" w:type="dxa"/>
            </w:tcMar>
            <w:vAlign w:val="center"/>
          </w:tcPr>
          <w:p w14:paraId="2E3F6398" w14:textId="77777777" w:rsidR="0014233E" w:rsidRDefault="00000000">
            <w:pPr>
              <w:spacing w:after="0" w:line="240" w:lineRule="auto"/>
            </w:pPr>
            <w:r>
              <w:rPr>
                <w:b/>
                <w:color w:val="17365D"/>
                <w:sz w:val="16"/>
              </w:rPr>
              <w:t>Document verification</w:t>
            </w:r>
          </w:p>
        </w:tc>
        <w:tc>
          <w:tcPr>
            <w:tcW w:w="3888" w:type="dxa"/>
            <w:tcMar>
              <w:top w:w="100" w:type="dxa"/>
              <w:left w:w="110" w:type="dxa"/>
              <w:bottom w:w="100" w:type="dxa"/>
              <w:right w:w="110" w:type="dxa"/>
            </w:tcMar>
            <w:vAlign w:val="center"/>
          </w:tcPr>
          <w:p w14:paraId="50DC7DAF" w14:textId="77777777" w:rsidR="0014233E" w:rsidRDefault="00000000">
            <w:pPr>
              <w:spacing w:after="0" w:line="240" w:lineRule="auto"/>
            </w:pPr>
            <w:r>
              <w:rPr>
                <w:sz w:val="16"/>
              </w:rPr>
              <w:t>The core service is documentary conformity, not goods inspection or lending.</w:t>
            </w:r>
          </w:p>
        </w:tc>
        <w:tc>
          <w:tcPr>
            <w:tcW w:w="3888" w:type="dxa"/>
            <w:tcMar>
              <w:top w:w="100" w:type="dxa"/>
              <w:left w:w="110" w:type="dxa"/>
              <w:bottom w:w="100" w:type="dxa"/>
              <w:right w:w="110" w:type="dxa"/>
            </w:tcMar>
            <w:vAlign w:val="center"/>
          </w:tcPr>
          <w:p w14:paraId="35CE76A5" w14:textId="77777777" w:rsidR="0014233E" w:rsidRDefault="00000000">
            <w:pPr>
              <w:spacing w:after="0" w:line="240" w:lineRule="auto"/>
            </w:pPr>
            <w:r>
              <w:rPr>
                <w:sz w:val="16"/>
              </w:rPr>
              <w:t>Supports a narrower technology/operational role, especially in the partner pilot.</w:t>
            </w:r>
          </w:p>
        </w:tc>
      </w:tr>
      <w:tr w:rsidR="0014233E" w14:paraId="042CDB58" w14:textId="77777777">
        <w:trPr>
          <w:cantSplit/>
          <w:jc w:val="center"/>
        </w:trPr>
        <w:tc>
          <w:tcPr>
            <w:tcW w:w="1944" w:type="dxa"/>
            <w:tcMar>
              <w:top w:w="100" w:type="dxa"/>
              <w:left w:w="110" w:type="dxa"/>
              <w:bottom w:w="100" w:type="dxa"/>
              <w:right w:w="110" w:type="dxa"/>
            </w:tcMar>
            <w:vAlign w:val="center"/>
          </w:tcPr>
          <w:p w14:paraId="40B6A485" w14:textId="77777777" w:rsidR="0014233E" w:rsidRDefault="00000000">
            <w:pPr>
              <w:spacing w:after="0" w:line="240" w:lineRule="auto"/>
            </w:pPr>
            <w:r>
              <w:rPr>
                <w:b/>
                <w:color w:val="17365D"/>
                <w:sz w:val="16"/>
              </w:rPr>
              <w:t>USDC/EURC settlement</w:t>
            </w:r>
          </w:p>
        </w:tc>
        <w:tc>
          <w:tcPr>
            <w:tcW w:w="3888" w:type="dxa"/>
            <w:tcMar>
              <w:top w:w="100" w:type="dxa"/>
              <w:left w:w="110" w:type="dxa"/>
              <w:bottom w:w="100" w:type="dxa"/>
              <w:right w:w="110" w:type="dxa"/>
            </w:tcMar>
            <w:vAlign w:val="center"/>
          </w:tcPr>
          <w:p w14:paraId="39D25A0F" w14:textId="77777777" w:rsidR="0014233E" w:rsidRDefault="00000000">
            <w:pPr>
              <w:spacing w:after="0" w:line="240" w:lineRule="auto"/>
            </w:pPr>
            <w:r>
              <w:rPr>
                <w:sz w:val="16"/>
              </w:rPr>
              <w:t>Use of a token does not alone define the DFSA financial service; the underlying activity matters. Mainland payment-token restrictions can still apply. [7][18][19]</w:t>
            </w:r>
          </w:p>
        </w:tc>
        <w:tc>
          <w:tcPr>
            <w:tcW w:w="3888" w:type="dxa"/>
            <w:tcMar>
              <w:top w:w="100" w:type="dxa"/>
              <w:left w:w="110" w:type="dxa"/>
              <w:bottom w:w="100" w:type="dxa"/>
              <w:right w:w="110" w:type="dxa"/>
            </w:tcMar>
            <w:vAlign w:val="center"/>
          </w:tcPr>
          <w:p w14:paraId="55D5BFD3" w14:textId="77777777" w:rsidR="0014233E" w:rsidRDefault="00000000">
            <w:pPr>
              <w:spacing w:after="0" w:line="240" w:lineRule="auto"/>
            </w:pPr>
            <w:r>
              <w:rPr>
                <w:sz w:val="16"/>
              </w:rPr>
              <w:t>Token, customer location and payment purpose must be confirmed before live launch.</w:t>
            </w:r>
          </w:p>
        </w:tc>
      </w:tr>
      <w:tr w:rsidR="0014233E" w14:paraId="06C183D5" w14:textId="77777777">
        <w:trPr>
          <w:cantSplit/>
          <w:jc w:val="center"/>
        </w:trPr>
        <w:tc>
          <w:tcPr>
            <w:tcW w:w="1944" w:type="dxa"/>
            <w:tcMar>
              <w:top w:w="100" w:type="dxa"/>
              <w:left w:w="110" w:type="dxa"/>
              <w:bottom w:w="100" w:type="dxa"/>
              <w:right w:w="110" w:type="dxa"/>
            </w:tcMar>
            <w:vAlign w:val="center"/>
          </w:tcPr>
          <w:p w14:paraId="47E782B4" w14:textId="77777777" w:rsidR="0014233E" w:rsidRDefault="00000000">
            <w:pPr>
              <w:spacing w:after="0" w:line="240" w:lineRule="auto"/>
            </w:pPr>
            <w:r>
              <w:rPr>
                <w:b/>
                <w:color w:val="17365D"/>
                <w:sz w:val="16"/>
              </w:rPr>
              <w:t>No financing spread</w:t>
            </w:r>
          </w:p>
        </w:tc>
        <w:tc>
          <w:tcPr>
            <w:tcW w:w="3888" w:type="dxa"/>
            <w:tcMar>
              <w:top w:w="100" w:type="dxa"/>
              <w:left w:w="110" w:type="dxa"/>
              <w:bottom w:w="100" w:type="dxa"/>
              <w:right w:w="110" w:type="dxa"/>
            </w:tcMar>
            <w:vAlign w:val="center"/>
          </w:tcPr>
          <w:p w14:paraId="178E1506" w14:textId="77777777" w:rsidR="0014233E" w:rsidRDefault="00000000">
            <w:pPr>
              <w:spacing w:after="0" w:line="240" w:lineRule="auto"/>
            </w:pPr>
            <w:r>
              <w:rPr>
                <w:sz w:val="16"/>
              </w:rPr>
              <w:t>The product is prefunded escrow rather than credit intermediation.</w:t>
            </w:r>
          </w:p>
        </w:tc>
        <w:tc>
          <w:tcPr>
            <w:tcW w:w="3888" w:type="dxa"/>
            <w:tcMar>
              <w:top w:w="100" w:type="dxa"/>
              <w:left w:w="110" w:type="dxa"/>
              <w:bottom w:w="100" w:type="dxa"/>
              <w:right w:w="110" w:type="dxa"/>
            </w:tcMar>
            <w:vAlign w:val="center"/>
          </w:tcPr>
          <w:p w14:paraId="40C954A8" w14:textId="77777777" w:rsidR="0014233E" w:rsidRDefault="00000000">
            <w:pPr>
              <w:spacing w:after="0" w:line="240" w:lineRule="auto"/>
            </w:pPr>
            <w:r>
              <w:rPr>
                <w:sz w:val="16"/>
              </w:rPr>
              <w:t>Avoids a lending model but does not remove custody, transfer, AML or payment-token questions.</w:t>
            </w:r>
          </w:p>
        </w:tc>
      </w:tr>
    </w:tbl>
    <w:p w14:paraId="48EB2AD7" w14:textId="77777777" w:rsidR="0014233E" w:rsidRDefault="0014233E">
      <w:pPr>
        <w:spacing w:after="20"/>
      </w:pPr>
    </w:p>
    <w:tbl>
      <w:tblPr>
        <w:tblW w:w="0" w:type="auto"/>
        <w:jc w:val="center"/>
        <w:tblBorders>
          <w:top w:val="single" w:sz="8" w:space="0" w:color="BF9000"/>
          <w:left w:val="single" w:sz="8" w:space="0" w:color="BF9000"/>
          <w:bottom w:val="single" w:sz="8" w:space="0" w:color="BF9000"/>
          <w:right w:val="single" w:sz="8" w:space="0" w:color="BF9000"/>
        </w:tblBorders>
        <w:tblLayout w:type="fixed"/>
        <w:tblLook w:val="04A0" w:firstRow="1" w:lastRow="0" w:firstColumn="1" w:lastColumn="0" w:noHBand="0" w:noVBand="1"/>
      </w:tblPr>
      <w:tblGrid>
        <w:gridCol w:w="9864"/>
      </w:tblGrid>
      <w:tr w:rsidR="0014233E" w14:paraId="47875312" w14:textId="77777777">
        <w:trPr>
          <w:jc w:val="center"/>
        </w:trPr>
        <w:tc>
          <w:tcPr>
            <w:tcW w:w="9864" w:type="dxa"/>
            <w:shd w:val="clear" w:color="auto" w:fill="FFF2CC"/>
            <w:tcMar>
              <w:top w:w="150" w:type="dxa"/>
              <w:left w:w="180" w:type="dxa"/>
              <w:bottom w:w="150" w:type="dxa"/>
              <w:right w:w="180" w:type="dxa"/>
            </w:tcMar>
          </w:tcPr>
          <w:p w14:paraId="00D7573F" w14:textId="77777777" w:rsidR="0014233E" w:rsidRDefault="00000000">
            <w:pPr>
              <w:spacing w:after="60"/>
            </w:pPr>
            <w:r>
              <w:rPr>
                <w:rFonts w:ascii="Aptos Display" w:hAnsi="Aptos Display"/>
                <w:b/>
                <w:color w:val="17365D"/>
                <w:sz w:val="22"/>
              </w:rPr>
              <w:t>Important interpretation</w:t>
            </w:r>
          </w:p>
          <w:p w14:paraId="603AB6E5" w14:textId="77777777" w:rsidR="0014233E" w:rsidRDefault="00000000">
            <w:pPr>
              <w:spacing w:after="0"/>
            </w:pPr>
            <w:r>
              <w:rPr>
                <w:sz w:val="19"/>
              </w:rPr>
              <w:t>“The smart contract holds the assets” is a technical description, not a complete regulatory conclusion. Regulators generally examine who can cause, prevent, reverse, upgrade or recover transfers and who bears responsibility to the client. Blockmediary should not describe itself as definitively non-custodial until that control analysis is documented.</w:t>
            </w:r>
          </w:p>
        </w:tc>
      </w:tr>
    </w:tbl>
    <w:p w14:paraId="2D8AC3B7" w14:textId="77777777" w:rsidR="0014233E" w:rsidRDefault="0014233E">
      <w:pPr>
        <w:spacing w:after="20"/>
      </w:pPr>
    </w:p>
    <w:p w14:paraId="3F8305B8" w14:textId="77777777" w:rsidR="0014233E" w:rsidRDefault="00000000">
      <w:pPr>
        <w:pStyle w:val="Heading1"/>
      </w:pPr>
      <w:r>
        <w:t>3. Track A — DIFC partner-led pilot</w:t>
      </w:r>
    </w:p>
    <w:p w14:paraId="207F2D33" w14:textId="77777777" w:rsidR="0014233E" w:rsidRDefault="00000000">
      <w:pPr>
        <w:pStyle w:val="Heading2"/>
      </w:pPr>
      <w:r>
        <w:t>3.1 What the route is</w:t>
      </w:r>
    </w:p>
    <w:p w14:paraId="49F5D0B3" w14:textId="77777777" w:rsidR="0014233E" w:rsidRDefault="00000000">
      <w:pPr>
        <w:keepLines/>
      </w:pPr>
      <w:r>
        <w:t>A “DIFC partner-led pilot” is not a named DFSA licence category. It is a proposed operating arrangement in which a DFSA-authorised firm acts as the regulated principal and Blockmediary supplies technology, document-verification and workflow services. Firms conducting financial services in or from DIFC require DFSA authorisation, and a DIFC Commercial or Innovation Licence does not itself permit regulated financial services. [3][4][5]</w:t>
      </w:r>
    </w:p>
    <w:p w14:paraId="76542E54" w14:textId="77777777" w:rsidR="0014233E" w:rsidRDefault="00000000">
      <w:pPr>
        <w:keepLines/>
      </w:pPr>
      <w:r>
        <w:t>Under DFSA outsourcing rules, an authorised firm remains responsible for outsourced functions, must conduct due diligence and supervise the provider, and—where the arrangement is material—must notify the DFSA, maintain written outsourcing and contingency arrangements, and preserve regulatory access. [6] This makes the partner agreement and responsibility matrix the central regulatory instrument for the pilot.</w:t>
      </w:r>
    </w:p>
    <w:p w14:paraId="16823B6A" w14:textId="77777777" w:rsidR="0014233E" w:rsidRDefault="00000000">
      <w:pPr>
        <w:pStyle w:val="Heading2"/>
      </w:pPr>
      <w:r>
        <w:t>3.2 Minimum requirements for the pilot</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044"/>
        <w:gridCol w:w="1440"/>
        <w:gridCol w:w="4536"/>
        <w:gridCol w:w="1699"/>
      </w:tblGrid>
      <w:tr w:rsidR="0014233E" w14:paraId="6D1DBBF5" w14:textId="77777777">
        <w:trPr>
          <w:cantSplit/>
          <w:tblHeader/>
          <w:jc w:val="center"/>
        </w:trPr>
        <w:tc>
          <w:tcPr>
            <w:tcW w:w="2044" w:type="dxa"/>
            <w:shd w:val="clear" w:color="auto" w:fill="17365D"/>
            <w:tcMar>
              <w:top w:w="100" w:type="dxa"/>
              <w:left w:w="110" w:type="dxa"/>
              <w:bottom w:w="100" w:type="dxa"/>
              <w:right w:w="110" w:type="dxa"/>
            </w:tcMar>
            <w:vAlign w:val="center"/>
          </w:tcPr>
          <w:p w14:paraId="1D2DFE64" w14:textId="77777777" w:rsidR="0014233E" w:rsidRDefault="00000000">
            <w:pPr>
              <w:spacing w:after="0" w:line="240" w:lineRule="auto"/>
              <w:jc w:val="center"/>
            </w:pPr>
            <w:r>
              <w:rPr>
                <w:b/>
                <w:color w:val="FFFFFF"/>
                <w:sz w:val="15"/>
              </w:rPr>
              <w:t>Requirement</w:t>
            </w:r>
          </w:p>
        </w:tc>
        <w:tc>
          <w:tcPr>
            <w:tcW w:w="1440" w:type="dxa"/>
            <w:shd w:val="clear" w:color="auto" w:fill="17365D"/>
            <w:tcMar>
              <w:top w:w="100" w:type="dxa"/>
              <w:left w:w="110" w:type="dxa"/>
              <w:bottom w:w="100" w:type="dxa"/>
              <w:right w:w="110" w:type="dxa"/>
            </w:tcMar>
            <w:vAlign w:val="center"/>
          </w:tcPr>
          <w:p w14:paraId="0885149A" w14:textId="77777777" w:rsidR="0014233E" w:rsidRDefault="00000000">
            <w:pPr>
              <w:spacing w:after="0" w:line="240" w:lineRule="auto"/>
              <w:jc w:val="center"/>
            </w:pPr>
            <w:r>
              <w:rPr>
                <w:b/>
                <w:color w:val="FFFFFF"/>
                <w:sz w:val="15"/>
              </w:rPr>
              <w:t>Primary owner</w:t>
            </w:r>
          </w:p>
        </w:tc>
        <w:tc>
          <w:tcPr>
            <w:tcW w:w="4536" w:type="dxa"/>
            <w:shd w:val="clear" w:color="auto" w:fill="17365D"/>
            <w:tcMar>
              <w:top w:w="100" w:type="dxa"/>
              <w:left w:w="110" w:type="dxa"/>
              <w:bottom w:w="100" w:type="dxa"/>
              <w:right w:w="110" w:type="dxa"/>
            </w:tcMar>
            <w:vAlign w:val="center"/>
          </w:tcPr>
          <w:p w14:paraId="74741C5A" w14:textId="77777777" w:rsidR="0014233E" w:rsidRDefault="00000000">
            <w:pPr>
              <w:spacing w:after="0" w:line="240" w:lineRule="auto"/>
              <w:jc w:val="center"/>
            </w:pPr>
            <w:r>
              <w:rPr>
                <w:b/>
                <w:color w:val="FFFFFF"/>
                <w:sz w:val="15"/>
              </w:rPr>
              <w:t>Blockmediary application</w:t>
            </w:r>
          </w:p>
        </w:tc>
        <w:tc>
          <w:tcPr>
            <w:tcW w:w="1699" w:type="dxa"/>
            <w:shd w:val="clear" w:color="auto" w:fill="17365D"/>
            <w:tcMar>
              <w:top w:w="100" w:type="dxa"/>
              <w:left w:w="110" w:type="dxa"/>
              <w:bottom w:w="100" w:type="dxa"/>
              <w:right w:w="110" w:type="dxa"/>
            </w:tcMar>
            <w:vAlign w:val="center"/>
          </w:tcPr>
          <w:p w14:paraId="2570A2AE" w14:textId="77777777" w:rsidR="0014233E" w:rsidRDefault="00000000">
            <w:pPr>
              <w:spacing w:after="0" w:line="240" w:lineRule="auto"/>
              <w:jc w:val="center"/>
            </w:pPr>
            <w:r>
              <w:rPr>
                <w:b/>
                <w:color w:val="FFFFFF"/>
                <w:sz w:val="15"/>
              </w:rPr>
              <w:t>Launch status</w:t>
            </w:r>
          </w:p>
        </w:tc>
      </w:tr>
      <w:tr w:rsidR="0014233E" w14:paraId="036AC5E9" w14:textId="77777777">
        <w:trPr>
          <w:cantSplit/>
          <w:jc w:val="center"/>
        </w:trPr>
        <w:tc>
          <w:tcPr>
            <w:tcW w:w="2044" w:type="dxa"/>
            <w:shd w:val="clear" w:color="auto" w:fill="FFF2CC"/>
            <w:tcMar>
              <w:top w:w="100" w:type="dxa"/>
              <w:left w:w="110" w:type="dxa"/>
              <w:bottom w:w="100" w:type="dxa"/>
              <w:right w:w="110" w:type="dxa"/>
            </w:tcMar>
            <w:vAlign w:val="center"/>
          </w:tcPr>
          <w:p w14:paraId="28C0A289" w14:textId="77777777" w:rsidR="0014233E" w:rsidRDefault="00000000">
            <w:pPr>
              <w:spacing w:after="0" w:line="240" w:lineRule="auto"/>
            </w:pPr>
            <w:r>
              <w:rPr>
                <w:b/>
                <w:color w:val="17365D"/>
                <w:sz w:val="15"/>
              </w:rPr>
              <w:lastRenderedPageBreak/>
              <w:t>Written regulatory-perimeter opinion</w:t>
            </w:r>
          </w:p>
        </w:tc>
        <w:tc>
          <w:tcPr>
            <w:tcW w:w="1440" w:type="dxa"/>
            <w:shd w:val="clear" w:color="auto" w:fill="FFF2CC"/>
            <w:tcMar>
              <w:top w:w="100" w:type="dxa"/>
              <w:left w:w="110" w:type="dxa"/>
              <w:bottom w:w="100" w:type="dxa"/>
              <w:right w:w="110" w:type="dxa"/>
            </w:tcMar>
            <w:vAlign w:val="center"/>
          </w:tcPr>
          <w:p w14:paraId="0128376B" w14:textId="77777777" w:rsidR="0014233E" w:rsidRDefault="00000000">
            <w:pPr>
              <w:spacing w:after="0" w:line="240" w:lineRule="auto"/>
            </w:pPr>
            <w:r>
              <w:rPr>
                <w:sz w:val="15"/>
              </w:rPr>
              <w:t>Shared</w:t>
            </w:r>
          </w:p>
        </w:tc>
        <w:tc>
          <w:tcPr>
            <w:tcW w:w="4536" w:type="dxa"/>
            <w:shd w:val="clear" w:color="auto" w:fill="FFF2CC"/>
            <w:tcMar>
              <w:top w:w="100" w:type="dxa"/>
              <w:left w:w="110" w:type="dxa"/>
              <w:bottom w:w="100" w:type="dxa"/>
              <w:right w:w="110" w:type="dxa"/>
            </w:tcMar>
            <w:vAlign w:val="center"/>
          </w:tcPr>
          <w:p w14:paraId="7EE2A895" w14:textId="77777777" w:rsidR="0014233E" w:rsidRDefault="00000000">
            <w:pPr>
              <w:spacing w:after="0" w:line="240" w:lineRule="auto"/>
            </w:pPr>
            <w:r>
              <w:rPr>
                <w:sz w:val="15"/>
              </w:rPr>
              <w:t>Map the exact customer journey, entities, wallet flows, release key, smart-contract control and token use. Confirm whether Blockmediary is an outsourced provider or independently regulated.</w:t>
            </w:r>
          </w:p>
        </w:tc>
        <w:tc>
          <w:tcPr>
            <w:tcW w:w="1699" w:type="dxa"/>
            <w:shd w:val="clear" w:color="auto" w:fill="FFF2CC"/>
            <w:tcMar>
              <w:top w:w="100" w:type="dxa"/>
              <w:left w:w="110" w:type="dxa"/>
              <w:bottom w:w="100" w:type="dxa"/>
              <w:right w:w="110" w:type="dxa"/>
            </w:tcMar>
            <w:vAlign w:val="center"/>
          </w:tcPr>
          <w:p w14:paraId="586A5C7B" w14:textId="77777777" w:rsidR="0014233E" w:rsidRDefault="00000000">
            <w:pPr>
              <w:spacing w:after="0" w:line="240" w:lineRule="auto"/>
            </w:pPr>
            <w:r>
              <w:rPr>
                <w:sz w:val="15"/>
              </w:rPr>
              <w:t>Required before accepting live funds</w:t>
            </w:r>
          </w:p>
        </w:tc>
      </w:tr>
      <w:tr w:rsidR="0014233E" w14:paraId="39781F5B" w14:textId="77777777">
        <w:trPr>
          <w:cantSplit/>
          <w:jc w:val="center"/>
        </w:trPr>
        <w:tc>
          <w:tcPr>
            <w:tcW w:w="2044" w:type="dxa"/>
            <w:shd w:val="clear" w:color="auto" w:fill="FFF2CC"/>
            <w:tcMar>
              <w:top w:w="100" w:type="dxa"/>
              <w:left w:w="110" w:type="dxa"/>
              <w:bottom w:w="100" w:type="dxa"/>
              <w:right w:w="110" w:type="dxa"/>
            </w:tcMar>
            <w:vAlign w:val="center"/>
          </w:tcPr>
          <w:p w14:paraId="32372C59" w14:textId="77777777" w:rsidR="0014233E" w:rsidRDefault="00000000">
            <w:pPr>
              <w:spacing w:after="0" w:line="240" w:lineRule="auto"/>
            </w:pPr>
            <w:r>
              <w:rPr>
                <w:b/>
                <w:color w:val="17365D"/>
                <w:sz w:val="15"/>
              </w:rPr>
              <w:t>Suitable DFSA-authorised partner</w:t>
            </w:r>
          </w:p>
        </w:tc>
        <w:tc>
          <w:tcPr>
            <w:tcW w:w="1440" w:type="dxa"/>
            <w:shd w:val="clear" w:color="auto" w:fill="FFF2CC"/>
            <w:tcMar>
              <w:top w:w="100" w:type="dxa"/>
              <w:left w:w="110" w:type="dxa"/>
              <w:bottom w:w="100" w:type="dxa"/>
              <w:right w:w="110" w:type="dxa"/>
            </w:tcMar>
            <w:vAlign w:val="center"/>
          </w:tcPr>
          <w:p w14:paraId="09AD2EB9" w14:textId="77777777" w:rsidR="0014233E" w:rsidRDefault="00000000">
            <w:pPr>
              <w:spacing w:after="0" w:line="240" w:lineRule="auto"/>
            </w:pPr>
            <w:r>
              <w:rPr>
                <w:sz w:val="15"/>
              </w:rPr>
              <w:t>Partner</w:t>
            </w:r>
          </w:p>
        </w:tc>
        <w:tc>
          <w:tcPr>
            <w:tcW w:w="4536" w:type="dxa"/>
            <w:shd w:val="clear" w:color="auto" w:fill="FFF2CC"/>
            <w:tcMar>
              <w:top w:w="100" w:type="dxa"/>
              <w:left w:w="110" w:type="dxa"/>
              <w:bottom w:w="100" w:type="dxa"/>
              <w:right w:w="110" w:type="dxa"/>
            </w:tcMar>
            <w:vAlign w:val="center"/>
          </w:tcPr>
          <w:p w14:paraId="53E62142" w14:textId="77777777" w:rsidR="0014233E" w:rsidRDefault="00000000">
            <w:pPr>
              <w:spacing w:after="0" w:line="240" w:lineRule="auto"/>
            </w:pPr>
            <w:r>
              <w:rPr>
                <w:sz w:val="15"/>
              </w:rPr>
              <w:t>Check the DFSA public register and the partner’s permissions. The permissions must cover the actual custody/settlement/customer activity, not merely generic fintech or payment services.</w:t>
            </w:r>
          </w:p>
        </w:tc>
        <w:tc>
          <w:tcPr>
            <w:tcW w:w="1699" w:type="dxa"/>
            <w:shd w:val="clear" w:color="auto" w:fill="FFF2CC"/>
            <w:tcMar>
              <w:top w:w="100" w:type="dxa"/>
              <w:left w:w="110" w:type="dxa"/>
              <w:bottom w:w="100" w:type="dxa"/>
              <w:right w:w="110" w:type="dxa"/>
            </w:tcMar>
            <w:vAlign w:val="center"/>
          </w:tcPr>
          <w:p w14:paraId="3E96C7B4" w14:textId="77777777" w:rsidR="0014233E" w:rsidRDefault="00000000">
            <w:pPr>
              <w:spacing w:after="0" w:line="240" w:lineRule="auto"/>
            </w:pPr>
            <w:r>
              <w:rPr>
                <w:sz w:val="15"/>
              </w:rPr>
              <w:t>Required</w:t>
            </w:r>
          </w:p>
        </w:tc>
      </w:tr>
      <w:tr w:rsidR="0014233E" w14:paraId="0CDB313A" w14:textId="77777777">
        <w:trPr>
          <w:cantSplit/>
          <w:jc w:val="center"/>
        </w:trPr>
        <w:tc>
          <w:tcPr>
            <w:tcW w:w="2044" w:type="dxa"/>
            <w:shd w:val="clear" w:color="auto" w:fill="FFF2CC"/>
            <w:tcMar>
              <w:top w:w="100" w:type="dxa"/>
              <w:left w:w="110" w:type="dxa"/>
              <w:bottom w:w="100" w:type="dxa"/>
              <w:right w:w="110" w:type="dxa"/>
            </w:tcMar>
            <w:vAlign w:val="center"/>
          </w:tcPr>
          <w:p w14:paraId="5057AD2A" w14:textId="77777777" w:rsidR="0014233E" w:rsidRDefault="00000000">
            <w:pPr>
              <w:spacing w:after="0" w:line="240" w:lineRule="auto"/>
            </w:pPr>
            <w:r>
              <w:rPr>
                <w:b/>
                <w:color w:val="17365D"/>
                <w:sz w:val="15"/>
              </w:rPr>
              <w:t>Partner term sheet and outsourcing agreement</w:t>
            </w:r>
          </w:p>
        </w:tc>
        <w:tc>
          <w:tcPr>
            <w:tcW w:w="1440" w:type="dxa"/>
            <w:shd w:val="clear" w:color="auto" w:fill="FFF2CC"/>
            <w:tcMar>
              <w:top w:w="100" w:type="dxa"/>
              <w:left w:w="110" w:type="dxa"/>
              <w:bottom w:w="100" w:type="dxa"/>
              <w:right w:w="110" w:type="dxa"/>
            </w:tcMar>
            <w:vAlign w:val="center"/>
          </w:tcPr>
          <w:p w14:paraId="4E9B0C8F" w14:textId="77777777" w:rsidR="0014233E" w:rsidRDefault="00000000">
            <w:pPr>
              <w:spacing w:after="0" w:line="240" w:lineRule="auto"/>
            </w:pPr>
            <w:r>
              <w:rPr>
                <w:sz w:val="15"/>
              </w:rPr>
              <w:t>Shared</w:t>
            </w:r>
          </w:p>
        </w:tc>
        <w:tc>
          <w:tcPr>
            <w:tcW w:w="4536" w:type="dxa"/>
            <w:shd w:val="clear" w:color="auto" w:fill="FFF2CC"/>
            <w:tcMar>
              <w:top w:w="100" w:type="dxa"/>
              <w:left w:w="110" w:type="dxa"/>
              <w:bottom w:w="100" w:type="dxa"/>
              <w:right w:w="110" w:type="dxa"/>
            </w:tcMar>
            <w:vAlign w:val="center"/>
          </w:tcPr>
          <w:p w14:paraId="2D3D9DCC" w14:textId="77777777" w:rsidR="0014233E" w:rsidRDefault="00000000">
            <w:pPr>
              <w:spacing w:after="0" w:line="240" w:lineRule="auto"/>
            </w:pPr>
            <w:r>
              <w:rPr>
                <w:sz w:val="15"/>
              </w:rPr>
              <w:t>Set scope, service levels, audit rights, subcontracting, data access, incident reporting, business continuity, termination and migration.</w:t>
            </w:r>
          </w:p>
        </w:tc>
        <w:tc>
          <w:tcPr>
            <w:tcW w:w="1699" w:type="dxa"/>
            <w:shd w:val="clear" w:color="auto" w:fill="FFF2CC"/>
            <w:tcMar>
              <w:top w:w="100" w:type="dxa"/>
              <w:left w:w="110" w:type="dxa"/>
              <w:bottom w:w="100" w:type="dxa"/>
              <w:right w:w="110" w:type="dxa"/>
            </w:tcMar>
            <w:vAlign w:val="center"/>
          </w:tcPr>
          <w:p w14:paraId="2FDB5867" w14:textId="77777777" w:rsidR="0014233E" w:rsidRDefault="00000000">
            <w:pPr>
              <w:spacing w:after="0" w:line="240" w:lineRule="auto"/>
            </w:pPr>
            <w:r>
              <w:rPr>
                <w:sz w:val="15"/>
              </w:rPr>
              <w:t>Required</w:t>
            </w:r>
          </w:p>
        </w:tc>
      </w:tr>
      <w:tr w:rsidR="0014233E" w14:paraId="5FA3E921" w14:textId="77777777">
        <w:trPr>
          <w:cantSplit/>
          <w:jc w:val="center"/>
        </w:trPr>
        <w:tc>
          <w:tcPr>
            <w:tcW w:w="2044" w:type="dxa"/>
            <w:shd w:val="clear" w:color="auto" w:fill="FFF2CC"/>
            <w:tcMar>
              <w:top w:w="100" w:type="dxa"/>
              <w:left w:w="110" w:type="dxa"/>
              <w:bottom w:w="100" w:type="dxa"/>
              <w:right w:w="110" w:type="dxa"/>
            </w:tcMar>
            <w:vAlign w:val="center"/>
          </w:tcPr>
          <w:p w14:paraId="4FFC2E53" w14:textId="77777777" w:rsidR="0014233E" w:rsidRDefault="00000000">
            <w:pPr>
              <w:spacing w:after="0" w:line="240" w:lineRule="auto"/>
            </w:pPr>
            <w:r>
              <w:rPr>
                <w:b/>
                <w:color w:val="17365D"/>
                <w:sz w:val="15"/>
              </w:rPr>
              <w:t>Regulatory responsibility matrix</w:t>
            </w:r>
          </w:p>
        </w:tc>
        <w:tc>
          <w:tcPr>
            <w:tcW w:w="1440" w:type="dxa"/>
            <w:shd w:val="clear" w:color="auto" w:fill="FFF2CC"/>
            <w:tcMar>
              <w:top w:w="100" w:type="dxa"/>
              <w:left w:w="110" w:type="dxa"/>
              <w:bottom w:w="100" w:type="dxa"/>
              <w:right w:w="110" w:type="dxa"/>
            </w:tcMar>
            <w:vAlign w:val="center"/>
          </w:tcPr>
          <w:p w14:paraId="1889FF18" w14:textId="77777777" w:rsidR="0014233E" w:rsidRDefault="00000000">
            <w:pPr>
              <w:spacing w:after="0" w:line="240" w:lineRule="auto"/>
            </w:pPr>
            <w:r>
              <w:rPr>
                <w:sz w:val="15"/>
              </w:rPr>
              <w:t>Shared</w:t>
            </w:r>
          </w:p>
        </w:tc>
        <w:tc>
          <w:tcPr>
            <w:tcW w:w="4536" w:type="dxa"/>
            <w:shd w:val="clear" w:color="auto" w:fill="FFF2CC"/>
            <w:tcMar>
              <w:top w:w="100" w:type="dxa"/>
              <w:left w:w="110" w:type="dxa"/>
              <w:bottom w:w="100" w:type="dxa"/>
              <w:right w:w="110" w:type="dxa"/>
            </w:tcMar>
            <w:vAlign w:val="center"/>
          </w:tcPr>
          <w:p w14:paraId="010C0680" w14:textId="77777777" w:rsidR="0014233E" w:rsidRDefault="00000000">
            <w:pPr>
              <w:spacing w:after="0" w:line="240" w:lineRule="auto"/>
            </w:pPr>
            <w:r>
              <w:rPr>
                <w:sz w:val="15"/>
              </w:rPr>
              <w:t>Assign customer contracting, onboarding, KYB/sanctions, wallet screening, transaction monitoring, safeguarding, release approval, complaints, reporting and loss liability.</w:t>
            </w:r>
          </w:p>
        </w:tc>
        <w:tc>
          <w:tcPr>
            <w:tcW w:w="1699" w:type="dxa"/>
            <w:shd w:val="clear" w:color="auto" w:fill="FFF2CC"/>
            <w:tcMar>
              <w:top w:w="100" w:type="dxa"/>
              <w:left w:w="110" w:type="dxa"/>
              <w:bottom w:w="100" w:type="dxa"/>
              <w:right w:w="110" w:type="dxa"/>
            </w:tcMar>
            <w:vAlign w:val="center"/>
          </w:tcPr>
          <w:p w14:paraId="45621A9E" w14:textId="77777777" w:rsidR="0014233E" w:rsidRDefault="00000000">
            <w:pPr>
              <w:spacing w:after="0" w:line="240" w:lineRule="auto"/>
            </w:pPr>
            <w:r>
              <w:rPr>
                <w:sz w:val="15"/>
              </w:rPr>
              <w:t>Required</w:t>
            </w:r>
          </w:p>
        </w:tc>
      </w:tr>
      <w:tr w:rsidR="0014233E" w14:paraId="5FE7050C" w14:textId="77777777">
        <w:trPr>
          <w:cantSplit/>
          <w:jc w:val="center"/>
        </w:trPr>
        <w:tc>
          <w:tcPr>
            <w:tcW w:w="2044" w:type="dxa"/>
            <w:shd w:val="clear" w:color="auto" w:fill="FFF2CC"/>
            <w:tcMar>
              <w:top w:w="100" w:type="dxa"/>
              <w:left w:w="110" w:type="dxa"/>
              <w:bottom w:w="100" w:type="dxa"/>
              <w:right w:w="110" w:type="dxa"/>
            </w:tcMar>
            <w:vAlign w:val="center"/>
          </w:tcPr>
          <w:p w14:paraId="2E33721A" w14:textId="77777777" w:rsidR="0014233E" w:rsidRDefault="00000000">
            <w:pPr>
              <w:spacing w:after="0" w:line="240" w:lineRule="auto"/>
            </w:pPr>
            <w:r>
              <w:rPr>
                <w:b/>
                <w:color w:val="17365D"/>
                <w:sz w:val="15"/>
              </w:rPr>
              <w:t>Customer agreements and disclosures</w:t>
            </w:r>
          </w:p>
        </w:tc>
        <w:tc>
          <w:tcPr>
            <w:tcW w:w="1440" w:type="dxa"/>
            <w:shd w:val="clear" w:color="auto" w:fill="FFF2CC"/>
            <w:tcMar>
              <w:top w:w="100" w:type="dxa"/>
              <w:left w:w="110" w:type="dxa"/>
              <w:bottom w:w="100" w:type="dxa"/>
              <w:right w:w="110" w:type="dxa"/>
            </w:tcMar>
            <w:vAlign w:val="center"/>
          </w:tcPr>
          <w:p w14:paraId="06AD247E" w14:textId="77777777" w:rsidR="0014233E" w:rsidRDefault="00000000">
            <w:pPr>
              <w:spacing w:after="0" w:line="240" w:lineRule="auto"/>
            </w:pPr>
            <w:r>
              <w:rPr>
                <w:sz w:val="15"/>
              </w:rPr>
              <w:t>Shared</w:t>
            </w:r>
          </w:p>
        </w:tc>
        <w:tc>
          <w:tcPr>
            <w:tcW w:w="4536" w:type="dxa"/>
            <w:shd w:val="clear" w:color="auto" w:fill="FFF2CC"/>
            <w:tcMar>
              <w:top w:w="100" w:type="dxa"/>
              <w:left w:w="110" w:type="dxa"/>
              <w:bottom w:w="100" w:type="dxa"/>
              <w:right w:w="110" w:type="dxa"/>
            </w:tcMar>
            <w:vAlign w:val="center"/>
          </w:tcPr>
          <w:p w14:paraId="3B5DAF78" w14:textId="77777777" w:rsidR="0014233E" w:rsidRDefault="00000000">
            <w:pPr>
              <w:spacing w:after="0" w:line="240" w:lineRule="auto"/>
            </w:pPr>
            <w:r>
              <w:rPr>
                <w:sz w:val="15"/>
              </w:rPr>
              <w:t>Complete the Trade Escrow Agreement; identify the regulated principal; disclose document-only verification, token/chain risks, objection window, fees, liability and dispute forum.</w:t>
            </w:r>
          </w:p>
        </w:tc>
        <w:tc>
          <w:tcPr>
            <w:tcW w:w="1699" w:type="dxa"/>
            <w:shd w:val="clear" w:color="auto" w:fill="FFF2CC"/>
            <w:tcMar>
              <w:top w:w="100" w:type="dxa"/>
              <w:left w:w="110" w:type="dxa"/>
              <w:bottom w:w="100" w:type="dxa"/>
              <w:right w:w="110" w:type="dxa"/>
            </w:tcMar>
            <w:vAlign w:val="center"/>
          </w:tcPr>
          <w:p w14:paraId="14216331" w14:textId="77777777" w:rsidR="0014233E" w:rsidRDefault="00000000">
            <w:pPr>
              <w:spacing w:after="0" w:line="240" w:lineRule="auto"/>
            </w:pPr>
            <w:r>
              <w:rPr>
                <w:sz w:val="15"/>
              </w:rPr>
              <w:t>BRD roadmap item</w:t>
            </w:r>
          </w:p>
        </w:tc>
      </w:tr>
      <w:tr w:rsidR="0014233E" w14:paraId="55EEE046" w14:textId="77777777">
        <w:trPr>
          <w:cantSplit/>
          <w:jc w:val="center"/>
        </w:trPr>
        <w:tc>
          <w:tcPr>
            <w:tcW w:w="2044" w:type="dxa"/>
            <w:shd w:val="clear" w:color="auto" w:fill="FFF2CC"/>
            <w:tcMar>
              <w:top w:w="100" w:type="dxa"/>
              <w:left w:w="110" w:type="dxa"/>
              <w:bottom w:w="100" w:type="dxa"/>
              <w:right w:w="110" w:type="dxa"/>
            </w:tcMar>
            <w:vAlign w:val="center"/>
          </w:tcPr>
          <w:p w14:paraId="3CB98AAE" w14:textId="77777777" w:rsidR="0014233E" w:rsidRDefault="00000000">
            <w:pPr>
              <w:spacing w:after="0" w:line="240" w:lineRule="auto"/>
            </w:pPr>
            <w:r>
              <w:rPr>
                <w:b/>
                <w:color w:val="17365D"/>
                <w:sz w:val="15"/>
              </w:rPr>
              <w:t>KYB, sanctions and transaction controls</w:t>
            </w:r>
          </w:p>
        </w:tc>
        <w:tc>
          <w:tcPr>
            <w:tcW w:w="1440" w:type="dxa"/>
            <w:shd w:val="clear" w:color="auto" w:fill="FFF2CC"/>
            <w:tcMar>
              <w:top w:w="100" w:type="dxa"/>
              <w:left w:w="110" w:type="dxa"/>
              <w:bottom w:w="100" w:type="dxa"/>
              <w:right w:w="110" w:type="dxa"/>
            </w:tcMar>
            <w:vAlign w:val="center"/>
          </w:tcPr>
          <w:p w14:paraId="350A0F93" w14:textId="77777777" w:rsidR="0014233E" w:rsidRDefault="00000000">
            <w:pPr>
              <w:spacing w:after="0" w:line="240" w:lineRule="auto"/>
            </w:pPr>
            <w:r>
              <w:rPr>
                <w:sz w:val="15"/>
              </w:rPr>
              <w:t>Partner / Shared</w:t>
            </w:r>
          </w:p>
        </w:tc>
        <w:tc>
          <w:tcPr>
            <w:tcW w:w="4536" w:type="dxa"/>
            <w:shd w:val="clear" w:color="auto" w:fill="FFF2CC"/>
            <w:tcMar>
              <w:top w:w="100" w:type="dxa"/>
              <w:left w:w="110" w:type="dxa"/>
              <w:bottom w:w="100" w:type="dxa"/>
              <w:right w:w="110" w:type="dxa"/>
            </w:tcMar>
            <w:vAlign w:val="center"/>
          </w:tcPr>
          <w:p w14:paraId="5E04567D" w14:textId="77777777" w:rsidR="0014233E" w:rsidRDefault="00000000">
            <w:pPr>
              <w:spacing w:after="0" w:line="240" w:lineRule="auto"/>
            </w:pPr>
            <w:r>
              <w:rPr>
                <w:sz w:val="15"/>
              </w:rPr>
              <w:t>Hard gate before funding; include UBO verification, sanctions screening, wallet risk, escalation, re-screening and record retention.</w:t>
            </w:r>
          </w:p>
        </w:tc>
        <w:tc>
          <w:tcPr>
            <w:tcW w:w="1699" w:type="dxa"/>
            <w:shd w:val="clear" w:color="auto" w:fill="FFF2CC"/>
            <w:tcMar>
              <w:top w:w="100" w:type="dxa"/>
              <w:left w:w="110" w:type="dxa"/>
              <w:bottom w:w="100" w:type="dxa"/>
              <w:right w:w="110" w:type="dxa"/>
            </w:tcMar>
            <w:vAlign w:val="center"/>
          </w:tcPr>
          <w:p w14:paraId="6776DC50" w14:textId="77777777" w:rsidR="0014233E" w:rsidRDefault="00000000">
            <w:pPr>
              <w:spacing w:after="0" w:line="240" w:lineRule="auto"/>
            </w:pPr>
            <w:r>
              <w:rPr>
                <w:sz w:val="15"/>
              </w:rPr>
              <w:t>BRD roadmap item</w:t>
            </w:r>
          </w:p>
        </w:tc>
      </w:tr>
      <w:tr w:rsidR="0014233E" w14:paraId="3F207C2F" w14:textId="77777777">
        <w:trPr>
          <w:cantSplit/>
          <w:jc w:val="center"/>
        </w:trPr>
        <w:tc>
          <w:tcPr>
            <w:tcW w:w="2044" w:type="dxa"/>
            <w:shd w:val="clear" w:color="auto" w:fill="FFF2CC"/>
            <w:tcMar>
              <w:top w:w="100" w:type="dxa"/>
              <w:left w:w="110" w:type="dxa"/>
              <w:bottom w:w="100" w:type="dxa"/>
              <w:right w:w="110" w:type="dxa"/>
            </w:tcMar>
            <w:vAlign w:val="center"/>
          </w:tcPr>
          <w:p w14:paraId="481EB6E5" w14:textId="77777777" w:rsidR="0014233E" w:rsidRDefault="00000000">
            <w:pPr>
              <w:spacing w:after="0" w:line="240" w:lineRule="auto"/>
            </w:pPr>
            <w:r>
              <w:rPr>
                <w:b/>
                <w:color w:val="17365D"/>
                <w:sz w:val="15"/>
              </w:rPr>
              <w:t>Production smart-contract and key security</w:t>
            </w:r>
          </w:p>
        </w:tc>
        <w:tc>
          <w:tcPr>
            <w:tcW w:w="1440" w:type="dxa"/>
            <w:shd w:val="clear" w:color="auto" w:fill="FFF2CC"/>
            <w:tcMar>
              <w:top w:w="100" w:type="dxa"/>
              <w:left w:w="110" w:type="dxa"/>
              <w:bottom w:w="100" w:type="dxa"/>
              <w:right w:w="110" w:type="dxa"/>
            </w:tcMar>
            <w:vAlign w:val="center"/>
          </w:tcPr>
          <w:p w14:paraId="5D5B4462" w14:textId="77777777" w:rsidR="0014233E" w:rsidRDefault="00000000">
            <w:pPr>
              <w:spacing w:after="0" w:line="240" w:lineRule="auto"/>
            </w:pPr>
            <w:r>
              <w:rPr>
                <w:sz w:val="15"/>
              </w:rPr>
              <w:t>Blockmediary</w:t>
            </w:r>
          </w:p>
        </w:tc>
        <w:tc>
          <w:tcPr>
            <w:tcW w:w="4536" w:type="dxa"/>
            <w:shd w:val="clear" w:color="auto" w:fill="FFF2CC"/>
            <w:tcMar>
              <w:top w:w="100" w:type="dxa"/>
              <w:left w:w="110" w:type="dxa"/>
              <w:bottom w:w="100" w:type="dxa"/>
              <w:right w:w="110" w:type="dxa"/>
            </w:tcMar>
            <w:vAlign w:val="center"/>
          </w:tcPr>
          <w:p w14:paraId="115B5199" w14:textId="77777777" w:rsidR="0014233E" w:rsidRDefault="00000000">
            <w:pPr>
              <w:spacing w:after="0" w:line="240" w:lineRule="auto"/>
            </w:pPr>
            <w:r>
              <w:rPr>
                <w:sz w:val="15"/>
              </w:rPr>
              <w:t>Independent audit; role separation; multisignature or equivalent release controls; upgrade/emergency procedures; key compromise response; audit logs.</w:t>
            </w:r>
          </w:p>
        </w:tc>
        <w:tc>
          <w:tcPr>
            <w:tcW w:w="1699" w:type="dxa"/>
            <w:shd w:val="clear" w:color="auto" w:fill="FFF2CC"/>
            <w:tcMar>
              <w:top w:w="100" w:type="dxa"/>
              <w:left w:w="110" w:type="dxa"/>
              <w:bottom w:w="100" w:type="dxa"/>
              <w:right w:w="110" w:type="dxa"/>
            </w:tcMar>
            <w:vAlign w:val="center"/>
          </w:tcPr>
          <w:p w14:paraId="775626EE" w14:textId="77777777" w:rsidR="0014233E" w:rsidRDefault="00000000">
            <w:pPr>
              <w:spacing w:after="0" w:line="240" w:lineRule="auto"/>
            </w:pPr>
            <w:r>
              <w:rPr>
                <w:sz w:val="15"/>
              </w:rPr>
              <w:t>Production gap</w:t>
            </w:r>
          </w:p>
        </w:tc>
      </w:tr>
      <w:tr w:rsidR="0014233E" w14:paraId="2C9F599A" w14:textId="77777777">
        <w:trPr>
          <w:cantSplit/>
          <w:jc w:val="center"/>
        </w:trPr>
        <w:tc>
          <w:tcPr>
            <w:tcW w:w="2044" w:type="dxa"/>
            <w:shd w:val="clear" w:color="auto" w:fill="FFF2CC"/>
            <w:tcMar>
              <w:top w:w="100" w:type="dxa"/>
              <w:left w:w="110" w:type="dxa"/>
              <w:bottom w:w="100" w:type="dxa"/>
              <w:right w:w="110" w:type="dxa"/>
            </w:tcMar>
            <w:vAlign w:val="center"/>
          </w:tcPr>
          <w:p w14:paraId="5C48FD80" w14:textId="77777777" w:rsidR="0014233E" w:rsidRDefault="00000000">
            <w:pPr>
              <w:spacing w:after="0" w:line="240" w:lineRule="auto"/>
            </w:pPr>
            <w:r>
              <w:rPr>
                <w:b/>
                <w:color w:val="17365D"/>
                <w:sz w:val="15"/>
              </w:rPr>
              <w:t>Data protection and processing</w:t>
            </w:r>
          </w:p>
        </w:tc>
        <w:tc>
          <w:tcPr>
            <w:tcW w:w="1440" w:type="dxa"/>
            <w:shd w:val="clear" w:color="auto" w:fill="FFF2CC"/>
            <w:tcMar>
              <w:top w:w="100" w:type="dxa"/>
              <w:left w:w="110" w:type="dxa"/>
              <w:bottom w:w="100" w:type="dxa"/>
              <w:right w:w="110" w:type="dxa"/>
            </w:tcMar>
            <w:vAlign w:val="center"/>
          </w:tcPr>
          <w:p w14:paraId="7731FCF3" w14:textId="77777777" w:rsidR="0014233E" w:rsidRDefault="00000000">
            <w:pPr>
              <w:spacing w:after="0" w:line="240" w:lineRule="auto"/>
            </w:pPr>
            <w:r>
              <w:rPr>
                <w:sz w:val="15"/>
              </w:rPr>
              <w:t>Shared</w:t>
            </w:r>
          </w:p>
        </w:tc>
        <w:tc>
          <w:tcPr>
            <w:tcW w:w="4536" w:type="dxa"/>
            <w:shd w:val="clear" w:color="auto" w:fill="FFF2CC"/>
            <w:tcMar>
              <w:top w:w="100" w:type="dxa"/>
              <w:left w:w="110" w:type="dxa"/>
              <w:bottom w:w="100" w:type="dxa"/>
              <w:right w:w="110" w:type="dxa"/>
            </w:tcMar>
            <w:vAlign w:val="center"/>
          </w:tcPr>
          <w:p w14:paraId="53C1F43B" w14:textId="77777777" w:rsidR="0014233E" w:rsidRDefault="00000000">
            <w:pPr>
              <w:spacing w:after="0" w:line="240" w:lineRule="auto"/>
            </w:pPr>
            <w:r>
              <w:rPr>
                <w:sz w:val="15"/>
              </w:rPr>
              <w:t>Determine controller/processor roles; execute data-processing terms; complete DIFC notification where required; implement production PII, retention and breach controls. [8]</w:t>
            </w:r>
          </w:p>
        </w:tc>
        <w:tc>
          <w:tcPr>
            <w:tcW w:w="1699" w:type="dxa"/>
            <w:shd w:val="clear" w:color="auto" w:fill="FFF2CC"/>
            <w:tcMar>
              <w:top w:w="100" w:type="dxa"/>
              <w:left w:w="110" w:type="dxa"/>
              <w:bottom w:w="100" w:type="dxa"/>
              <w:right w:w="110" w:type="dxa"/>
            </w:tcMar>
            <w:vAlign w:val="center"/>
          </w:tcPr>
          <w:p w14:paraId="52C3624F" w14:textId="77777777" w:rsidR="0014233E" w:rsidRDefault="00000000">
            <w:pPr>
              <w:spacing w:after="0" w:line="240" w:lineRule="auto"/>
            </w:pPr>
            <w:r>
              <w:rPr>
                <w:sz w:val="15"/>
              </w:rPr>
              <w:t>Production gap</w:t>
            </w:r>
          </w:p>
        </w:tc>
      </w:tr>
      <w:tr w:rsidR="0014233E" w14:paraId="1034AABE" w14:textId="77777777">
        <w:trPr>
          <w:cantSplit/>
          <w:jc w:val="center"/>
        </w:trPr>
        <w:tc>
          <w:tcPr>
            <w:tcW w:w="2044" w:type="dxa"/>
            <w:shd w:val="clear" w:color="auto" w:fill="FFF2CC"/>
            <w:tcMar>
              <w:top w:w="100" w:type="dxa"/>
              <w:left w:w="110" w:type="dxa"/>
              <w:bottom w:w="100" w:type="dxa"/>
              <w:right w:w="110" w:type="dxa"/>
            </w:tcMar>
            <w:vAlign w:val="center"/>
          </w:tcPr>
          <w:p w14:paraId="783D27CF" w14:textId="77777777" w:rsidR="0014233E" w:rsidRDefault="00000000">
            <w:pPr>
              <w:spacing w:after="0" w:line="240" w:lineRule="auto"/>
            </w:pPr>
            <w:r>
              <w:rPr>
                <w:b/>
                <w:color w:val="17365D"/>
                <w:sz w:val="15"/>
              </w:rPr>
              <w:t>Human review and exception process</w:t>
            </w:r>
          </w:p>
        </w:tc>
        <w:tc>
          <w:tcPr>
            <w:tcW w:w="1440" w:type="dxa"/>
            <w:shd w:val="clear" w:color="auto" w:fill="FFF2CC"/>
            <w:tcMar>
              <w:top w:w="100" w:type="dxa"/>
              <w:left w:w="110" w:type="dxa"/>
              <w:bottom w:w="100" w:type="dxa"/>
              <w:right w:w="110" w:type="dxa"/>
            </w:tcMar>
            <w:vAlign w:val="center"/>
          </w:tcPr>
          <w:p w14:paraId="5D2D193F" w14:textId="77777777" w:rsidR="0014233E" w:rsidRDefault="00000000">
            <w:pPr>
              <w:spacing w:after="0" w:line="240" w:lineRule="auto"/>
            </w:pPr>
            <w:r>
              <w:rPr>
                <w:sz w:val="15"/>
              </w:rPr>
              <w:t>Blockmediary</w:t>
            </w:r>
          </w:p>
        </w:tc>
        <w:tc>
          <w:tcPr>
            <w:tcW w:w="4536" w:type="dxa"/>
            <w:shd w:val="clear" w:color="auto" w:fill="FFF2CC"/>
            <w:tcMar>
              <w:top w:w="100" w:type="dxa"/>
              <w:left w:w="110" w:type="dxa"/>
              <w:bottom w:w="100" w:type="dxa"/>
              <w:right w:w="110" w:type="dxa"/>
            </w:tcMar>
            <w:vAlign w:val="center"/>
          </w:tcPr>
          <w:p w14:paraId="262E7934" w14:textId="77777777" w:rsidR="0014233E" w:rsidRDefault="00000000">
            <w:pPr>
              <w:spacing w:after="0" w:line="240" w:lineRule="auto"/>
            </w:pPr>
            <w:r>
              <w:rPr>
                <w:sz w:val="15"/>
              </w:rPr>
              <w:t>Apply mandatory review above £50,000 and to discrepancies or low-confidence cases; document reviewer authority, QA and audit evidence.</w:t>
            </w:r>
          </w:p>
        </w:tc>
        <w:tc>
          <w:tcPr>
            <w:tcW w:w="1699" w:type="dxa"/>
            <w:shd w:val="clear" w:color="auto" w:fill="FFF2CC"/>
            <w:tcMar>
              <w:top w:w="100" w:type="dxa"/>
              <w:left w:w="110" w:type="dxa"/>
              <w:bottom w:w="100" w:type="dxa"/>
              <w:right w:w="110" w:type="dxa"/>
            </w:tcMar>
            <w:vAlign w:val="center"/>
          </w:tcPr>
          <w:p w14:paraId="5FEC8845" w14:textId="77777777" w:rsidR="0014233E" w:rsidRDefault="00000000">
            <w:pPr>
              <w:spacing w:after="0" w:line="240" w:lineRule="auto"/>
            </w:pPr>
            <w:r>
              <w:rPr>
                <w:sz w:val="15"/>
              </w:rPr>
              <w:t>Console/SOP partly roadmap</w:t>
            </w:r>
          </w:p>
        </w:tc>
      </w:tr>
      <w:tr w:rsidR="0014233E" w14:paraId="231A1785" w14:textId="77777777">
        <w:trPr>
          <w:cantSplit/>
          <w:jc w:val="center"/>
        </w:trPr>
        <w:tc>
          <w:tcPr>
            <w:tcW w:w="2044" w:type="dxa"/>
            <w:shd w:val="clear" w:color="auto" w:fill="E2F0D9"/>
            <w:tcMar>
              <w:top w:w="100" w:type="dxa"/>
              <w:left w:w="110" w:type="dxa"/>
              <w:bottom w:w="100" w:type="dxa"/>
              <w:right w:w="110" w:type="dxa"/>
            </w:tcMar>
            <w:vAlign w:val="center"/>
          </w:tcPr>
          <w:p w14:paraId="4F86EF2C" w14:textId="77777777" w:rsidR="0014233E" w:rsidRDefault="00000000">
            <w:pPr>
              <w:spacing w:after="0" w:line="240" w:lineRule="auto"/>
            </w:pPr>
            <w:r>
              <w:rPr>
                <w:b/>
                <w:color w:val="17365D"/>
                <w:sz w:val="15"/>
              </w:rPr>
              <w:t>Pilot limits and exit criteria</w:t>
            </w:r>
          </w:p>
        </w:tc>
        <w:tc>
          <w:tcPr>
            <w:tcW w:w="1440" w:type="dxa"/>
            <w:shd w:val="clear" w:color="auto" w:fill="E2F0D9"/>
            <w:tcMar>
              <w:top w:w="100" w:type="dxa"/>
              <w:left w:w="110" w:type="dxa"/>
              <w:bottom w:w="100" w:type="dxa"/>
              <w:right w:w="110" w:type="dxa"/>
            </w:tcMar>
            <w:vAlign w:val="center"/>
          </w:tcPr>
          <w:p w14:paraId="06925503" w14:textId="77777777" w:rsidR="0014233E" w:rsidRDefault="00000000">
            <w:pPr>
              <w:spacing w:after="0" w:line="240" w:lineRule="auto"/>
            </w:pPr>
            <w:r>
              <w:rPr>
                <w:sz w:val="15"/>
              </w:rPr>
              <w:t>Shared</w:t>
            </w:r>
          </w:p>
        </w:tc>
        <w:tc>
          <w:tcPr>
            <w:tcW w:w="4536" w:type="dxa"/>
            <w:shd w:val="clear" w:color="auto" w:fill="E2F0D9"/>
            <w:tcMar>
              <w:top w:w="100" w:type="dxa"/>
              <w:left w:w="110" w:type="dxa"/>
              <w:bottom w:w="100" w:type="dxa"/>
              <w:right w:w="110" w:type="dxa"/>
            </w:tcMar>
            <w:vAlign w:val="center"/>
          </w:tcPr>
          <w:p w14:paraId="36D40864" w14:textId="77777777" w:rsidR="0014233E" w:rsidRDefault="00000000">
            <w:pPr>
              <w:spacing w:after="0" w:line="240" w:lineRule="auto"/>
            </w:pPr>
            <w:r>
              <w:rPr>
                <w:sz w:val="15"/>
              </w:rPr>
              <w:t>Set customer count, maximum deal value, approved corridors/tokens, transaction cap, manual sign-off, incident thresholds and migration/wind-down rules.</w:t>
            </w:r>
          </w:p>
        </w:tc>
        <w:tc>
          <w:tcPr>
            <w:tcW w:w="1699" w:type="dxa"/>
            <w:shd w:val="clear" w:color="auto" w:fill="E2F0D9"/>
            <w:tcMar>
              <w:top w:w="100" w:type="dxa"/>
              <w:left w:w="110" w:type="dxa"/>
              <w:bottom w:w="100" w:type="dxa"/>
              <w:right w:w="110" w:type="dxa"/>
            </w:tcMar>
            <w:vAlign w:val="center"/>
          </w:tcPr>
          <w:p w14:paraId="7F52B5EC" w14:textId="77777777" w:rsidR="0014233E" w:rsidRDefault="00000000">
            <w:pPr>
              <w:spacing w:after="0" w:line="240" w:lineRule="auto"/>
            </w:pPr>
            <w:r>
              <w:rPr>
                <w:sz w:val="15"/>
              </w:rPr>
              <w:t>Required</w:t>
            </w:r>
          </w:p>
        </w:tc>
      </w:tr>
    </w:tbl>
    <w:p w14:paraId="3B051BAA" w14:textId="77777777" w:rsidR="0014233E" w:rsidRDefault="0014233E">
      <w:pPr>
        <w:spacing w:after="20"/>
      </w:pPr>
    </w:p>
    <w:p w14:paraId="4E031423" w14:textId="77777777" w:rsidR="0014233E" w:rsidRDefault="00000000">
      <w:pPr>
        <w:pStyle w:val="Heading2"/>
      </w:pPr>
      <w:r>
        <w:t>3.3 Recommended pilot envelope</w:t>
      </w:r>
    </w:p>
    <w:p w14:paraId="67285236" w14:textId="77777777" w:rsidR="0014233E" w:rsidRDefault="00000000">
      <w:pPr>
        <w:keepLines/>
      </w:pPr>
      <w:r>
        <w:t>For this preliminary business plan, the proposed pilot is deliberately controlled rather than fully scaled:</w:t>
      </w:r>
    </w:p>
    <w:p w14:paraId="10E6D71C" w14:textId="77777777" w:rsidR="0014233E" w:rsidRDefault="00000000">
      <w:pPr>
        <w:pStyle w:val="ListBullet"/>
        <w:spacing w:after="60"/>
      </w:pPr>
      <w:r>
        <w:t>Business-to-business customers only, with a small named cohort recruited through the regulated partner.</w:t>
      </w:r>
    </w:p>
    <w:p w14:paraId="02D6F975" w14:textId="77777777" w:rsidR="0014233E" w:rsidRDefault="00000000">
      <w:pPr>
        <w:pStyle w:val="ListBullet"/>
        <w:spacing w:after="60"/>
      </w:pPr>
      <w:r>
        <w:t>Initial deal values at or below the current £50,000 automation cap, with human sign-off available for every release.</w:t>
      </w:r>
    </w:p>
    <w:p w14:paraId="0C2CBE65" w14:textId="77777777" w:rsidR="0014233E" w:rsidRDefault="00000000">
      <w:pPr>
        <w:pStyle w:val="ListBullet"/>
        <w:spacing w:after="60"/>
      </w:pPr>
      <w:r>
        <w:t>Approved low-risk corridors and non-prohibited goods; no sanctioned parties or high-risk regulated goods.</w:t>
      </w:r>
    </w:p>
    <w:p w14:paraId="2B90E7B6" w14:textId="77777777" w:rsidR="0014233E" w:rsidRDefault="00000000">
      <w:pPr>
        <w:pStyle w:val="ListBullet"/>
        <w:spacing w:after="60"/>
      </w:pPr>
      <w:r>
        <w:t>A narrow document set and explicit release rules; no claim that the platform verifies physical quality or delivery.</w:t>
      </w:r>
    </w:p>
    <w:p w14:paraId="7115F25E" w14:textId="77777777" w:rsidR="0014233E" w:rsidRDefault="00000000">
      <w:pPr>
        <w:pStyle w:val="ListBullet"/>
        <w:spacing w:after="60"/>
      </w:pPr>
      <w:r>
        <w:t>Partner-approved token, blockchain, wallets and funding/redemption path.</w:t>
      </w:r>
    </w:p>
    <w:p w14:paraId="71FFF91E" w14:textId="77777777" w:rsidR="0014233E" w:rsidRDefault="00000000">
      <w:pPr>
        <w:pStyle w:val="ListBullet"/>
        <w:spacing w:after="60"/>
      </w:pPr>
      <w:r>
        <w:t>Manual exception, complaint, refund and incident procedures before the first live transaction.</w:t>
      </w:r>
    </w:p>
    <w:p w14:paraId="0404EAF7" w14:textId="77777777" w:rsidR="0014233E" w:rsidRDefault="00000000">
      <w:pPr>
        <w:pStyle w:val="ListBullet"/>
        <w:spacing w:after="60"/>
      </w:pPr>
      <w:r>
        <w:t>No public claim that Blockmediary itself is DFSA-authorised unless and until it obtains a DFSA licence.</w:t>
      </w:r>
    </w:p>
    <w:p w14:paraId="4BB6AAF8" w14:textId="77777777" w:rsidR="0014233E" w:rsidRDefault="00000000">
      <w:pPr>
        <w:pStyle w:val="Heading2"/>
      </w:pPr>
      <w:r>
        <w:t>3.4 Is a DFSA Innovation Testing Licence required?</w:t>
      </w:r>
    </w:p>
    <w:p w14:paraId="39C9D080" w14:textId="77777777" w:rsidR="0014233E" w:rsidRDefault="00000000">
      <w:pPr>
        <w:keepLines/>
      </w:pPr>
      <w:r>
        <w:t>Not automatically. The ITL is a restricted DFSA sandbox for a firm that itself needs to test regulated financial services. A genuinely partner-led arrangement may instead operate within the authorised partner’s permissions and outsourcing framework. Blockmediary should pursue an ITL only if the DFSA or counsel concludes that Blockmediary itself will conduct a regulated activity during the test. It should not be assumed to be a cheap substitute for a properly structured partner model.</w:t>
      </w:r>
    </w:p>
    <w:p w14:paraId="0E508144" w14:textId="77777777" w:rsidR="0014233E" w:rsidRDefault="00000000">
      <w:pPr>
        <w:pStyle w:val="Heading1"/>
      </w:pPr>
      <w:r>
        <w:lastRenderedPageBreak/>
        <w:t>4. Track B — VARA licensing for scale</w:t>
      </w:r>
    </w:p>
    <w:p w14:paraId="417BBB1C" w14:textId="77777777" w:rsidR="0014233E" w:rsidRDefault="00000000">
      <w:pPr>
        <w:pStyle w:val="Heading2"/>
      </w:pPr>
      <w:r>
        <w:t>4.1 Applicant entity and process</w:t>
      </w:r>
    </w:p>
    <w:p w14:paraId="42C5FDDC" w14:textId="77777777" w:rsidR="0014233E" w:rsidRDefault="00000000">
      <w:pPr>
        <w:keepLines/>
      </w:pPr>
      <w:r>
        <w:t>VARA regulates virtual-asset activity in Dubai outside DIFC. A new application must be made through the Dubai Department of Economy and Tourism or a Dubai free zone excluding DIFC. Blockmediary therefore needs a separate VARA-eligible legal entity or group company outside DIFC. VARA prefers an LLC or free-zone company and requires physical presence in Dubai. [9][10]</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800"/>
        <w:gridCol w:w="3960"/>
        <w:gridCol w:w="3960"/>
      </w:tblGrid>
      <w:tr w:rsidR="0014233E" w14:paraId="71B4692B" w14:textId="77777777">
        <w:trPr>
          <w:cantSplit/>
          <w:tblHeader/>
          <w:jc w:val="center"/>
        </w:trPr>
        <w:tc>
          <w:tcPr>
            <w:tcW w:w="1800" w:type="dxa"/>
            <w:shd w:val="clear" w:color="auto" w:fill="17365D"/>
            <w:tcMar>
              <w:top w:w="100" w:type="dxa"/>
              <w:left w:w="110" w:type="dxa"/>
              <w:bottom w:w="100" w:type="dxa"/>
              <w:right w:w="110" w:type="dxa"/>
            </w:tcMar>
            <w:vAlign w:val="center"/>
          </w:tcPr>
          <w:p w14:paraId="40A8AED9" w14:textId="77777777" w:rsidR="0014233E" w:rsidRDefault="00000000">
            <w:pPr>
              <w:spacing w:after="0" w:line="240" w:lineRule="auto"/>
              <w:jc w:val="center"/>
            </w:pPr>
            <w:r>
              <w:rPr>
                <w:b/>
                <w:color w:val="FFFFFF"/>
                <w:sz w:val="16"/>
              </w:rPr>
              <w:t>Stage</w:t>
            </w:r>
          </w:p>
        </w:tc>
        <w:tc>
          <w:tcPr>
            <w:tcW w:w="3960" w:type="dxa"/>
            <w:shd w:val="clear" w:color="auto" w:fill="17365D"/>
            <w:tcMar>
              <w:top w:w="100" w:type="dxa"/>
              <w:left w:w="110" w:type="dxa"/>
              <w:bottom w:w="100" w:type="dxa"/>
              <w:right w:w="110" w:type="dxa"/>
            </w:tcMar>
            <w:vAlign w:val="center"/>
          </w:tcPr>
          <w:p w14:paraId="22489114" w14:textId="77777777" w:rsidR="0014233E" w:rsidRDefault="00000000">
            <w:pPr>
              <w:spacing w:after="0" w:line="240" w:lineRule="auto"/>
              <w:jc w:val="center"/>
            </w:pPr>
            <w:r>
              <w:rPr>
                <w:b/>
                <w:color w:val="FFFFFF"/>
                <w:sz w:val="16"/>
              </w:rPr>
              <w:t>Official position</w:t>
            </w:r>
          </w:p>
        </w:tc>
        <w:tc>
          <w:tcPr>
            <w:tcW w:w="3960" w:type="dxa"/>
            <w:shd w:val="clear" w:color="auto" w:fill="17365D"/>
            <w:tcMar>
              <w:top w:w="100" w:type="dxa"/>
              <w:left w:w="110" w:type="dxa"/>
              <w:bottom w:w="100" w:type="dxa"/>
              <w:right w:w="110" w:type="dxa"/>
            </w:tcMar>
            <w:vAlign w:val="center"/>
          </w:tcPr>
          <w:p w14:paraId="54F2625D" w14:textId="77777777" w:rsidR="0014233E" w:rsidRDefault="00000000">
            <w:pPr>
              <w:spacing w:after="0" w:line="240" w:lineRule="auto"/>
              <w:jc w:val="center"/>
            </w:pPr>
            <w:r>
              <w:rPr>
                <w:b/>
                <w:color w:val="FFFFFF"/>
                <w:sz w:val="16"/>
              </w:rPr>
              <w:t>Blockmediary action</w:t>
            </w:r>
          </w:p>
        </w:tc>
      </w:tr>
      <w:tr w:rsidR="0014233E" w14:paraId="372D45A1" w14:textId="77777777">
        <w:trPr>
          <w:cantSplit/>
          <w:jc w:val="center"/>
        </w:trPr>
        <w:tc>
          <w:tcPr>
            <w:tcW w:w="1800" w:type="dxa"/>
            <w:shd w:val="clear" w:color="auto" w:fill="EFF4FA"/>
            <w:tcMar>
              <w:top w:w="100" w:type="dxa"/>
              <w:left w:w="110" w:type="dxa"/>
              <w:bottom w:w="100" w:type="dxa"/>
              <w:right w:w="110" w:type="dxa"/>
            </w:tcMar>
            <w:vAlign w:val="center"/>
          </w:tcPr>
          <w:p w14:paraId="3133793A" w14:textId="77777777" w:rsidR="0014233E" w:rsidRDefault="00000000">
            <w:pPr>
              <w:spacing w:after="0" w:line="240" w:lineRule="auto"/>
            </w:pPr>
            <w:r>
              <w:rPr>
                <w:b/>
                <w:color w:val="17365D"/>
                <w:sz w:val="16"/>
              </w:rPr>
              <w:t>1. IDQ and Approval to Incorporate</w:t>
            </w:r>
          </w:p>
        </w:tc>
        <w:tc>
          <w:tcPr>
            <w:tcW w:w="3960" w:type="dxa"/>
            <w:shd w:val="clear" w:color="auto" w:fill="EFF4FA"/>
            <w:tcMar>
              <w:top w:w="100" w:type="dxa"/>
              <w:left w:w="110" w:type="dxa"/>
              <w:bottom w:w="100" w:type="dxa"/>
              <w:right w:w="110" w:type="dxa"/>
            </w:tcMar>
            <w:vAlign w:val="center"/>
          </w:tcPr>
          <w:p w14:paraId="1EBE8169" w14:textId="77777777" w:rsidR="0014233E" w:rsidRDefault="00000000">
            <w:pPr>
              <w:spacing w:after="0" w:line="240" w:lineRule="auto"/>
            </w:pPr>
            <w:r>
              <w:rPr>
                <w:sz w:val="16"/>
              </w:rPr>
              <w:t>Submit the Initial Disclosure Questionnaire through DET or the selected non-DIFC free zone, pay the initial portion of fees and obtain Approval to Incorporate.</w:t>
            </w:r>
          </w:p>
        </w:tc>
        <w:tc>
          <w:tcPr>
            <w:tcW w:w="3960" w:type="dxa"/>
            <w:shd w:val="clear" w:color="auto" w:fill="EFF4FA"/>
            <w:tcMar>
              <w:top w:w="100" w:type="dxa"/>
              <w:left w:w="110" w:type="dxa"/>
              <w:bottom w:w="100" w:type="dxa"/>
              <w:right w:w="110" w:type="dxa"/>
            </w:tcMar>
            <w:vAlign w:val="center"/>
          </w:tcPr>
          <w:p w14:paraId="0D775CBC" w14:textId="77777777" w:rsidR="0014233E" w:rsidRDefault="00000000">
            <w:pPr>
              <w:spacing w:after="0" w:line="240" w:lineRule="auto"/>
            </w:pPr>
            <w:r>
              <w:rPr>
                <w:sz w:val="16"/>
              </w:rPr>
              <w:t>Confirm commercial licensor, entity, shareholding, UBOs, initial activity scope, funding and business plan.</w:t>
            </w:r>
          </w:p>
        </w:tc>
      </w:tr>
      <w:tr w:rsidR="0014233E" w14:paraId="3206D917" w14:textId="77777777">
        <w:trPr>
          <w:cantSplit/>
          <w:jc w:val="center"/>
        </w:trPr>
        <w:tc>
          <w:tcPr>
            <w:tcW w:w="1800" w:type="dxa"/>
            <w:shd w:val="clear" w:color="auto" w:fill="FFF2CC"/>
            <w:tcMar>
              <w:top w:w="100" w:type="dxa"/>
              <w:left w:w="110" w:type="dxa"/>
              <w:bottom w:w="100" w:type="dxa"/>
              <w:right w:w="110" w:type="dxa"/>
            </w:tcMar>
            <w:vAlign w:val="center"/>
          </w:tcPr>
          <w:p w14:paraId="5ED50734" w14:textId="77777777" w:rsidR="0014233E" w:rsidRDefault="00000000">
            <w:pPr>
              <w:spacing w:after="0" w:line="240" w:lineRule="auto"/>
            </w:pPr>
            <w:r>
              <w:rPr>
                <w:b/>
                <w:color w:val="17365D"/>
                <w:sz w:val="16"/>
              </w:rPr>
              <w:t>2. Build the applicant</w:t>
            </w:r>
          </w:p>
        </w:tc>
        <w:tc>
          <w:tcPr>
            <w:tcW w:w="3960" w:type="dxa"/>
            <w:shd w:val="clear" w:color="auto" w:fill="FFF2CC"/>
            <w:tcMar>
              <w:top w:w="100" w:type="dxa"/>
              <w:left w:w="110" w:type="dxa"/>
              <w:bottom w:w="100" w:type="dxa"/>
              <w:right w:w="110" w:type="dxa"/>
            </w:tcMar>
            <w:vAlign w:val="center"/>
          </w:tcPr>
          <w:p w14:paraId="2D824E4D" w14:textId="77777777" w:rsidR="0014233E" w:rsidRDefault="00000000">
            <w:pPr>
              <w:spacing w:after="0" w:line="240" w:lineRule="auto"/>
            </w:pPr>
            <w:r>
              <w:rPr>
                <w:sz w:val="16"/>
              </w:rPr>
              <w:t>ATI allows incorporation and operational preparation; it is not permission to conduct regulated VA activity.</w:t>
            </w:r>
          </w:p>
        </w:tc>
        <w:tc>
          <w:tcPr>
            <w:tcW w:w="3960" w:type="dxa"/>
            <w:shd w:val="clear" w:color="auto" w:fill="FFF2CC"/>
            <w:tcMar>
              <w:top w:w="100" w:type="dxa"/>
              <w:left w:w="110" w:type="dxa"/>
              <w:bottom w:w="100" w:type="dxa"/>
              <w:right w:w="110" w:type="dxa"/>
            </w:tcMar>
            <w:vAlign w:val="center"/>
          </w:tcPr>
          <w:p w14:paraId="7B02B5D6" w14:textId="77777777" w:rsidR="0014233E" w:rsidRDefault="00000000">
            <w:pPr>
              <w:spacing w:after="0" w:line="240" w:lineRule="auto"/>
            </w:pPr>
            <w:r>
              <w:rPr>
                <w:sz w:val="16"/>
              </w:rPr>
              <w:t>Establish office, appoint key staff and two Responsible Individuals, fund capital, complete policies, audit technology and prepare the full application.</w:t>
            </w:r>
          </w:p>
        </w:tc>
      </w:tr>
      <w:tr w:rsidR="0014233E" w14:paraId="60D730BA" w14:textId="77777777">
        <w:trPr>
          <w:cantSplit/>
          <w:jc w:val="center"/>
        </w:trPr>
        <w:tc>
          <w:tcPr>
            <w:tcW w:w="1800" w:type="dxa"/>
            <w:shd w:val="clear" w:color="auto" w:fill="EFF4FA"/>
            <w:tcMar>
              <w:top w:w="100" w:type="dxa"/>
              <w:left w:w="110" w:type="dxa"/>
              <w:bottom w:w="100" w:type="dxa"/>
              <w:right w:w="110" w:type="dxa"/>
            </w:tcMar>
            <w:vAlign w:val="center"/>
          </w:tcPr>
          <w:p w14:paraId="4BC3150E" w14:textId="77777777" w:rsidR="0014233E" w:rsidRDefault="00000000">
            <w:pPr>
              <w:spacing w:after="0" w:line="240" w:lineRule="auto"/>
            </w:pPr>
            <w:r>
              <w:rPr>
                <w:b/>
                <w:color w:val="17365D"/>
                <w:sz w:val="16"/>
              </w:rPr>
              <w:t>3. Full VASP application</w:t>
            </w:r>
          </w:p>
        </w:tc>
        <w:tc>
          <w:tcPr>
            <w:tcW w:w="3960" w:type="dxa"/>
            <w:shd w:val="clear" w:color="auto" w:fill="EFF4FA"/>
            <w:tcMar>
              <w:top w:w="100" w:type="dxa"/>
              <w:left w:w="110" w:type="dxa"/>
              <w:bottom w:w="100" w:type="dxa"/>
              <w:right w:w="110" w:type="dxa"/>
            </w:tcMar>
            <w:vAlign w:val="center"/>
          </w:tcPr>
          <w:p w14:paraId="160BA1CA" w14:textId="77777777" w:rsidR="0014233E" w:rsidRDefault="00000000">
            <w:pPr>
              <w:spacing w:after="0" w:line="240" w:lineRule="auto"/>
            </w:pPr>
            <w:r>
              <w:rPr>
                <w:sz w:val="16"/>
              </w:rPr>
              <w:t>Submit the regulatory package; respond to meetings, interviews and information requests; pay the balance of application and first-year supervision fees.</w:t>
            </w:r>
          </w:p>
        </w:tc>
        <w:tc>
          <w:tcPr>
            <w:tcW w:w="3960" w:type="dxa"/>
            <w:shd w:val="clear" w:color="auto" w:fill="EFF4FA"/>
            <w:tcMar>
              <w:top w:w="100" w:type="dxa"/>
              <w:left w:w="110" w:type="dxa"/>
              <w:bottom w:w="100" w:type="dxa"/>
              <w:right w:w="110" w:type="dxa"/>
            </w:tcMar>
            <w:vAlign w:val="center"/>
          </w:tcPr>
          <w:p w14:paraId="574A84D8" w14:textId="77777777" w:rsidR="0014233E" w:rsidRDefault="00000000">
            <w:pPr>
              <w:spacing w:after="0" w:line="240" w:lineRule="auto"/>
            </w:pPr>
            <w:r>
              <w:rPr>
                <w:sz w:val="16"/>
              </w:rPr>
              <w:t>Demonstrate governance, fitness and propriety, AML, technology, financial resources, client controls, wind-down and activity-specific compliance.</w:t>
            </w:r>
          </w:p>
        </w:tc>
      </w:tr>
      <w:tr w:rsidR="0014233E" w14:paraId="6344E6F6" w14:textId="77777777">
        <w:trPr>
          <w:cantSplit/>
          <w:jc w:val="center"/>
        </w:trPr>
        <w:tc>
          <w:tcPr>
            <w:tcW w:w="1800" w:type="dxa"/>
            <w:shd w:val="clear" w:color="auto" w:fill="E2F0D9"/>
            <w:tcMar>
              <w:top w:w="100" w:type="dxa"/>
              <w:left w:w="110" w:type="dxa"/>
              <w:bottom w:w="100" w:type="dxa"/>
              <w:right w:w="110" w:type="dxa"/>
            </w:tcMar>
            <w:vAlign w:val="center"/>
          </w:tcPr>
          <w:p w14:paraId="3A753CBE" w14:textId="77777777" w:rsidR="0014233E" w:rsidRDefault="00000000">
            <w:pPr>
              <w:spacing w:after="0" w:line="240" w:lineRule="auto"/>
            </w:pPr>
            <w:r>
              <w:rPr>
                <w:b/>
                <w:color w:val="17365D"/>
                <w:sz w:val="16"/>
              </w:rPr>
              <w:t>4. Full licence</w:t>
            </w:r>
          </w:p>
        </w:tc>
        <w:tc>
          <w:tcPr>
            <w:tcW w:w="3960" w:type="dxa"/>
            <w:shd w:val="clear" w:color="auto" w:fill="E2F0D9"/>
            <w:tcMar>
              <w:top w:w="100" w:type="dxa"/>
              <w:left w:w="110" w:type="dxa"/>
              <w:bottom w:w="100" w:type="dxa"/>
              <w:right w:w="110" w:type="dxa"/>
            </w:tcMar>
            <w:vAlign w:val="center"/>
          </w:tcPr>
          <w:p w14:paraId="3EA81173" w14:textId="77777777" w:rsidR="0014233E" w:rsidRDefault="00000000">
            <w:pPr>
              <w:spacing w:after="0" w:line="240" w:lineRule="auto"/>
            </w:pPr>
            <w:r>
              <w:rPr>
                <w:sz w:val="16"/>
              </w:rPr>
              <w:t>A licence may include operational conditions. Preliminary or in-principle status does not permit customer operations.</w:t>
            </w:r>
          </w:p>
        </w:tc>
        <w:tc>
          <w:tcPr>
            <w:tcW w:w="3960" w:type="dxa"/>
            <w:shd w:val="clear" w:color="auto" w:fill="E2F0D9"/>
            <w:tcMar>
              <w:top w:w="100" w:type="dxa"/>
              <w:left w:w="110" w:type="dxa"/>
              <w:bottom w:w="100" w:type="dxa"/>
              <w:right w:w="110" w:type="dxa"/>
            </w:tcMar>
            <w:vAlign w:val="center"/>
          </w:tcPr>
          <w:p w14:paraId="50B24D1B" w14:textId="77777777" w:rsidR="0014233E" w:rsidRDefault="00000000">
            <w:pPr>
              <w:spacing w:after="0" w:line="240" w:lineRule="auto"/>
            </w:pPr>
            <w:r>
              <w:rPr>
                <w:sz w:val="16"/>
              </w:rPr>
              <w:t>Start VARA-scale activity only from the full licence effective date and within the approved activities and conditions.</w:t>
            </w:r>
          </w:p>
        </w:tc>
      </w:tr>
    </w:tbl>
    <w:p w14:paraId="655D699F" w14:textId="77777777" w:rsidR="0014233E" w:rsidRDefault="0014233E">
      <w:pPr>
        <w:spacing w:after="20"/>
      </w:pPr>
    </w:p>
    <w:p w14:paraId="4BA9D513" w14:textId="77777777" w:rsidR="0014233E" w:rsidRDefault="00000000">
      <w:pPr>
        <w:pStyle w:val="Heading2"/>
      </w:pPr>
      <w:r>
        <w:t>4.2 Likely VARA activity mapping</w:t>
      </w:r>
    </w:p>
    <w:p w14:paraId="4D600B59" w14:textId="77777777" w:rsidR="0014233E" w:rsidRDefault="00000000">
      <w:pPr>
        <w:keepLines/>
      </w:pPr>
      <w:r>
        <w:t>VARA licences each activity separately. The table below is an initial mapping, not a legal conclusion. [10][11]</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800"/>
        <w:gridCol w:w="2880"/>
        <w:gridCol w:w="3528"/>
        <w:gridCol w:w="1512"/>
      </w:tblGrid>
      <w:tr w:rsidR="0014233E" w14:paraId="787AE845" w14:textId="77777777">
        <w:trPr>
          <w:cantSplit/>
          <w:tblHeader/>
          <w:jc w:val="center"/>
        </w:trPr>
        <w:tc>
          <w:tcPr>
            <w:tcW w:w="1800" w:type="dxa"/>
            <w:shd w:val="clear" w:color="auto" w:fill="17365D"/>
            <w:tcMar>
              <w:top w:w="100" w:type="dxa"/>
              <w:left w:w="110" w:type="dxa"/>
              <w:bottom w:w="100" w:type="dxa"/>
              <w:right w:w="110" w:type="dxa"/>
            </w:tcMar>
            <w:vAlign w:val="center"/>
          </w:tcPr>
          <w:p w14:paraId="78A0402D" w14:textId="77777777" w:rsidR="0014233E" w:rsidRDefault="00000000">
            <w:pPr>
              <w:spacing w:after="0" w:line="240" w:lineRule="auto"/>
              <w:jc w:val="center"/>
            </w:pPr>
            <w:r>
              <w:rPr>
                <w:b/>
                <w:color w:val="FFFFFF"/>
                <w:sz w:val="15"/>
              </w:rPr>
              <w:t>Activity</w:t>
            </w:r>
          </w:p>
        </w:tc>
        <w:tc>
          <w:tcPr>
            <w:tcW w:w="2880" w:type="dxa"/>
            <w:shd w:val="clear" w:color="auto" w:fill="17365D"/>
            <w:tcMar>
              <w:top w:w="100" w:type="dxa"/>
              <w:left w:w="110" w:type="dxa"/>
              <w:bottom w:w="100" w:type="dxa"/>
              <w:right w:w="110" w:type="dxa"/>
            </w:tcMar>
            <w:vAlign w:val="center"/>
          </w:tcPr>
          <w:p w14:paraId="36CAFF4D" w14:textId="77777777" w:rsidR="0014233E" w:rsidRDefault="00000000">
            <w:pPr>
              <w:spacing w:after="0" w:line="240" w:lineRule="auto"/>
              <w:jc w:val="center"/>
            </w:pPr>
            <w:r>
              <w:rPr>
                <w:b/>
                <w:color w:val="FFFFFF"/>
                <w:sz w:val="15"/>
              </w:rPr>
              <w:t>Official definition in brief</w:t>
            </w:r>
          </w:p>
        </w:tc>
        <w:tc>
          <w:tcPr>
            <w:tcW w:w="3528" w:type="dxa"/>
            <w:shd w:val="clear" w:color="auto" w:fill="17365D"/>
            <w:tcMar>
              <w:top w:w="100" w:type="dxa"/>
              <w:left w:w="110" w:type="dxa"/>
              <w:bottom w:w="100" w:type="dxa"/>
              <w:right w:w="110" w:type="dxa"/>
            </w:tcMar>
            <w:vAlign w:val="center"/>
          </w:tcPr>
          <w:p w14:paraId="24B0F7AE" w14:textId="77777777" w:rsidR="0014233E" w:rsidRDefault="00000000">
            <w:pPr>
              <w:spacing w:after="0" w:line="240" w:lineRule="auto"/>
              <w:jc w:val="center"/>
            </w:pPr>
            <w:r>
              <w:rPr>
                <w:b/>
                <w:color w:val="FFFFFF"/>
                <w:sz w:val="15"/>
              </w:rPr>
              <w:t>Fit to Blockmediary</w:t>
            </w:r>
          </w:p>
        </w:tc>
        <w:tc>
          <w:tcPr>
            <w:tcW w:w="1512" w:type="dxa"/>
            <w:shd w:val="clear" w:color="auto" w:fill="17365D"/>
            <w:tcMar>
              <w:top w:w="100" w:type="dxa"/>
              <w:left w:w="110" w:type="dxa"/>
              <w:bottom w:w="100" w:type="dxa"/>
              <w:right w:w="110" w:type="dxa"/>
            </w:tcMar>
            <w:vAlign w:val="center"/>
          </w:tcPr>
          <w:p w14:paraId="341A855C" w14:textId="77777777" w:rsidR="0014233E" w:rsidRDefault="00000000">
            <w:pPr>
              <w:spacing w:after="0" w:line="240" w:lineRule="auto"/>
              <w:jc w:val="center"/>
            </w:pPr>
            <w:r>
              <w:rPr>
                <w:b/>
                <w:color w:val="FFFFFF"/>
                <w:sz w:val="15"/>
              </w:rPr>
              <w:t>Planning status</w:t>
            </w:r>
          </w:p>
        </w:tc>
      </w:tr>
      <w:tr w:rsidR="0014233E" w14:paraId="01CA1A69" w14:textId="77777777">
        <w:trPr>
          <w:cantSplit/>
          <w:jc w:val="center"/>
        </w:trPr>
        <w:tc>
          <w:tcPr>
            <w:tcW w:w="1800" w:type="dxa"/>
            <w:shd w:val="clear" w:color="auto" w:fill="E2F0D9"/>
            <w:tcMar>
              <w:top w:w="100" w:type="dxa"/>
              <w:left w:w="110" w:type="dxa"/>
              <w:bottom w:w="100" w:type="dxa"/>
              <w:right w:w="110" w:type="dxa"/>
            </w:tcMar>
            <w:vAlign w:val="center"/>
          </w:tcPr>
          <w:p w14:paraId="1E2D94B5" w14:textId="77777777" w:rsidR="0014233E" w:rsidRDefault="00000000">
            <w:pPr>
              <w:spacing w:after="0" w:line="240" w:lineRule="auto"/>
            </w:pPr>
            <w:r>
              <w:rPr>
                <w:b/>
                <w:color w:val="17365D"/>
                <w:sz w:val="15"/>
              </w:rPr>
              <w:t>VA Transfer and Settlement</w:t>
            </w:r>
          </w:p>
        </w:tc>
        <w:tc>
          <w:tcPr>
            <w:tcW w:w="2880" w:type="dxa"/>
            <w:shd w:val="clear" w:color="auto" w:fill="E2F0D9"/>
            <w:tcMar>
              <w:top w:w="100" w:type="dxa"/>
              <w:left w:w="110" w:type="dxa"/>
              <w:bottom w:w="100" w:type="dxa"/>
              <w:right w:w="110" w:type="dxa"/>
            </w:tcMar>
            <w:vAlign w:val="center"/>
          </w:tcPr>
          <w:p w14:paraId="55AE9E1F" w14:textId="77777777" w:rsidR="0014233E" w:rsidRDefault="00000000">
            <w:pPr>
              <w:spacing w:after="0" w:line="240" w:lineRule="auto"/>
            </w:pPr>
            <w:r>
              <w:rPr>
                <w:sz w:val="15"/>
              </w:rPr>
              <w:t>Transmission, transfer or settlement of virtual assets from one entity to another or to another wallet/address.</w:t>
            </w:r>
          </w:p>
        </w:tc>
        <w:tc>
          <w:tcPr>
            <w:tcW w:w="3528" w:type="dxa"/>
            <w:shd w:val="clear" w:color="auto" w:fill="E2F0D9"/>
            <w:tcMar>
              <w:top w:w="100" w:type="dxa"/>
              <w:left w:w="110" w:type="dxa"/>
              <w:bottom w:w="100" w:type="dxa"/>
              <w:right w:w="110" w:type="dxa"/>
            </w:tcMar>
            <w:vAlign w:val="center"/>
          </w:tcPr>
          <w:p w14:paraId="26F4F836" w14:textId="77777777" w:rsidR="0014233E" w:rsidRDefault="00000000">
            <w:pPr>
              <w:spacing w:after="0" w:line="240" w:lineRule="auto"/>
            </w:pPr>
            <w:r>
              <w:rPr>
                <w:sz w:val="15"/>
              </w:rPr>
              <w:t>Closest apparent fit: the product releases stablecoin from buyer-funded escrow to the seller when documentary conditions are satisfied.</w:t>
            </w:r>
          </w:p>
        </w:tc>
        <w:tc>
          <w:tcPr>
            <w:tcW w:w="1512" w:type="dxa"/>
            <w:shd w:val="clear" w:color="auto" w:fill="E2F0D9"/>
            <w:tcMar>
              <w:top w:w="100" w:type="dxa"/>
              <w:left w:w="110" w:type="dxa"/>
              <w:bottom w:w="100" w:type="dxa"/>
              <w:right w:w="110" w:type="dxa"/>
            </w:tcMar>
            <w:vAlign w:val="center"/>
          </w:tcPr>
          <w:p w14:paraId="1EE2E724" w14:textId="77777777" w:rsidR="0014233E" w:rsidRDefault="00000000">
            <w:pPr>
              <w:spacing w:after="0" w:line="240" w:lineRule="auto"/>
            </w:pPr>
            <w:r>
              <w:rPr>
                <w:sz w:val="15"/>
              </w:rPr>
              <w:t>Likely core application scope</w:t>
            </w:r>
          </w:p>
        </w:tc>
      </w:tr>
      <w:tr w:rsidR="0014233E" w14:paraId="58C83A5D" w14:textId="77777777">
        <w:trPr>
          <w:cantSplit/>
          <w:jc w:val="center"/>
        </w:trPr>
        <w:tc>
          <w:tcPr>
            <w:tcW w:w="1800" w:type="dxa"/>
            <w:shd w:val="clear" w:color="auto" w:fill="FFF2CC"/>
            <w:tcMar>
              <w:top w:w="100" w:type="dxa"/>
              <w:left w:w="110" w:type="dxa"/>
              <w:bottom w:w="100" w:type="dxa"/>
              <w:right w:w="110" w:type="dxa"/>
            </w:tcMar>
            <w:vAlign w:val="center"/>
          </w:tcPr>
          <w:p w14:paraId="4163E8D0" w14:textId="77777777" w:rsidR="0014233E" w:rsidRDefault="00000000">
            <w:pPr>
              <w:spacing w:after="0" w:line="240" w:lineRule="auto"/>
            </w:pPr>
            <w:r>
              <w:rPr>
                <w:b/>
                <w:color w:val="17365D"/>
                <w:sz w:val="15"/>
              </w:rPr>
              <w:t>Custody Services</w:t>
            </w:r>
          </w:p>
        </w:tc>
        <w:tc>
          <w:tcPr>
            <w:tcW w:w="2880" w:type="dxa"/>
            <w:shd w:val="clear" w:color="auto" w:fill="FFF2CC"/>
            <w:tcMar>
              <w:top w:w="100" w:type="dxa"/>
              <w:left w:w="110" w:type="dxa"/>
              <w:bottom w:w="100" w:type="dxa"/>
              <w:right w:w="110" w:type="dxa"/>
            </w:tcMar>
            <w:vAlign w:val="center"/>
          </w:tcPr>
          <w:p w14:paraId="30E75606" w14:textId="77777777" w:rsidR="0014233E" w:rsidRDefault="00000000">
            <w:pPr>
              <w:spacing w:after="0" w:line="240" w:lineRule="auto"/>
            </w:pPr>
            <w:r>
              <w:rPr>
                <w:sz w:val="15"/>
              </w:rPr>
              <w:t>Safekeeping virtual assets for another entity and acting on verified instructions.</w:t>
            </w:r>
          </w:p>
        </w:tc>
        <w:tc>
          <w:tcPr>
            <w:tcW w:w="3528" w:type="dxa"/>
            <w:shd w:val="clear" w:color="auto" w:fill="FFF2CC"/>
            <w:tcMar>
              <w:top w:w="100" w:type="dxa"/>
              <w:left w:w="110" w:type="dxa"/>
              <w:bottom w:w="100" w:type="dxa"/>
              <w:right w:w="110" w:type="dxa"/>
            </w:tcMar>
            <w:vAlign w:val="center"/>
          </w:tcPr>
          <w:p w14:paraId="35DBE239" w14:textId="77777777" w:rsidR="0014233E" w:rsidRDefault="00000000">
            <w:pPr>
              <w:spacing w:after="0" w:line="240" w:lineRule="auto"/>
            </w:pPr>
            <w:r>
              <w:rPr>
                <w:sz w:val="15"/>
              </w:rPr>
              <w:t>Conditional. Direct smart-contract funding helps, but the server-side release key, admin/upgrade controls and recovery rights may amount to control or safekeeping.</w:t>
            </w:r>
          </w:p>
        </w:tc>
        <w:tc>
          <w:tcPr>
            <w:tcW w:w="1512" w:type="dxa"/>
            <w:shd w:val="clear" w:color="auto" w:fill="FFF2CC"/>
            <w:tcMar>
              <w:top w:w="100" w:type="dxa"/>
              <w:left w:w="110" w:type="dxa"/>
              <w:bottom w:w="100" w:type="dxa"/>
              <w:right w:w="110" w:type="dxa"/>
            </w:tcMar>
            <w:vAlign w:val="center"/>
          </w:tcPr>
          <w:p w14:paraId="4F826778" w14:textId="77777777" w:rsidR="0014233E" w:rsidRDefault="00000000">
            <w:pPr>
              <w:spacing w:after="0" w:line="240" w:lineRule="auto"/>
            </w:pPr>
            <w:r>
              <w:rPr>
                <w:sz w:val="15"/>
              </w:rPr>
              <w:t>Obtain written opinion / regulator view</w:t>
            </w:r>
          </w:p>
        </w:tc>
      </w:tr>
      <w:tr w:rsidR="0014233E" w14:paraId="3027F459" w14:textId="77777777">
        <w:trPr>
          <w:cantSplit/>
          <w:jc w:val="center"/>
        </w:trPr>
        <w:tc>
          <w:tcPr>
            <w:tcW w:w="1800" w:type="dxa"/>
            <w:shd w:val="clear" w:color="auto" w:fill="FFF2CC"/>
            <w:tcMar>
              <w:top w:w="100" w:type="dxa"/>
              <w:left w:w="110" w:type="dxa"/>
              <w:bottom w:w="100" w:type="dxa"/>
              <w:right w:w="110" w:type="dxa"/>
            </w:tcMar>
            <w:vAlign w:val="center"/>
          </w:tcPr>
          <w:p w14:paraId="1473DE79" w14:textId="77777777" w:rsidR="0014233E" w:rsidRDefault="00000000">
            <w:pPr>
              <w:spacing w:after="0" w:line="240" w:lineRule="auto"/>
            </w:pPr>
            <w:r>
              <w:rPr>
                <w:b/>
                <w:color w:val="17365D"/>
                <w:sz w:val="15"/>
              </w:rPr>
              <w:t>Broker-Dealer Services</w:t>
            </w:r>
          </w:p>
        </w:tc>
        <w:tc>
          <w:tcPr>
            <w:tcW w:w="2880" w:type="dxa"/>
            <w:shd w:val="clear" w:color="auto" w:fill="FFF2CC"/>
            <w:tcMar>
              <w:top w:w="100" w:type="dxa"/>
              <w:left w:w="110" w:type="dxa"/>
              <w:bottom w:w="100" w:type="dxa"/>
              <w:right w:w="110" w:type="dxa"/>
            </w:tcMar>
            <w:vAlign w:val="center"/>
          </w:tcPr>
          <w:p w14:paraId="3C2A95E2" w14:textId="77777777" w:rsidR="0014233E" w:rsidRDefault="00000000">
            <w:pPr>
              <w:spacing w:after="0" w:line="240" w:lineRule="auto"/>
            </w:pPr>
            <w:r>
              <w:rPr>
                <w:sz w:val="15"/>
              </w:rPr>
              <w:t>Arranging, accepting or matching orders for the purchase or sale of virtual assets, or dealing/market-making in them.</w:t>
            </w:r>
          </w:p>
        </w:tc>
        <w:tc>
          <w:tcPr>
            <w:tcW w:w="3528" w:type="dxa"/>
            <w:shd w:val="clear" w:color="auto" w:fill="FFF2CC"/>
            <w:tcMar>
              <w:top w:w="100" w:type="dxa"/>
              <w:left w:w="110" w:type="dxa"/>
              <w:bottom w:w="100" w:type="dxa"/>
              <w:right w:w="110" w:type="dxa"/>
            </w:tcMar>
            <w:vAlign w:val="center"/>
          </w:tcPr>
          <w:p w14:paraId="48C4D558" w14:textId="77777777" w:rsidR="0014233E" w:rsidRDefault="00000000">
            <w:pPr>
              <w:spacing w:after="0" w:line="240" w:lineRule="auto"/>
            </w:pPr>
            <w:r>
              <w:rPr>
                <w:sz w:val="15"/>
              </w:rPr>
              <w:t>Not established by the current model. Blockmediary arranges settlement of a physical-goods sale and does not describe token purchase/sale or order matching.</w:t>
            </w:r>
          </w:p>
        </w:tc>
        <w:tc>
          <w:tcPr>
            <w:tcW w:w="1512" w:type="dxa"/>
            <w:shd w:val="clear" w:color="auto" w:fill="FFF2CC"/>
            <w:tcMar>
              <w:top w:w="100" w:type="dxa"/>
              <w:left w:w="110" w:type="dxa"/>
              <w:bottom w:w="100" w:type="dxa"/>
              <w:right w:w="110" w:type="dxa"/>
            </w:tcMar>
            <w:vAlign w:val="center"/>
          </w:tcPr>
          <w:p w14:paraId="42396D6E" w14:textId="77777777" w:rsidR="0014233E" w:rsidRDefault="00000000">
            <w:pPr>
              <w:spacing w:after="0" w:line="240" w:lineRule="auto"/>
            </w:pPr>
            <w:r>
              <w:rPr>
                <w:sz w:val="15"/>
              </w:rPr>
              <w:t>Do not assume mandatory</w:t>
            </w:r>
          </w:p>
        </w:tc>
      </w:tr>
    </w:tbl>
    <w:p w14:paraId="07D5B694" w14:textId="77777777" w:rsidR="0014233E" w:rsidRDefault="0014233E">
      <w:pPr>
        <w:spacing w:after="20"/>
      </w:pPr>
    </w:p>
    <w:tbl>
      <w:tblPr>
        <w:tblW w:w="0" w:type="auto"/>
        <w:jc w:val="center"/>
        <w:tblBorders>
          <w:top w:val="single" w:sz="8" w:space="0" w:color="BF9000"/>
          <w:left w:val="single" w:sz="8" w:space="0" w:color="BF9000"/>
          <w:bottom w:val="single" w:sz="8" w:space="0" w:color="BF9000"/>
          <w:right w:val="single" w:sz="8" w:space="0" w:color="BF9000"/>
        </w:tblBorders>
        <w:tblLayout w:type="fixed"/>
        <w:tblLook w:val="04A0" w:firstRow="1" w:lastRow="0" w:firstColumn="1" w:lastColumn="0" w:noHBand="0" w:noVBand="1"/>
      </w:tblPr>
      <w:tblGrid>
        <w:gridCol w:w="9864"/>
      </w:tblGrid>
      <w:tr w:rsidR="0014233E" w14:paraId="64A1005D" w14:textId="77777777">
        <w:trPr>
          <w:jc w:val="center"/>
        </w:trPr>
        <w:tc>
          <w:tcPr>
            <w:tcW w:w="9864" w:type="dxa"/>
            <w:shd w:val="clear" w:color="auto" w:fill="FFF2CC"/>
            <w:tcMar>
              <w:top w:w="150" w:type="dxa"/>
              <w:left w:w="180" w:type="dxa"/>
              <w:bottom w:w="150" w:type="dxa"/>
              <w:right w:w="180" w:type="dxa"/>
            </w:tcMar>
          </w:tcPr>
          <w:p w14:paraId="2CCA00BE" w14:textId="77777777" w:rsidR="0014233E" w:rsidRDefault="00000000">
            <w:pPr>
              <w:spacing w:after="60"/>
            </w:pPr>
            <w:r>
              <w:rPr>
                <w:rFonts w:ascii="Aptos Display" w:hAnsi="Aptos Display"/>
                <w:b/>
                <w:color w:val="17365D"/>
                <w:sz w:val="22"/>
              </w:rPr>
              <w:t>Structural issue if Custody is required</w:t>
            </w:r>
          </w:p>
          <w:p w14:paraId="5C8B3C9B" w14:textId="77777777" w:rsidR="0014233E" w:rsidRDefault="00000000">
            <w:pPr>
              <w:spacing w:after="0"/>
            </w:pPr>
            <w:r>
              <w:rPr>
                <w:sz w:val="19"/>
              </w:rPr>
              <w:t>VARA requires a Custody VASP to be a separate legal entity from group entities providing other VA activities, with a limited possibility of combining Custody and Transfer and Settlement subject to VARA approval and strict operational segregation. The current assumption that one entity will simply hold Custody, Transfer and Settlement and Broker-Dealer permissions should not be treated as settled. [14]</w:t>
            </w:r>
          </w:p>
        </w:tc>
      </w:tr>
    </w:tbl>
    <w:p w14:paraId="0F97EBDF" w14:textId="77777777" w:rsidR="0014233E" w:rsidRDefault="0014233E">
      <w:pPr>
        <w:spacing w:after="20"/>
      </w:pPr>
    </w:p>
    <w:p w14:paraId="524075B2" w14:textId="77777777" w:rsidR="0014233E" w:rsidRDefault="00000000">
      <w:pPr>
        <w:pStyle w:val="Heading2"/>
      </w:pPr>
      <w:r>
        <w:t>4.3 Core licence-readiness requirements</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944"/>
        <w:gridCol w:w="3744"/>
        <w:gridCol w:w="4031"/>
      </w:tblGrid>
      <w:tr w:rsidR="0014233E" w14:paraId="2E408E60" w14:textId="77777777">
        <w:trPr>
          <w:cantSplit/>
          <w:tblHeader/>
          <w:jc w:val="center"/>
        </w:trPr>
        <w:tc>
          <w:tcPr>
            <w:tcW w:w="1944" w:type="dxa"/>
            <w:shd w:val="clear" w:color="auto" w:fill="17365D"/>
            <w:tcMar>
              <w:top w:w="100" w:type="dxa"/>
              <w:left w:w="110" w:type="dxa"/>
              <w:bottom w:w="100" w:type="dxa"/>
              <w:right w:w="110" w:type="dxa"/>
            </w:tcMar>
            <w:vAlign w:val="center"/>
          </w:tcPr>
          <w:p w14:paraId="0DF00389" w14:textId="77777777" w:rsidR="0014233E" w:rsidRDefault="00000000">
            <w:pPr>
              <w:spacing w:after="0" w:line="240" w:lineRule="auto"/>
              <w:jc w:val="center"/>
            </w:pPr>
            <w:r>
              <w:rPr>
                <w:b/>
                <w:color w:val="FFFFFF"/>
                <w:sz w:val="15"/>
              </w:rPr>
              <w:t>Requirement category</w:t>
            </w:r>
          </w:p>
        </w:tc>
        <w:tc>
          <w:tcPr>
            <w:tcW w:w="3744" w:type="dxa"/>
            <w:shd w:val="clear" w:color="auto" w:fill="17365D"/>
            <w:tcMar>
              <w:top w:w="100" w:type="dxa"/>
              <w:left w:w="110" w:type="dxa"/>
              <w:bottom w:w="100" w:type="dxa"/>
              <w:right w:w="110" w:type="dxa"/>
            </w:tcMar>
            <w:vAlign w:val="center"/>
          </w:tcPr>
          <w:p w14:paraId="4BC45864" w14:textId="77777777" w:rsidR="0014233E" w:rsidRDefault="00000000">
            <w:pPr>
              <w:spacing w:after="0" w:line="240" w:lineRule="auto"/>
              <w:jc w:val="center"/>
            </w:pPr>
            <w:r>
              <w:rPr>
                <w:b/>
                <w:color w:val="FFFFFF"/>
                <w:sz w:val="15"/>
              </w:rPr>
              <w:t>What VARA expects</w:t>
            </w:r>
          </w:p>
        </w:tc>
        <w:tc>
          <w:tcPr>
            <w:tcW w:w="4031" w:type="dxa"/>
            <w:shd w:val="clear" w:color="auto" w:fill="17365D"/>
            <w:tcMar>
              <w:top w:w="100" w:type="dxa"/>
              <w:left w:w="110" w:type="dxa"/>
              <w:bottom w:w="100" w:type="dxa"/>
              <w:right w:w="110" w:type="dxa"/>
            </w:tcMar>
            <w:vAlign w:val="center"/>
          </w:tcPr>
          <w:p w14:paraId="467FC1F4" w14:textId="77777777" w:rsidR="0014233E" w:rsidRDefault="00000000">
            <w:pPr>
              <w:spacing w:after="0" w:line="240" w:lineRule="auto"/>
              <w:jc w:val="center"/>
            </w:pPr>
            <w:r>
              <w:rPr>
                <w:b/>
                <w:color w:val="FFFFFF"/>
                <w:sz w:val="15"/>
              </w:rPr>
              <w:t>Blockmediary-specific evidence</w:t>
            </w:r>
          </w:p>
        </w:tc>
      </w:tr>
      <w:tr w:rsidR="0014233E" w14:paraId="7035ACEE" w14:textId="77777777">
        <w:trPr>
          <w:cantSplit/>
          <w:jc w:val="center"/>
        </w:trPr>
        <w:tc>
          <w:tcPr>
            <w:tcW w:w="1944" w:type="dxa"/>
            <w:tcMar>
              <w:top w:w="100" w:type="dxa"/>
              <w:left w:w="110" w:type="dxa"/>
              <w:bottom w:w="100" w:type="dxa"/>
              <w:right w:w="110" w:type="dxa"/>
            </w:tcMar>
            <w:vAlign w:val="center"/>
          </w:tcPr>
          <w:p w14:paraId="7DA2BF74" w14:textId="77777777" w:rsidR="0014233E" w:rsidRDefault="00000000">
            <w:pPr>
              <w:spacing w:after="0" w:line="240" w:lineRule="auto"/>
            </w:pPr>
            <w:r>
              <w:rPr>
                <w:b/>
                <w:color w:val="17365D"/>
                <w:sz w:val="15"/>
              </w:rPr>
              <w:lastRenderedPageBreak/>
              <w:t>Corporate and ownership</w:t>
            </w:r>
          </w:p>
        </w:tc>
        <w:tc>
          <w:tcPr>
            <w:tcW w:w="3744" w:type="dxa"/>
            <w:tcMar>
              <w:top w:w="100" w:type="dxa"/>
              <w:left w:w="110" w:type="dxa"/>
              <w:bottom w:w="100" w:type="dxa"/>
              <w:right w:w="110" w:type="dxa"/>
            </w:tcMar>
            <w:vAlign w:val="center"/>
          </w:tcPr>
          <w:p w14:paraId="6797C963" w14:textId="77777777" w:rsidR="0014233E" w:rsidRDefault="00000000">
            <w:pPr>
              <w:spacing w:after="0" w:line="240" w:lineRule="auto"/>
            </w:pPr>
            <w:r>
              <w:rPr>
                <w:sz w:val="15"/>
              </w:rPr>
              <w:t>Non-DIFC Dubai applicant; incorporation and licensing documents; UBO/controller information; source of funds; group and close-links information.</w:t>
            </w:r>
          </w:p>
        </w:tc>
        <w:tc>
          <w:tcPr>
            <w:tcW w:w="4031" w:type="dxa"/>
            <w:tcMar>
              <w:top w:w="100" w:type="dxa"/>
              <w:left w:w="110" w:type="dxa"/>
              <w:bottom w:w="100" w:type="dxa"/>
              <w:right w:w="110" w:type="dxa"/>
            </w:tcMar>
            <w:vAlign w:val="center"/>
          </w:tcPr>
          <w:p w14:paraId="4515CBBB" w14:textId="77777777" w:rsidR="0014233E" w:rsidRDefault="00000000">
            <w:pPr>
              <w:spacing w:after="0" w:line="240" w:lineRule="auto"/>
            </w:pPr>
            <w:r>
              <w:rPr>
                <w:sz w:val="15"/>
              </w:rPr>
              <w:t>Clear DIFC-partner entity versus VARA-scale entity chart, IP/service agreements and ownership funding trail.</w:t>
            </w:r>
          </w:p>
        </w:tc>
      </w:tr>
      <w:tr w:rsidR="0014233E" w14:paraId="6DC202FA" w14:textId="77777777">
        <w:trPr>
          <w:cantSplit/>
          <w:jc w:val="center"/>
        </w:trPr>
        <w:tc>
          <w:tcPr>
            <w:tcW w:w="1944" w:type="dxa"/>
            <w:tcMar>
              <w:top w:w="100" w:type="dxa"/>
              <w:left w:w="110" w:type="dxa"/>
              <w:bottom w:w="100" w:type="dxa"/>
              <w:right w:w="110" w:type="dxa"/>
            </w:tcMar>
            <w:vAlign w:val="center"/>
          </w:tcPr>
          <w:p w14:paraId="56382B28" w14:textId="77777777" w:rsidR="0014233E" w:rsidRDefault="00000000">
            <w:pPr>
              <w:spacing w:after="0" w:line="240" w:lineRule="auto"/>
            </w:pPr>
            <w:r>
              <w:rPr>
                <w:b/>
                <w:color w:val="17365D"/>
                <w:sz w:val="15"/>
              </w:rPr>
              <w:t>Governance and people</w:t>
            </w:r>
          </w:p>
        </w:tc>
        <w:tc>
          <w:tcPr>
            <w:tcW w:w="3744" w:type="dxa"/>
            <w:tcMar>
              <w:top w:w="100" w:type="dxa"/>
              <w:left w:w="110" w:type="dxa"/>
              <w:bottom w:w="100" w:type="dxa"/>
              <w:right w:w="110" w:type="dxa"/>
            </w:tcMar>
            <w:vAlign w:val="center"/>
          </w:tcPr>
          <w:p w14:paraId="43DC91BF" w14:textId="77777777" w:rsidR="0014233E" w:rsidRDefault="00000000">
            <w:pPr>
              <w:spacing w:after="0" w:line="240" w:lineRule="auto"/>
            </w:pPr>
            <w:r>
              <w:rPr>
                <w:sz w:val="15"/>
              </w:rPr>
              <w:t>Suitable senior management and two full-time, fit-and-proper Responsible Individuals who are UAE residents or UAE passport holders. [10][13]</w:t>
            </w:r>
          </w:p>
        </w:tc>
        <w:tc>
          <w:tcPr>
            <w:tcW w:w="4031" w:type="dxa"/>
            <w:tcMar>
              <w:top w:w="100" w:type="dxa"/>
              <w:left w:w="110" w:type="dxa"/>
              <w:bottom w:w="100" w:type="dxa"/>
              <w:right w:w="110" w:type="dxa"/>
            </w:tcMar>
            <w:vAlign w:val="center"/>
          </w:tcPr>
          <w:p w14:paraId="7FD01BA8" w14:textId="77777777" w:rsidR="0014233E" w:rsidRDefault="00000000">
            <w:pPr>
              <w:spacing w:after="0" w:line="240" w:lineRule="auto"/>
            </w:pPr>
            <w:r>
              <w:rPr>
                <w:sz w:val="15"/>
              </w:rPr>
              <w:t>Named CEO/operations and compliance accountability; approved RIs; conflicts, delegation and succession arrangements.</w:t>
            </w:r>
          </w:p>
        </w:tc>
      </w:tr>
      <w:tr w:rsidR="0014233E" w14:paraId="53CDD0FC" w14:textId="77777777">
        <w:trPr>
          <w:cantSplit/>
          <w:jc w:val="center"/>
        </w:trPr>
        <w:tc>
          <w:tcPr>
            <w:tcW w:w="1944" w:type="dxa"/>
            <w:tcMar>
              <w:top w:w="100" w:type="dxa"/>
              <w:left w:w="110" w:type="dxa"/>
              <w:bottom w:w="100" w:type="dxa"/>
              <w:right w:w="110" w:type="dxa"/>
            </w:tcMar>
            <w:vAlign w:val="center"/>
          </w:tcPr>
          <w:p w14:paraId="46F90FE7" w14:textId="77777777" w:rsidR="0014233E" w:rsidRDefault="00000000">
            <w:pPr>
              <w:spacing w:after="0" w:line="240" w:lineRule="auto"/>
            </w:pPr>
            <w:r>
              <w:rPr>
                <w:b/>
                <w:color w:val="17365D"/>
                <w:sz w:val="15"/>
              </w:rPr>
              <w:t>Physical presence</w:t>
            </w:r>
          </w:p>
        </w:tc>
        <w:tc>
          <w:tcPr>
            <w:tcW w:w="3744" w:type="dxa"/>
            <w:tcMar>
              <w:top w:w="100" w:type="dxa"/>
              <w:left w:w="110" w:type="dxa"/>
              <w:bottom w:w="100" w:type="dxa"/>
              <w:right w:w="110" w:type="dxa"/>
            </w:tcMar>
            <w:vAlign w:val="center"/>
          </w:tcPr>
          <w:p w14:paraId="5BE3FE16" w14:textId="77777777" w:rsidR="0014233E" w:rsidRDefault="00000000">
            <w:pPr>
              <w:spacing w:after="0" w:line="240" w:lineRule="auto"/>
            </w:pPr>
            <w:r>
              <w:rPr>
                <w:sz w:val="15"/>
              </w:rPr>
              <w:t>Private Dubai office for Custody, Broker-Dealer and Transfer and Settlement activities. [10]</w:t>
            </w:r>
          </w:p>
        </w:tc>
        <w:tc>
          <w:tcPr>
            <w:tcW w:w="4031" w:type="dxa"/>
            <w:tcMar>
              <w:top w:w="100" w:type="dxa"/>
              <w:left w:w="110" w:type="dxa"/>
              <w:bottom w:w="100" w:type="dxa"/>
              <w:right w:w="110" w:type="dxa"/>
            </w:tcMar>
            <w:vAlign w:val="center"/>
          </w:tcPr>
          <w:p w14:paraId="549784C8" w14:textId="77777777" w:rsidR="0014233E" w:rsidRDefault="00000000">
            <w:pPr>
              <w:spacing w:after="0" w:line="240" w:lineRule="auto"/>
            </w:pPr>
            <w:r>
              <w:rPr>
                <w:sz w:val="15"/>
              </w:rPr>
              <w:t>Office and staffing plan consistent with the proposed activities and transaction volume.</w:t>
            </w:r>
          </w:p>
        </w:tc>
      </w:tr>
      <w:tr w:rsidR="0014233E" w14:paraId="6D863D0A" w14:textId="77777777">
        <w:trPr>
          <w:cantSplit/>
          <w:jc w:val="center"/>
        </w:trPr>
        <w:tc>
          <w:tcPr>
            <w:tcW w:w="1944" w:type="dxa"/>
            <w:tcMar>
              <w:top w:w="100" w:type="dxa"/>
              <w:left w:w="110" w:type="dxa"/>
              <w:bottom w:w="100" w:type="dxa"/>
              <w:right w:w="110" w:type="dxa"/>
            </w:tcMar>
            <w:vAlign w:val="center"/>
          </w:tcPr>
          <w:p w14:paraId="19D735B5" w14:textId="77777777" w:rsidR="0014233E" w:rsidRDefault="00000000">
            <w:pPr>
              <w:spacing w:after="0" w:line="240" w:lineRule="auto"/>
            </w:pPr>
            <w:r>
              <w:rPr>
                <w:b/>
                <w:color w:val="17365D"/>
                <w:sz w:val="15"/>
              </w:rPr>
              <w:t>Regulatory business plan</w:t>
            </w:r>
          </w:p>
        </w:tc>
        <w:tc>
          <w:tcPr>
            <w:tcW w:w="3744" w:type="dxa"/>
            <w:tcMar>
              <w:top w:w="100" w:type="dxa"/>
              <w:left w:w="110" w:type="dxa"/>
              <w:bottom w:w="100" w:type="dxa"/>
              <w:right w:w="110" w:type="dxa"/>
            </w:tcMar>
            <w:vAlign w:val="center"/>
          </w:tcPr>
          <w:p w14:paraId="70341247" w14:textId="77777777" w:rsidR="0014233E" w:rsidRDefault="00000000">
            <w:pPr>
              <w:spacing w:after="0" w:line="240" w:lineRule="auto"/>
            </w:pPr>
            <w:r>
              <w:rPr>
                <w:sz w:val="15"/>
              </w:rPr>
              <w:t>Detailed activity scope, target customers, products, jurisdictions, revenue, financial projections, risks and operating model.</w:t>
            </w:r>
          </w:p>
        </w:tc>
        <w:tc>
          <w:tcPr>
            <w:tcW w:w="4031" w:type="dxa"/>
            <w:tcMar>
              <w:top w:w="100" w:type="dxa"/>
              <w:left w:w="110" w:type="dxa"/>
              <w:bottom w:w="100" w:type="dxa"/>
              <w:right w:w="110" w:type="dxa"/>
            </w:tcMar>
            <w:vAlign w:val="center"/>
          </w:tcPr>
          <w:p w14:paraId="18AE3078" w14:textId="77777777" w:rsidR="0014233E" w:rsidRDefault="00000000">
            <w:pPr>
              <w:spacing w:after="0" w:line="240" w:lineRule="auto"/>
            </w:pPr>
            <w:r>
              <w:rPr>
                <w:sz w:val="15"/>
              </w:rPr>
              <w:t>Explain documentary escrow, no-lending boundary, customer journey, partner migration and transaction/value limits.</w:t>
            </w:r>
          </w:p>
        </w:tc>
      </w:tr>
      <w:tr w:rsidR="0014233E" w14:paraId="547141C6" w14:textId="77777777">
        <w:trPr>
          <w:cantSplit/>
          <w:jc w:val="center"/>
        </w:trPr>
        <w:tc>
          <w:tcPr>
            <w:tcW w:w="1944" w:type="dxa"/>
            <w:tcMar>
              <w:top w:w="100" w:type="dxa"/>
              <w:left w:w="110" w:type="dxa"/>
              <w:bottom w:w="100" w:type="dxa"/>
              <w:right w:w="110" w:type="dxa"/>
            </w:tcMar>
            <w:vAlign w:val="center"/>
          </w:tcPr>
          <w:p w14:paraId="51E0937B" w14:textId="77777777" w:rsidR="0014233E" w:rsidRDefault="00000000">
            <w:pPr>
              <w:spacing w:after="0" w:line="240" w:lineRule="auto"/>
            </w:pPr>
            <w:r>
              <w:rPr>
                <w:b/>
                <w:color w:val="17365D"/>
                <w:sz w:val="15"/>
              </w:rPr>
              <w:t>AML/CFT and sanctions</w:t>
            </w:r>
          </w:p>
        </w:tc>
        <w:tc>
          <w:tcPr>
            <w:tcW w:w="3744" w:type="dxa"/>
            <w:tcMar>
              <w:top w:w="100" w:type="dxa"/>
              <w:left w:w="110" w:type="dxa"/>
              <w:bottom w:w="100" w:type="dxa"/>
              <w:right w:w="110" w:type="dxa"/>
            </w:tcMar>
            <w:vAlign w:val="center"/>
          </w:tcPr>
          <w:p w14:paraId="2F86B06C" w14:textId="77777777" w:rsidR="0014233E" w:rsidRDefault="00000000">
            <w:pPr>
              <w:spacing w:after="0" w:line="240" w:lineRule="auto"/>
            </w:pPr>
            <w:r>
              <w:rPr>
                <w:sz w:val="15"/>
              </w:rPr>
              <w:t>Customer due diligence, ongoing monitoring, sanctions, suspicious-activity escalation, counterparty-VASP due diligence and Travel Rule controls.</w:t>
            </w:r>
          </w:p>
        </w:tc>
        <w:tc>
          <w:tcPr>
            <w:tcW w:w="4031" w:type="dxa"/>
            <w:tcMar>
              <w:top w:w="100" w:type="dxa"/>
              <w:left w:w="110" w:type="dxa"/>
              <w:bottom w:w="100" w:type="dxa"/>
              <w:right w:w="110" w:type="dxa"/>
            </w:tcMar>
            <w:vAlign w:val="center"/>
          </w:tcPr>
          <w:p w14:paraId="5D2AF7CC" w14:textId="77777777" w:rsidR="0014233E" w:rsidRDefault="00000000">
            <w:pPr>
              <w:spacing w:after="0" w:line="240" w:lineRule="auto"/>
            </w:pPr>
            <w:r>
              <w:rPr>
                <w:sz w:val="15"/>
              </w:rPr>
              <w:t>KYB/UBO and wallet screening before funding; unhosted-wallet approach; originator/beneficiary data for relevant transfers. [16]</w:t>
            </w:r>
          </w:p>
        </w:tc>
      </w:tr>
      <w:tr w:rsidR="0014233E" w14:paraId="7C2E0E2F" w14:textId="77777777">
        <w:trPr>
          <w:cantSplit/>
          <w:jc w:val="center"/>
        </w:trPr>
        <w:tc>
          <w:tcPr>
            <w:tcW w:w="1944" w:type="dxa"/>
            <w:tcMar>
              <w:top w:w="100" w:type="dxa"/>
              <w:left w:w="110" w:type="dxa"/>
              <w:bottom w:w="100" w:type="dxa"/>
              <w:right w:w="110" w:type="dxa"/>
            </w:tcMar>
            <w:vAlign w:val="center"/>
          </w:tcPr>
          <w:p w14:paraId="17F51BA7" w14:textId="77777777" w:rsidR="0014233E" w:rsidRDefault="00000000">
            <w:pPr>
              <w:spacing w:after="0" w:line="240" w:lineRule="auto"/>
            </w:pPr>
            <w:r>
              <w:rPr>
                <w:b/>
                <w:color w:val="17365D"/>
                <w:sz w:val="15"/>
              </w:rPr>
              <w:t>Client asset / custody controls</w:t>
            </w:r>
          </w:p>
        </w:tc>
        <w:tc>
          <w:tcPr>
            <w:tcW w:w="3744" w:type="dxa"/>
            <w:tcMar>
              <w:top w:w="100" w:type="dxa"/>
              <w:left w:w="110" w:type="dxa"/>
              <w:bottom w:w="100" w:type="dxa"/>
              <w:right w:w="110" w:type="dxa"/>
            </w:tcMar>
            <w:vAlign w:val="center"/>
          </w:tcPr>
          <w:p w14:paraId="31329D87" w14:textId="77777777" w:rsidR="0014233E" w:rsidRDefault="00000000">
            <w:pPr>
              <w:spacing w:after="0" w:line="240" w:lineRule="auto"/>
            </w:pPr>
            <w:r>
              <w:rPr>
                <w:sz w:val="15"/>
              </w:rPr>
              <w:t>Safeguarding, wallet segregation, control, reconciliation and prohibition on rehypothecation where Custody applies. [14]</w:t>
            </w:r>
          </w:p>
        </w:tc>
        <w:tc>
          <w:tcPr>
            <w:tcW w:w="4031" w:type="dxa"/>
            <w:tcMar>
              <w:top w:w="100" w:type="dxa"/>
              <w:left w:w="110" w:type="dxa"/>
              <w:bottom w:w="100" w:type="dxa"/>
              <w:right w:w="110" w:type="dxa"/>
            </w:tcMar>
            <w:vAlign w:val="center"/>
          </w:tcPr>
          <w:p w14:paraId="7DD1FEEF" w14:textId="77777777" w:rsidR="0014233E" w:rsidRDefault="00000000">
            <w:pPr>
              <w:spacing w:after="0" w:line="240" w:lineRule="auto"/>
            </w:pPr>
            <w:r>
              <w:rPr>
                <w:sz w:val="15"/>
              </w:rPr>
              <w:t>Per-deal/client segregation design, reconciliation between contract and ledger, recovery and wind-down treatment.</w:t>
            </w:r>
          </w:p>
        </w:tc>
      </w:tr>
      <w:tr w:rsidR="0014233E" w14:paraId="7D0860F6" w14:textId="77777777">
        <w:trPr>
          <w:cantSplit/>
          <w:jc w:val="center"/>
        </w:trPr>
        <w:tc>
          <w:tcPr>
            <w:tcW w:w="1944" w:type="dxa"/>
            <w:tcMar>
              <w:top w:w="100" w:type="dxa"/>
              <w:left w:w="110" w:type="dxa"/>
              <w:bottom w:w="100" w:type="dxa"/>
              <w:right w:w="110" w:type="dxa"/>
            </w:tcMar>
            <w:vAlign w:val="center"/>
          </w:tcPr>
          <w:p w14:paraId="0DE3088E" w14:textId="77777777" w:rsidR="0014233E" w:rsidRDefault="00000000">
            <w:pPr>
              <w:spacing w:after="0" w:line="240" w:lineRule="auto"/>
            </w:pPr>
            <w:r>
              <w:rPr>
                <w:b/>
                <w:color w:val="17365D"/>
                <w:sz w:val="15"/>
              </w:rPr>
              <w:t>Technology and cyber</w:t>
            </w:r>
          </w:p>
        </w:tc>
        <w:tc>
          <w:tcPr>
            <w:tcW w:w="3744" w:type="dxa"/>
            <w:tcMar>
              <w:top w:w="100" w:type="dxa"/>
              <w:left w:w="110" w:type="dxa"/>
              <w:bottom w:w="100" w:type="dxa"/>
              <w:right w:w="110" w:type="dxa"/>
            </w:tcMar>
            <w:vAlign w:val="center"/>
          </w:tcPr>
          <w:p w14:paraId="59CBDD37" w14:textId="77777777" w:rsidR="0014233E" w:rsidRDefault="00000000">
            <w:pPr>
              <w:spacing w:after="0" w:line="240" w:lineRule="auto"/>
            </w:pPr>
            <w:r>
              <w:rPr>
                <w:sz w:val="15"/>
              </w:rPr>
              <w:t>Cybersecurity policy, CISO accountability, secure development, access controls, incident response, vendor management, independent testing and smart-contract review. [15]</w:t>
            </w:r>
          </w:p>
        </w:tc>
        <w:tc>
          <w:tcPr>
            <w:tcW w:w="4031" w:type="dxa"/>
            <w:tcMar>
              <w:top w:w="100" w:type="dxa"/>
              <w:left w:w="110" w:type="dxa"/>
              <w:bottom w:w="100" w:type="dxa"/>
              <w:right w:w="110" w:type="dxa"/>
            </w:tcMar>
            <w:vAlign w:val="center"/>
          </w:tcPr>
          <w:p w14:paraId="7CF27892" w14:textId="77777777" w:rsidR="0014233E" w:rsidRDefault="00000000">
            <w:pPr>
              <w:spacing w:after="0" w:line="240" w:lineRule="auto"/>
            </w:pPr>
            <w:r>
              <w:rPr>
                <w:sz w:val="15"/>
              </w:rPr>
              <w:t>Independent contract audit before production, key-management design, multisignature/separation of duties, monitoring, emergency pause and recovery.</w:t>
            </w:r>
          </w:p>
        </w:tc>
      </w:tr>
      <w:tr w:rsidR="0014233E" w14:paraId="41C962DB" w14:textId="77777777">
        <w:trPr>
          <w:cantSplit/>
          <w:jc w:val="center"/>
        </w:trPr>
        <w:tc>
          <w:tcPr>
            <w:tcW w:w="1944" w:type="dxa"/>
            <w:tcMar>
              <w:top w:w="100" w:type="dxa"/>
              <w:left w:w="110" w:type="dxa"/>
              <w:bottom w:w="100" w:type="dxa"/>
              <w:right w:w="110" w:type="dxa"/>
            </w:tcMar>
            <w:vAlign w:val="center"/>
          </w:tcPr>
          <w:p w14:paraId="457CBB2C" w14:textId="77777777" w:rsidR="0014233E" w:rsidRDefault="00000000">
            <w:pPr>
              <w:spacing w:after="0" w:line="240" w:lineRule="auto"/>
            </w:pPr>
            <w:r>
              <w:rPr>
                <w:b/>
                <w:color w:val="17365D"/>
                <w:sz w:val="15"/>
              </w:rPr>
              <w:t>Operational resilience</w:t>
            </w:r>
          </w:p>
        </w:tc>
        <w:tc>
          <w:tcPr>
            <w:tcW w:w="3744" w:type="dxa"/>
            <w:tcMar>
              <w:top w:w="100" w:type="dxa"/>
              <w:left w:w="110" w:type="dxa"/>
              <w:bottom w:w="100" w:type="dxa"/>
              <w:right w:w="110" w:type="dxa"/>
            </w:tcMar>
            <w:vAlign w:val="center"/>
          </w:tcPr>
          <w:p w14:paraId="5D255FEC" w14:textId="77777777" w:rsidR="0014233E" w:rsidRDefault="00000000">
            <w:pPr>
              <w:spacing w:after="0" w:line="240" w:lineRule="auto"/>
            </w:pPr>
            <w:r>
              <w:rPr>
                <w:sz w:val="15"/>
              </w:rPr>
              <w:t>Business continuity, disaster recovery, outsourcing controls, capacity, complaint handling and incident reporting.</w:t>
            </w:r>
          </w:p>
        </w:tc>
        <w:tc>
          <w:tcPr>
            <w:tcW w:w="4031" w:type="dxa"/>
            <w:tcMar>
              <w:top w:w="100" w:type="dxa"/>
              <w:left w:w="110" w:type="dxa"/>
              <w:bottom w:w="100" w:type="dxa"/>
              <w:right w:w="110" w:type="dxa"/>
            </w:tcMar>
            <w:vAlign w:val="center"/>
          </w:tcPr>
          <w:p w14:paraId="7DDDD1DF" w14:textId="77777777" w:rsidR="0014233E" w:rsidRDefault="00000000">
            <w:pPr>
              <w:spacing w:after="0" w:line="240" w:lineRule="auto"/>
            </w:pPr>
            <w:r>
              <w:rPr>
                <w:sz w:val="15"/>
              </w:rPr>
              <w:t>Fallback document review, release-key continuity, chain/stablecoin outage playbooks and manual settlement/refund procedures.</w:t>
            </w:r>
          </w:p>
        </w:tc>
      </w:tr>
      <w:tr w:rsidR="0014233E" w14:paraId="53173B33" w14:textId="77777777">
        <w:trPr>
          <w:cantSplit/>
          <w:jc w:val="center"/>
        </w:trPr>
        <w:tc>
          <w:tcPr>
            <w:tcW w:w="1944" w:type="dxa"/>
            <w:tcMar>
              <w:top w:w="100" w:type="dxa"/>
              <w:left w:w="110" w:type="dxa"/>
              <w:bottom w:w="100" w:type="dxa"/>
              <w:right w:w="110" w:type="dxa"/>
            </w:tcMar>
            <w:vAlign w:val="center"/>
          </w:tcPr>
          <w:p w14:paraId="65E2355C" w14:textId="77777777" w:rsidR="0014233E" w:rsidRDefault="00000000">
            <w:pPr>
              <w:spacing w:after="0" w:line="240" w:lineRule="auto"/>
            </w:pPr>
            <w:r>
              <w:rPr>
                <w:b/>
                <w:color w:val="17365D"/>
                <w:sz w:val="15"/>
              </w:rPr>
              <w:t>Financial resources</w:t>
            </w:r>
          </w:p>
        </w:tc>
        <w:tc>
          <w:tcPr>
            <w:tcW w:w="3744" w:type="dxa"/>
            <w:tcMar>
              <w:top w:w="100" w:type="dxa"/>
              <w:left w:w="110" w:type="dxa"/>
              <w:bottom w:w="100" w:type="dxa"/>
              <w:right w:w="110" w:type="dxa"/>
            </w:tcMar>
            <w:vAlign w:val="center"/>
          </w:tcPr>
          <w:p w14:paraId="32260767" w14:textId="77777777" w:rsidR="0014233E" w:rsidRDefault="00000000">
            <w:pPr>
              <w:spacing w:after="0" w:line="240" w:lineRule="auto"/>
            </w:pPr>
            <w:r>
              <w:rPr>
                <w:sz w:val="15"/>
              </w:rPr>
              <w:t>Activity-specific application/supervision fees, paid-up capital and evidence of ongoing capital maintenance.</w:t>
            </w:r>
          </w:p>
        </w:tc>
        <w:tc>
          <w:tcPr>
            <w:tcW w:w="4031" w:type="dxa"/>
            <w:tcMar>
              <w:top w:w="100" w:type="dxa"/>
              <w:left w:w="110" w:type="dxa"/>
              <w:bottom w:w="100" w:type="dxa"/>
              <w:right w:w="110" w:type="dxa"/>
            </w:tcMar>
            <w:vAlign w:val="center"/>
          </w:tcPr>
          <w:p w14:paraId="77F6D35B" w14:textId="77777777" w:rsidR="0014233E" w:rsidRDefault="00000000">
            <w:pPr>
              <w:spacing w:after="0" w:line="240" w:lineRule="auto"/>
            </w:pPr>
            <w:r>
              <w:rPr>
                <w:sz w:val="15"/>
              </w:rPr>
              <w:t>Capital and fee model linked to confirmed activity scope and allocated fixed overheads; not a single unsupported lump sum.</w:t>
            </w:r>
          </w:p>
        </w:tc>
      </w:tr>
      <w:tr w:rsidR="0014233E" w14:paraId="59686BA2" w14:textId="77777777">
        <w:trPr>
          <w:cantSplit/>
          <w:jc w:val="center"/>
        </w:trPr>
        <w:tc>
          <w:tcPr>
            <w:tcW w:w="1944" w:type="dxa"/>
            <w:tcMar>
              <w:top w:w="100" w:type="dxa"/>
              <w:left w:w="110" w:type="dxa"/>
              <w:bottom w:w="100" w:type="dxa"/>
              <w:right w:w="110" w:type="dxa"/>
            </w:tcMar>
            <w:vAlign w:val="center"/>
          </w:tcPr>
          <w:p w14:paraId="3D46F828" w14:textId="77777777" w:rsidR="0014233E" w:rsidRDefault="00000000">
            <w:pPr>
              <w:spacing w:after="0" w:line="240" w:lineRule="auto"/>
            </w:pPr>
            <w:r>
              <w:rPr>
                <w:b/>
                <w:color w:val="17365D"/>
                <w:sz w:val="15"/>
              </w:rPr>
              <w:t>Client documentation</w:t>
            </w:r>
          </w:p>
        </w:tc>
        <w:tc>
          <w:tcPr>
            <w:tcW w:w="3744" w:type="dxa"/>
            <w:tcMar>
              <w:top w:w="100" w:type="dxa"/>
              <w:left w:w="110" w:type="dxa"/>
              <w:bottom w:w="100" w:type="dxa"/>
              <w:right w:w="110" w:type="dxa"/>
            </w:tcMar>
            <w:vAlign w:val="center"/>
          </w:tcPr>
          <w:p w14:paraId="66AAEE32" w14:textId="77777777" w:rsidR="0014233E" w:rsidRDefault="00000000">
            <w:pPr>
              <w:spacing w:after="0" w:line="240" w:lineRule="auto"/>
            </w:pPr>
            <w:r>
              <w:rPr>
                <w:sz w:val="15"/>
              </w:rPr>
              <w:t>Fair disclosures, terms, complaints, risk warnings, fees and activity-specific customer protections.</w:t>
            </w:r>
          </w:p>
        </w:tc>
        <w:tc>
          <w:tcPr>
            <w:tcW w:w="4031" w:type="dxa"/>
            <w:tcMar>
              <w:top w:w="100" w:type="dxa"/>
              <w:left w:w="110" w:type="dxa"/>
              <w:bottom w:w="100" w:type="dxa"/>
              <w:right w:w="110" w:type="dxa"/>
            </w:tcMar>
            <w:vAlign w:val="center"/>
          </w:tcPr>
          <w:p w14:paraId="4680E1EF" w14:textId="77777777" w:rsidR="0014233E" w:rsidRDefault="00000000">
            <w:pPr>
              <w:spacing w:after="0" w:line="240" w:lineRule="auto"/>
            </w:pPr>
            <w:r>
              <w:rPr>
                <w:sz w:val="15"/>
              </w:rPr>
              <w:t>Trade Escrow Agreement, stablecoin/chain risk, document-only decision scope, objection window, fee and liability disclosures.</w:t>
            </w:r>
          </w:p>
        </w:tc>
      </w:tr>
      <w:tr w:rsidR="0014233E" w14:paraId="39D2ED0B" w14:textId="77777777">
        <w:trPr>
          <w:cantSplit/>
          <w:jc w:val="center"/>
        </w:trPr>
        <w:tc>
          <w:tcPr>
            <w:tcW w:w="1944" w:type="dxa"/>
            <w:tcMar>
              <w:top w:w="100" w:type="dxa"/>
              <w:left w:w="110" w:type="dxa"/>
              <w:bottom w:w="100" w:type="dxa"/>
              <w:right w:w="110" w:type="dxa"/>
            </w:tcMar>
            <w:vAlign w:val="center"/>
          </w:tcPr>
          <w:p w14:paraId="15F60F94" w14:textId="77777777" w:rsidR="0014233E" w:rsidRDefault="00000000">
            <w:pPr>
              <w:spacing w:after="0" w:line="240" w:lineRule="auto"/>
            </w:pPr>
            <w:r>
              <w:rPr>
                <w:b/>
                <w:color w:val="17365D"/>
                <w:sz w:val="15"/>
              </w:rPr>
              <w:t>Wind-down and recovery</w:t>
            </w:r>
          </w:p>
        </w:tc>
        <w:tc>
          <w:tcPr>
            <w:tcW w:w="3744" w:type="dxa"/>
            <w:tcMar>
              <w:top w:w="100" w:type="dxa"/>
              <w:left w:w="110" w:type="dxa"/>
              <w:bottom w:w="100" w:type="dxa"/>
              <w:right w:w="110" w:type="dxa"/>
            </w:tcMar>
            <w:vAlign w:val="center"/>
          </w:tcPr>
          <w:p w14:paraId="1BC05F8F" w14:textId="77777777" w:rsidR="0014233E" w:rsidRDefault="00000000">
            <w:pPr>
              <w:spacing w:after="0" w:line="240" w:lineRule="auto"/>
            </w:pPr>
            <w:r>
              <w:rPr>
                <w:sz w:val="15"/>
              </w:rPr>
              <w:t>Orderly wind-down, succession, financial and operational contingency arrangements.</w:t>
            </w:r>
          </w:p>
        </w:tc>
        <w:tc>
          <w:tcPr>
            <w:tcW w:w="4031" w:type="dxa"/>
            <w:tcMar>
              <w:top w:w="100" w:type="dxa"/>
              <w:left w:w="110" w:type="dxa"/>
              <w:bottom w:w="100" w:type="dxa"/>
              <w:right w:w="110" w:type="dxa"/>
            </w:tcMar>
            <w:vAlign w:val="center"/>
          </w:tcPr>
          <w:p w14:paraId="3E1EACAB" w14:textId="77777777" w:rsidR="0014233E" w:rsidRDefault="00000000">
            <w:pPr>
              <w:spacing w:after="0" w:line="240" w:lineRule="auto"/>
            </w:pPr>
            <w:r>
              <w:rPr>
                <w:sz w:val="15"/>
              </w:rPr>
              <w:t>How open escrows, documents, keys, customer data and refunds are handled if Blockmediary or a partner exits.</w:t>
            </w:r>
          </w:p>
        </w:tc>
      </w:tr>
    </w:tbl>
    <w:p w14:paraId="6BDC9F6D" w14:textId="77777777" w:rsidR="0014233E" w:rsidRDefault="0014233E">
      <w:pPr>
        <w:spacing w:after="20"/>
      </w:pPr>
    </w:p>
    <w:p w14:paraId="09DD1009" w14:textId="77777777" w:rsidR="0014233E" w:rsidRDefault="00000000">
      <w:pPr>
        <w:pStyle w:val="Heading2"/>
      </w:pPr>
      <w:r>
        <w:t>4.4 Indicative VARA fees and capital</w:t>
      </w:r>
    </w:p>
    <w:p w14:paraId="00BCF16E" w14:textId="77777777" w:rsidR="0014233E" w:rsidRDefault="00000000">
      <w:pPr>
        <w:keepLines/>
      </w:pPr>
      <w:r>
        <w:t>The accompanying financial model uses AED 200,000 for application fees, AED 480,000 for annual supervision and AED 1.5 million of restricted capital. These are reasonable placeholders for a broad multi-activity case, but they do not represent one confirmed requirement.</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1800"/>
        <w:gridCol w:w="1800"/>
        <w:gridCol w:w="3240"/>
      </w:tblGrid>
      <w:tr w:rsidR="0014233E" w14:paraId="1A04D510" w14:textId="77777777">
        <w:trPr>
          <w:cantSplit/>
          <w:tblHeader/>
          <w:jc w:val="center"/>
        </w:trPr>
        <w:tc>
          <w:tcPr>
            <w:tcW w:w="2880" w:type="dxa"/>
            <w:shd w:val="clear" w:color="auto" w:fill="17365D"/>
            <w:tcMar>
              <w:top w:w="100" w:type="dxa"/>
              <w:left w:w="110" w:type="dxa"/>
              <w:bottom w:w="100" w:type="dxa"/>
              <w:right w:w="110" w:type="dxa"/>
            </w:tcMar>
            <w:vAlign w:val="center"/>
          </w:tcPr>
          <w:p w14:paraId="6B86B95D" w14:textId="77777777" w:rsidR="0014233E" w:rsidRDefault="00000000">
            <w:pPr>
              <w:spacing w:after="0" w:line="240" w:lineRule="auto"/>
              <w:jc w:val="center"/>
            </w:pPr>
            <w:r>
              <w:rPr>
                <w:b/>
                <w:color w:val="FFFFFF"/>
                <w:sz w:val="16"/>
              </w:rPr>
              <w:t>Illustrative scope</w:t>
            </w:r>
          </w:p>
        </w:tc>
        <w:tc>
          <w:tcPr>
            <w:tcW w:w="1800" w:type="dxa"/>
            <w:shd w:val="clear" w:color="auto" w:fill="17365D"/>
            <w:tcMar>
              <w:top w:w="100" w:type="dxa"/>
              <w:left w:w="110" w:type="dxa"/>
              <w:bottom w:w="100" w:type="dxa"/>
              <w:right w:w="110" w:type="dxa"/>
            </w:tcMar>
            <w:vAlign w:val="center"/>
          </w:tcPr>
          <w:p w14:paraId="2A820BAA" w14:textId="77777777" w:rsidR="0014233E" w:rsidRDefault="00000000">
            <w:pPr>
              <w:spacing w:after="0" w:line="240" w:lineRule="auto"/>
              <w:jc w:val="center"/>
            </w:pPr>
            <w:r>
              <w:rPr>
                <w:b/>
                <w:color w:val="FFFFFF"/>
                <w:sz w:val="16"/>
              </w:rPr>
              <w:t>Application fee</w:t>
            </w:r>
          </w:p>
        </w:tc>
        <w:tc>
          <w:tcPr>
            <w:tcW w:w="1800" w:type="dxa"/>
            <w:shd w:val="clear" w:color="auto" w:fill="17365D"/>
            <w:tcMar>
              <w:top w:w="100" w:type="dxa"/>
              <w:left w:w="110" w:type="dxa"/>
              <w:bottom w:w="100" w:type="dxa"/>
              <w:right w:w="110" w:type="dxa"/>
            </w:tcMar>
            <w:vAlign w:val="center"/>
          </w:tcPr>
          <w:p w14:paraId="5A0646E8" w14:textId="77777777" w:rsidR="0014233E" w:rsidRDefault="00000000">
            <w:pPr>
              <w:spacing w:after="0" w:line="240" w:lineRule="auto"/>
              <w:jc w:val="center"/>
            </w:pPr>
            <w:r>
              <w:rPr>
                <w:b/>
                <w:color w:val="FFFFFF"/>
                <w:sz w:val="16"/>
              </w:rPr>
              <w:t>Annual supervision</w:t>
            </w:r>
          </w:p>
        </w:tc>
        <w:tc>
          <w:tcPr>
            <w:tcW w:w="3240" w:type="dxa"/>
            <w:shd w:val="clear" w:color="auto" w:fill="17365D"/>
            <w:tcMar>
              <w:top w:w="100" w:type="dxa"/>
              <w:left w:w="110" w:type="dxa"/>
              <w:bottom w:w="100" w:type="dxa"/>
              <w:right w:w="110" w:type="dxa"/>
            </w:tcMar>
            <w:vAlign w:val="center"/>
          </w:tcPr>
          <w:p w14:paraId="3DDB1D6E" w14:textId="77777777" w:rsidR="0014233E" w:rsidRDefault="00000000">
            <w:pPr>
              <w:spacing w:after="0" w:line="240" w:lineRule="auto"/>
              <w:jc w:val="center"/>
            </w:pPr>
            <w:r>
              <w:rPr>
                <w:b/>
                <w:color w:val="FFFFFF"/>
                <w:sz w:val="16"/>
              </w:rPr>
              <w:t>Capital floor before overhead test</w:t>
            </w:r>
          </w:p>
        </w:tc>
      </w:tr>
      <w:tr w:rsidR="0014233E" w14:paraId="3FE4CAF4" w14:textId="77777777">
        <w:trPr>
          <w:cantSplit/>
          <w:jc w:val="center"/>
        </w:trPr>
        <w:tc>
          <w:tcPr>
            <w:tcW w:w="2880" w:type="dxa"/>
            <w:shd w:val="clear" w:color="auto" w:fill="E2F0D9"/>
            <w:tcMar>
              <w:top w:w="100" w:type="dxa"/>
              <w:left w:w="110" w:type="dxa"/>
              <w:bottom w:w="100" w:type="dxa"/>
              <w:right w:w="110" w:type="dxa"/>
            </w:tcMar>
            <w:vAlign w:val="center"/>
          </w:tcPr>
          <w:p w14:paraId="466E80F5" w14:textId="77777777" w:rsidR="0014233E" w:rsidRDefault="00000000">
            <w:pPr>
              <w:spacing w:after="0" w:line="240" w:lineRule="auto"/>
            </w:pPr>
            <w:r>
              <w:rPr>
                <w:b/>
                <w:color w:val="17365D"/>
                <w:sz w:val="16"/>
              </w:rPr>
              <w:t>Transfer and Settlement only</w:t>
            </w:r>
          </w:p>
        </w:tc>
        <w:tc>
          <w:tcPr>
            <w:tcW w:w="1800" w:type="dxa"/>
            <w:shd w:val="clear" w:color="auto" w:fill="E2F0D9"/>
            <w:tcMar>
              <w:top w:w="100" w:type="dxa"/>
              <w:left w:w="110" w:type="dxa"/>
              <w:bottom w:w="100" w:type="dxa"/>
              <w:right w:w="110" w:type="dxa"/>
            </w:tcMar>
            <w:vAlign w:val="center"/>
          </w:tcPr>
          <w:p w14:paraId="18560F0C" w14:textId="77777777" w:rsidR="0014233E" w:rsidRDefault="00000000">
            <w:pPr>
              <w:spacing w:after="0" w:line="240" w:lineRule="auto"/>
            </w:pPr>
            <w:r>
              <w:rPr>
                <w:sz w:val="16"/>
              </w:rPr>
              <w:t>AED 40,000</w:t>
            </w:r>
          </w:p>
        </w:tc>
        <w:tc>
          <w:tcPr>
            <w:tcW w:w="1800" w:type="dxa"/>
            <w:shd w:val="clear" w:color="auto" w:fill="E2F0D9"/>
            <w:tcMar>
              <w:top w:w="100" w:type="dxa"/>
              <w:left w:w="110" w:type="dxa"/>
              <w:bottom w:w="100" w:type="dxa"/>
              <w:right w:w="110" w:type="dxa"/>
            </w:tcMar>
            <w:vAlign w:val="center"/>
          </w:tcPr>
          <w:p w14:paraId="388C033F" w14:textId="77777777" w:rsidR="0014233E" w:rsidRDefault="00000000">
            <w:pPr>
              <w:spacing w:after="0" w:line="240" w:lineRule="auto"/>
            </w:pPr>
            <w:r>
              <w:rPr>
                <w:sz w:val="16"/>
              </w:rPr>
              <w:t>AED 80,000</w:t>
            </w:r>
          </w:p>
        </w:tc>
        <w:tc>
          <w:tcPr>
            <w:tcW w:w="3240" w:type="dxa"/>
            <w:shd w:val="clear" w:color="auto" w:fill="E2F0D9"/>
            <w:tcMar>
              <w:top w:w="100" w:type="dxa"/>
              <w:left w:w="110" w:type="dxa"/>
              <w:bottom w:w="100" w:type="dxa"/>
              <w:right w:w="110" w:type="dxa"/>
            </w:tcMar>
            <w:vAlign w:val="center"/>
          </w:tcPr>
          <w:p w14:paraId="6E655117" w14:textId="77777777" w:rsidR="0014233E" w:rsidRDefault="00000000">
            <w:pPr>
              <w:spacing w:after="0" w:line="240" w:lineRule="auto"/>
            </w:pPr>
            <w:r>
              <w:rPr>
                <w:sz w:val="16"/>
              </w:rPr>
              <w:t>Higher of AED 500,000 or 25% of activity fixed annual overhead</w:t>
            </w:r>
          </w:p>
        </w:tc>
      </w:tr>
      <w:tr w:rsidR="0014233E" w14:paraId="14C41120" w14:textId="77777777">
        <w:trPr>
          <w:cantSplit/>
          <w:jc w:val="center"/>
        </w:trPr>
        <w:tc>
          <w:tcPr>
            <w:tcW w:w="2880" w:type="dxa"/>
            <w:shd w:val="clear" w:color="auto" w:fill="FFF2CC"/>
            <w:tcMar>
              <w:top w:w="100" w:type="dxa"/>
              <w:left w:w="110" w:type="dxa"/>
              <w:bottom w:w="100" w:type="dxa"/>
              <w:right w:w="110" w:type="dxa"/>
            </w:tcMar>
            <w:vAlign w:val="center"/>
          </w:tcPr>
          <w:p w14:paraId="474AC630" w14:textId="77777777" w:rsidR="0014233E" w:rsidRDefault="00000000">
            <w:pPr>
              <w:spacing w:after="0" w:line="240" w:lineRule="auto"/>
            </w:pPr>
            <w:r>
              <w:rPr>
                <w:b/>
                <w:color w:val="17365D"/>
                <w:sz w:val="16"/>
              </w:rPr>
              <w:t>Custody + Transfer and Settlement</w:t>
            </w:r>
          </w:p>
        </w:tc>
        <w:tc>
          <w:tcPr>
            <w:tcW w:w="1800" w:type="dxa"/>
            <w:shd w:val="clear" w:color="auto" w:fill="FFF2CC"/>
            <w:tcMar>
              <w:top w:w="100" w:type="dxa"/>
              <w:left w:w="110" w:type="dxa"/>
              <w:bottom w:w="100" w:type="dxa"/>
              <w:right w:w="110" w:type="dxa"/>
            </w:tcMar>
            <w:vAlign w:val="center"/>
          </w:tcPr>
          <w:p w14:paraId="1AA1E739" w14:textId="77777777" w:rsidR="0014233E" w:rsidRDefault="00000000">
            <w:pPr>
              <w:spacing w:after="0" w:line="240" w:lineRule="auto"/>
            </w:pPr>
            <w:r>
              <w:rPr>
                <w:sz w:val="16"/>
              </w:rPr>
              <w:t>Approx. AED 120,000*</w:t>
            </w:r>
          </w:p>
        </w:tc>
        <w:tc>
          <w:tcPr>
            <w:tcW w:w="1800" w:type="dxa"/>
            <w:shd w:val="clear" w:color="auto" w:fill="FFF2CC"/>
            <w:tcMar>
              <w:top w:w="100" w:type="dxa"/>
              <w:left w:w="110" w:type="dxa"/>
              <w:bottom w:w="100" w:type="dxa"/>
              <w:right w:w="110" w:type="dxa"/>
            </w:tcMar>
            <w:vAlign w:val="center"/>
          </w:tcPr>
          <w:p w14:paraId="503029A2" w14:textId="77777777" w:rsidR="0014233E" w:rsidRDefault="00000000">
            <w:pPr>
              <w:spacing w:after="0" w:line="240" w:lineRule="auto"/>
            </w:pPr>
            <w:r>
              <w:rPr>
                <w:sz w:val="16"/>
              </w:rPr>
              <w:t>AED 280,000</w:t>
            </w:r>
          </w:p>
        </w:tc>
        <w:tc>
          <w:tcPr>
            <w:tcW w:w="3240" w:type="dxa"/>
            <w:shd w:val="clear" w:color="auto" w:fill="FFF2CC"/>
            <w:tcMar>
              <w:top w:w="100" w:type="dxa"/>
              <w:left w:w="110" w:type="dxa"/>
              <w:bottom w:w="100" w:type="dxa"/>
              <w:right w:w="110" w:type="dxa"/>
            </w:tcMar>
            <w:vAlign w:val="center"/>
          </w:tcPr>
          <w:p w14:paraId="62BA00F8" w14:textId="77777777" w:rsidR="0014233E" w:rsidRDefault="00000000">
            <w:pPr>
              <w:spacing w:after="0" w:line="240" w:lineRule="auto"/>
            </w:pPr>
            <w:r>
              <w:rPr>
                <w:sz w:val="16"/>
              </w:rPr>
              <w:t>At least AED 1.1m in combined floors, subject to activity overhead allocation and structure</w:t>
            </w:r>
          </w:p>
        </w:tc>
      </w:tr>
      <w:tr w:rsidR="0014233E" w14:paraId="2B771CCD" w14:textId="77777777">
        <w:trPr>
          <w:cantSplit/>
          <w:jc w:val="center"/>
        </w:trPr>
        <w:tc>
          <w:tcPr>
            <w:tcW w:w="2880" w:type="dxa"/>
            <w:shd w:val="clear" w:color="auto" w:fill="FFF2CC"/>
            <w:tcMar>
              <w:top w:w="100" w:type="dxa"/>
              <w:left w:w="110" w:type="dxa"/>
              <w:bottom w:w="100" w:type="dxa"/>
              <w:right w:w="110" w:type="dxa"/>
            </w:tcMar>
            <w:vAlign w:val="center"/>
          </w:tcPr>
          <w:p w14:paraId="40D1A2BC" w14:textId="77777777" w:rsidR="0014233E" w:rsidRDefault="00000000">
            <w:pPr>
              <w:spacing w:after="0" w:line="240" w:lineRule="auto"/>
            </w:pPr>
            <w:r>
              <w:rPr>
                <w:b/>
                <w:color w:val="17365D"/>
                <w:sz w:val="16"/>
              </w:rPr>
              <w:t>Custody + Transfer and Settlement + Broker-Dealer</w:t>
            </w:r>
          </w:p>
        </w:tc>
        <w:tc>
          <w:tcPr>
            <w:tcW w:w="1800" w:type="dxa"/>
            <w:shd w:val="clear" w:color="auto" w:fill="FFF2CC"/>
            <w:tcMar>
              <w:top w:w="100" w:type="dxa"/>
              <w:left w:w="110" w:type="dxa"/>
              <w:bottom w:w="100" w:type="dxa"/>
              <w:right w:w="110" w:type="dxa"/>
            </w:tcMar>
            <w:vAlign w:val="center"/>
          </w:tcPr>
          <w:p w14:paraId="455CE348" w14:textId="77777777" w:rsidR="0014233E" w:rsidRDefault="00000000">
            <w:pPr>
              <w:spacing w:after="0" w:line="240" w:lineRule="auto"/>
            </w:pPr>
            <w:r>
              <w:rPr>
                <w:sz w:val="16"/>
              </w:rPr>
              <w:t>Approx. AED 170,000*</w:t>
            </w:r>
          </w:p>
        </w:tc>
        <w:tc>
          <w:tcPr>
            <w:tcW w:w="1800" w:type="dxa"/>
            <w:shd w:val="clear" w:color="auto" w:fill="FFF2CC"/>
            <w:tcMar>
              <w:top w:w="100" w:type="dxa"/>
              <w:left w:w="110" w:type="dxa"/>
              <w:bottom w:w="100" w:type="dxa"/>
              <w:right w:w="110" w:type="dxa"/>
            </w:tcMar>
            <w:vAlign w:val="center"/>
          </w:tcPr>
          <w:p w14:paraId="17882AF5" w14:textId="77777777" w:rsidR="0014233E" w:rsidRDefault="00000000">
            <w:pPr>
              <w:spacing w:after="0" w:line="240" w:lineRule="auto"/>
            </w:pPr>
            <w:r>
              <w:rPr>
                <w:sz w:val="16"/>
              </w:rPr>
              <w:t>AED 480,000</w:t>
            </w:r>
          </w:p>
        </w:tc>
        <w:tc>
          <w:tcPr>
            <w:tcW w:w="3240" w:type="dxa"/>
            <w:shd w:val="clear" w:color="auto" w:fill="FFF2CC"/>
            <w:tcMar>
              <w:top w:w="100" w:type="dxa"/>
              <w:left w:w="110" w:type="dxa"/>
              <w:bottom w:w="100" w:type="dxa"/>
              <w:right w:w="110" w:type="dxa"/>
            </w:tcMar>
            <w:vAlign w:val="center"/>
          </w:tcPr>
          <w:p w14:paraId="5DE4BEC3" w14:textId="77777777" w:rsidR="0014233E" w:rsidRDefault="00000000">
            <w:pPr>
              <w:spacing w:after="0" w:line="240" w:lineRule="auto"/>
            </w:pPr>
            <w:r>
              <w:rPr>
                <w:sz w:val="16"/>
              </w:rPr>
              <w:t>Approx. AED 1.5m floor only if the lower Broker-Dealer capital treatment applies; structure may require more than one entity</w:t>
            </w:r>
          </w:p>
        </w:tc>
      </w:tr>
    </w:tbl>
    <w:p w14:paraId="1398B5C6" w14:textId="77777777" w:rsidR="0014233E" w:rsidRDefault="0014233E">
      <w:pPr>
        <w:spacing w:after="20"/>
      </w:pPr>
    </w:p>
    <w:p w14:paraId="6482237A" w14:textId="77777777" w:rsidR="0014233E" w:rsidRDefault="00000000">
      <w:pPr>
        <w:keepLines/>
      </w:pPr>
      <w:r>
        <w:rPr>
          <w:i/>
        </w:rPr>
        <w:lastRenderedPageBreak/>
        <w:t>*Illustrative multi-activity fee calculation using VARA’s 50%-of-lower-application-fee extension rule. VARA may impose additional fees based on risk. Capital is the higher of the stated floor and the relevant percentage of fixed annual overhead and must be maintained in an approved form. [12][13]</w:t>
      </w:r>
    </w:p>
    <w:p w14:paraId="6F97E226" w14:textId="77777777" w:rsidR="0014233E" w:rsidRDefault="00000000">
      <w:pPr>
        <w:pStyle w:val="Heading2"/>
      </w:pPr>
      <w:r>
        <w:t>4.5 CBUAE payment-token overlay</w:t>
      </w:r>
    </w:p>
    <w:p w14:paraId="30CBBC0C" w14:textId="77777777" w:rsidR="0014233E" w:rsidRDefault="00000000">
      <w:pPr>
        <w:keepLines/>
      </w:pPr>
      <w:r>
        <w:t>VARA authorisation does not automatically resolve Central Bank requirements. The CBUAE Payment Token Services Regulation restricts the provision of payment-token services in or directed to the UAE and restricts merchants’ acceptance of virtual assets for goods and services, while expressly excluding Financial Free Zones from Article 2’s definition of “the UAE.” A locally licensed VASP may apply for a non-objection registration for certain foreign-payment-token custody and transfer activity. [18][19][20]</w:t>
      </w:r>
    </w:p>
    <w:tbl>
      <w:tblPr>
        <w:tblW w:w="0" w:type="auto"/>
        <w:jc w:val="center"/>
        <w:tblBorders>
          <w:top w:val="single" w:sz="8" w:space="0" w:color="C00000"/>
          <w:left w:val="single" w:sz="8" w:space="0" w:color="C00000"/>
          <w:bottom w:val="single" w:sz="8" w:space="0" w:color="C00000"/>
          <w:right w:val="single" w:sz="8" w:space="0" w:color="C00000"/>
        </w:tblBorders>
        <w:tblLayout w:type="fixed"/>
        <w:tblLook w:val="04A0" w:firstRow="1" w:lastRow="0" w:firstColumn="1" w:lastColumn="0" w:noHBand="0" w:noVBand="1"/>
      </w:tblPr>
      <w:tblGrid>
        <w:gridCol w:w="9864"/>
      </w:tblGrid>
      <w:tr w:rsidR="0014233E" w14:paraId="5D3DE03B" w14:textId="77777777">
        <w:trPr>
          <w:jc w:val="center"/>
        </w:trPr>
        <w:tc>
          <w:tcPr>
            <w:tcW w:w="9864" w:type="dxa"/>
            <w:shd w:val="clear" w:color="auto" w:fill="FCE4D6"/>
            <w:tcMar>
              <w:top w:w="150" w:type="dxa"/>
              <w:left w:w="180" w:type="dxa"/>
              <w:bottom w:w="150" w:type="dxa"/>
              <w:right w:w="180" w:type="dxa"/>
            </w:tcMar>
          </w:tcPr>
          <w:p w14:paraId="12F9F619" w14:textId="77777777" w:rsidR="0014233E" w:rsidRDefault="00000000">
            <w:pPr>
              <w:spacing w:after="60"/>
            </w:pPr>
            <w:r>
              <w:rPr>
                <w:rFonts w:ascii="Aptos Display" w:hAnsi="Aptos Display"/>
                <w:b/>
                <w:color w:val="17365D"/>
                <w:sz w:val="22"/>
              </w:rPr>
              <w:t>Blockmediary-specific legal gate</w:t>
            </w:r>
          </w:p>
          <w:p w14:paraId="1A62D97A" w14:textId="77777777" w:rsidR="0014233E" w:rsidRDefault="00000000">
            <w:pPr>
              <w:spacing w:after="0"/>
            </w:pPr>
            <w:r>
              <w:rPr>
                <w:sz w:val="19"/>
              </w:rPr>
              <w:t>Before any live UAE launch, obtain a written opinion on whether a UAE buyer may prefund USDC or EURC into this escrow for settlement of a physical-goods purchase, and whether the proposed partner or VARA entity requires a CBUAE licence, registration or non-objection. The answer may differ between an in-DIFC pilot, a mainland customer and a cross-border transaction directed to a UAE person.</w:t>
            </w:r>
          </w:p>
        </w:tc>
      </w:tr>
    </w:tbl>
    <w:p w14:paraId="29D01924" w14:textId="77777777" w:rsidR="0014233E" w:rsidRDefault="0014233E">
      <w:pPr>
        <w:spacing w:after="20"/>
      </w:pPr>
    </w:p>
    <w:p w14:paraId="2F614E86" w14:textId="77777777" w:rsidR="0014233E" w:rsidRDefault="00000000">
      <w:pPr>
        <w:pStyle w:val="Heading1"/>
      </w:pPr>
      <w:r>
        <w:t>5. Parallel implementation timeline</w:t>
      </w:r>
    </w:p>
    <w:p w14:paraId="430E395B" w14:textId="77777777" w:rsidR="0014233E" w:rsidRDefault="00000000">
      <w:pPr>
        <w:keepLines/>
      </w:pPr>
      <w:r>
        <w:t>VARA does not publish a guaranteed approval period. The timing below is therefore a business-planning estimate based on the official two-stage process and Blockmediary’s readiness tasks, not a regulatory service-level commitment. [9]</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296"/>
        <w:gridCol w:w="3240"/>
        <w:gridCol w:w="3528"/>
        <w:gridCol w:w="1944"/>
      </w:tblGrid>
      <w:tr w:rsidR="0014233E" w14:paraId="1FC41F13" w14:textId="77777777">
        <w:trPr>
          <w:cantSplit/>
          <w:tblHeader/>
          <w:jc w:val="center"/>
        </w:trPr>
        <w:tc>
          <w:tcPr>
            <w:tcW w:w="1296" w:type="dxa"/>
            <w:shd w:val="clear" w:color="auto" w:fill="17365D"/>
            <w:tcMar>
              <w:top w:w="100" w:type="dxa"/>
              <w:left w:w="110" w:type="dxa"/>
              <w:bottom w:w="100" w:type="dxa"/>
              <w:right w:w="110" w:type="dxa"/>
            </w:tcMar>
            <w:vAlign w:val="center"/>
          </w:tcPr>
          <w:p w14:paraId="13BB2743" w14:textId="77777777" w:rsidR="0014233E" w:rsidRDefault="00000000">
            <w:pPr>
              <w:spacing w:after="0" w:line="240" w:lineRule="auto"/>
              <w:jc w:val="center"/>
            </w:pPr>
            <w:r>
              <w:rPr>
                <w:b/>
                <w:color w:val="FFFFFF"/>
                <w:sz w:val="15"/>
              </w:rPr>
              <w:t>Period</w:t>
            </w:r>
          </w:p>
        </w:tc>
        <w:tc>
          <w:tcPr>
            <w:tcW w:w="3240" w:type="dxa"/>
            <w:shd w:val="clear" w:color="auto" w:fill="17365D"/>
            <w:tcMar>
              <w:top w:w="100" w:type="dxa"/>
              <w:left w:w="110" w:type="dxa"/>
              <w:bottom w:w="100" w:type="dxa"/>
              <w:right w:w="110" w:type="dxa"/>
            </w:tcMar>
            <w:vAlign w:val="center"/>
          </w:tcPr>
          <w:p w14:paraId="0DDDE898" w14:textId="77777777" w:rsidR="0014233E" w:rsidRDefault="00000000">
            <w:pPr>
              <w:spacing w:after="0" w:line="240" w:lineRule="auto"/>
              <w:jc w:val="center"/>
            </w:pPr>
            <w:r>
              <w:rPr>
                <w:b/>
                <w:color w:val="FFFFFF"/>
                <w:sz w:val="15"/>
              </w:rPr>
              <w:t>DIFC partner-led pilot track</w:t>
            </w:r>
          </w:p>
        </w:tc>
        <w:tc>
          <w:tcPr>
            <w:tcW w:w="3528" w:type="dxa"/>
            <w:shd w:val="clear" w:color="auto" w:fill="17365D"/>
            <w:tcMar>
              <w:top w:w="100" w:type="dxa"/>
              <w:left w:w="110" w:type="dxa"/>
              <w:bottom w:w="100" w:type="dxa"/>
              <w:right w:w="110" w:type="dxa"/>
            </w:tcMar>
            <w:vAlign w:val="center"/>
          </w:tcPr>
          <w:p w14:paraId="1530CBFD" w14:textId="77777777" w:rsidR="0014233E" w:rsidRDefault="00000000">
            <w:pPr>
              <w:spacing w:after="0" w:line="240" w:lineRule="auto"/>
              <w:jc w:val="center"/>
            </w:pPr>
            <w:r>
              <w:rPr>
                <w:b/>
                <w:color w:val="FFFFFF"/>
                <w:sz w:val="15"/>
              </w:rPr>
              <w:t>VARA scale track</w:t>
            </w:r>
          </w:p>
        </w:tc>
        <w:tc>
          <w:tcPr>
            <w:tcW w:w="1944" w:type="dxa"/>
            <w:shd w:val="clear" w:color="auto" w:fill="17365D"/>
            <w:tcMar>
              <w:top w:w="100" w:type="dxa"/>
              <w:left w:w="110" w:type="dxa"/>
              <w:bottom w:w="100" w:type="dxa"/>
              <w:right w:w="110" w:type="dxa"/>
            </w:tcMar>
            <w:vAlign w:val="center"/>
          </w:tcPr>
          <w:p w14:paraId="0C0E684E" w14:textId="77777777" w:rsidR="0014233E" w:rsidRDefault="00000000">
            <w:pPr>
              <w:spacing w:after="0" w:line="240" w:lineRule="auto"/>
              <w:jc w:val="center"/>
            </w:pPr>
            <w:r>
              <w:rPr>
                <w:b/>
                <w:color w:val="FFFFFF"/>
                <w:sz w:val="15"/>
              </w:rPr>
              <w:t>Decision / output</w:t>
            </w:r>
          </w:p>
        </w:tc>
      </w:tr>
      <w:tr w:rsidR="0014233E" w14:paraId="599CD679" w14:textId="77777777">
        <w:trPr>
          <w:cantSplit/>
          <w:jc w:val="center"/>
        </w:trPr>
        <w:tc>
          <w:tcPr>
            <w:tcW w:w="1296" w:type="dxa"/>
            <w:shd w:val="clear" w:color="auto" w:fill="EFF4FA"/>
            <w:tcMar>
              <w:top w:w="100" w:type="dxa"/>
              <w:left w:w="110" w:type="dxa"/>
              <w:bottom w:w="100" w:type="dxa"/>
              <w:right w:w="110" w:type="dxa"/>
            </w:tcMar>
            <w:vAlign w:val="center"/>
          </w:tcPr>
          <w:p w14:paraId="41E8F238" w14:textId="77777777" w:rsidR="0014233E" w:rsidRDefault="00000000">
            <w:pPr>
              <w:spacing w:after="0" w:line="240" w:lineRule="auto"/>
            </w:pPr>
            <w:r>
              <w:rPr>
                <w:b/>
                <w:color w:val="17365D"/>
                <w:sz w:val="15"/>
              </w:rPr>
              <w:t>Months 1–3</w:t>
            </w:r>
          </w:p>
        </w:tc>
        <w:tc>
          <w:tcPr>
            <w:tcW w:w="3240" w:type="dxa"/>
            <w:shd w:val="clear" w:color="auto" w:fill="EFF4FA"/>
            <w:tcMar>
              <w:top w:w="100" w:type="dxa"/>
              <w:left w:w="110" w:type="dxa"/>
              <w:bottom w:w="100" w:type="dxa"/>
              <w:right w:w="110" w:type="dxa"/>
            </w:tcMar>
            <w:vAlign w:val="center"/>
          </w:tcPr>
          <w:p w14:paraId="20A131C7" w14:textId="77777777" w:rsidR="0014233E" w:rsidRDefault="00000000">
            <w:pPr>
              <w:spacing w:after="0" w:line="240" w:lineRule="auto"/>
            </w:pPr>
            <w:r>
              <w:rPr>
                <w:sz w:val="15"/>
              </w:rPr>
              <w:t>Regulatory-perimeter advice; partner selection; initial responsibility map; pilot customer profile.</w:t>
            </w:r>
          </w:p>
        </w:tc>
        <w:tc>
          <w:tcPr>
            <w:tcW w:w="3528" w:type="dxa"/>
            <w:shd w:val="clear" w:color="auto" w:fill="EFF4FA"/>
            <w:tcMar>
              <w:top w:w="100" w:type="dxa"/>
              <w:left w:w="110" w:type="dxa"/>
              <w:bottom w:w="100" w:type="dxa"/>
              <w:right w:w="110" w:type="dxa"/>
            </w:tcMar>
            <w:vAlign w:val="center"/>
          </w:tcPr>
          <w:p w14:paraId="62FF5431" w14:textId="77777777" w:rsidR="0014233E" w:rsidRDefault="00000000">
            <w:pPr>
              <w:spacing w:after="0" w:line="240" w:lineRule="auto"/>
            </w:pPr>
            <w:r>
              <w:rPr>
                <w:sz w:val="15"/>
              </w:rPr>
              <w:t>Select non-DIFC commercial licensor; pre-application engagement; IDQ; activity hypothesis; entity and funding plan.</w:t>
            </w:r>
          </w:p>
        </w:tc>
        <w:tc>
          <w:tcPr>
            <w:tcW w:w="1944" w:type="dxa"/>
            <w:shd w:val="clear" w:color="auto" w:fill="EFF4FA"/>
            <w:tcMar>
              <w:top w:w="100" w:type="dxa"/>
              <w:left w:w="110" w:type="dxa"/>
              <w:bottom w:w="100" w:type="dxa"/>
              <w:right w:w="110" w:type="dxa"/>
            </w:tcMar>
            <w:vAlign w:val="center"/>
          </w:tcPr>
          <w:p w14:paraId="784DBEC7" w14:textId="77777777" w:rsidR="0014233E" w:rsidRDefault="00000000">
            <w:pPr>
              <w:spacing w:after="0" w:line="240" w:lineRule="auto"/>
            </w:pPr>
            <w:r>
              <w:rPr>
                <w:sz w:val="15"/>
              </w:rPr>
              <w:t>Proceed only if token, custody and customer-contract structure is viable.</w:t>
            </w:r>
          </w:p>
        </w:tc>
      </w:tr>
      <w:tr w:rsidR="0014233E" w14:paraId="21A36BE3" w14:textId="77777777">
        <w:trPr>
          <w:cantSplit/>
          <w:jc w:val="center"/>
        </w:trPr>
        <w:tc>
          <w:tcPr>
            <w:tcW w:w="1296" w:type="dxa"/>
            <w:shd w:val="clear" w:color="auto" w:fill="EFF4FA"/>
            <w:tcMar>
              <w:top w:w="100" w:type="dxa"/>
              <w:left w:w="110" w:type="dxa"/>
              <w:bottom w:w="100" w:type="dxa"/>
              <w:right w:w="110" w:type="dxa"/>
            </w:tcMar>
            <w:vAlign w:val="center"/>
          </w:tcPr>
          <w:p w14:paraId="70DCB54C" w14:textId="77777777" w:rsidR="0014233E" w:rsidRDefault="00000000">
            <w:pPr>
              <w:spacing w:after="0" w:line="240" w:lineRule="auto"/>
            </w:pPr>
            <w:r>
              <w:rPr>
                <w:b/>
                <w:color w:val="17365D"/>
                <w:sz w:val="15"/>
              </w:rPr>
              <w:t>Months 4–6</w:t>
            </w:r>
          </w:p>
        </w:tc>
        <w:tc>
          <w:tcPr>
            <w:tcW w:w="3240" w:type="dxa"/>
            <w:shd w:val="clear" w:color="auto" w:fill="EFF4FA"/>
            <w:tcMar>
              <w:top w:w="100" w:type="dxa"/>
              <w:left w:w="110" w:type="dxa"/>
              <w:bottom w:w="100" w:type="dxa"/>
              <w:right w:w="110" w:type="dxa"/>
            </w:tcMar>
            <w:vAlign w:val="center"/>
          </w:tcPr>
          <w:p w14:paraId="5E24208A" w14:textId="77777777" w:rsidR="0014233E" w:rsidRDefault="00000000">
            <w:pPr>
              <w:spacing w:after="0" w:line="240" w:lineRule="auto"/>
            </w:pPr>
            <w:r>
              <w:rPr>
                <w:sz w:val="15"/>
              </w:rPr>
              <w:t>Negotiate outsourcing and commercial terms; design KYB/sanctions, escrow agreement, complaints and pilot controls.</w:t>
            </w:r>
          </w:p>
        </w:tc>
        <w:tc>
          <w:tcPr>
            <w:tcW w:w="3528" w:type="dxa"/>
            <w:shd w:val="clear" w:color="auto" w:fill="EFF4FA"/>
            <w:tcMar>
              <w:top w:w="100" w:type="dxa"/>
              <w:left w:w="110" w:type="dxa"/>
              <w:bottom w:w="100" w:type="dxa"/>
              <w:right w:w="110" w:type="dxa"/>
            </w:tcMar>
            <w:vAlign w:val="center"/>
          </w:tcPr>
          <w:p w14:paraId="2B0138C2" w14:textId="77777777" w:rsidR="0014233E" w:rsidRDefault="00000000">
            <w:pPr>
              <w:spacing w:after="0" w:line="240" w:lineRule="auto"/>
            </w:pPr>
            <w:r>
              <w:rPr>
                <w:sz w:val="15"/>
              </w:rPr>
              <w:t>Target ATI and incorporation; appoint key advisers; begin RI recruitment; prepare policies, forecasts and capital plan.</w:t>
            </w:r>
          </w:p>
        </w:tc>
        <w:tc>
          <w:tcPr>
            <w:tcW w:w="1944" w:type="dxa"/>
            <w:shd w:val="clear" w:color="auto" w:fill="EFF4FA"/>
            <w:tcMar>
              <w:top w:w="100" w:type="dxa"/>
              <w:left w:w="110" w:type="dxa"/>
              <w:bottom w:w="100" w:type="dxa"/>
              <w:right w:w="110" w:type="dxa"/>
            </w:tcMar>
            <w:vAlign w:val="center"/>
          </w:tcPr>
          <w:p w14:paraId="68EB3028" w14:textId="77777777" w:rsidR="0014233E" w:rsidRDefault="00000000">
            <w:pPr>
              <w:spacing w:after="0" w:line="240" w:lineRule="auto"/>
            </w:pPr>
            <w:r>
              <w:rPr>
                <w:sz w:val="15"/>
              </w:rPr>
              <w:t>Lock legal entities and responsibility matrix.</w:t>
            </w:r>
          </w:p>
        </w:tc>
      </w:tr>
      <w:tr w:rsidR="0014233E" w14:paraId="47959A9B" w14:textId="77777777">
        <w:trPr>
          <w:cantSplit/>
          <w:jc w:val="center"/>
        </w:trPr>
        <w:tc>
          <w:tcPr>
            <w:tcW w:w="1296" w:type="dxa"/>
            <w:shd w:val="clear" w:color="auto" w:fill="EFF4FA"/>
            <w:tcMar>
              <w:top w:w="100" w:type="dxa"/>
              <w:left w:w="110" w:type="dxa"/>
              <w:bottom w:w="100" w:type="dxa"/>
              <w:right w:w="110" w:type="dxa"/>
            </w:tcMar>
            <w:vAlign w:val="center"/>
          </w:tcPr>
          <w:p w14:paraId="156EB8E3" w14:textId="77777777" w:rsidR="0014233E" w:rsidRDefault="00000000">
            <w:pPr>
              <w:spacing w:after="0" w:line="240" w:lineRule="auto"/>
            </w:pPr>
            <w:r>
              <w:rPr>
                <w:b/>
                <w:color w:val="17365D"/>
                <w:sz w:val="15"/>
              </w:rPr>
              <w:t>Months 7–11</w:t>
            </w:r>
          </w:p>
        </w:tc>
        <w:tc>
          <w:tcPr>
            <w:tcW w:w="3240" w:type="dxa"/>
            <w:shd w:val="clear" w:color="auto" w:fill="EFF4FA"/>
            <w:tcMar>
              <w:top w:w="100" w:type="dxa"/>
              <w:left w:w="110" w:type="dxa"/>
              <w:bottom w:w="100" w:type="dxa"/>
              <w:right w:w="110" w:type="dxa"/>
            </w:tcMar>
            <w:vAlign w:val="center"/>
          </w:tcPr>
          <w:p w14:paraId="53B792A3" w14:textId="77777777" w:rsidR="0014233E" w:rsidRDefault="00000000">
            <w:pPr>
              <w:spacing w:after="0" w:line="240" w:lineRule="auto"/>
            </w:pPr>
            <w:r>
              <w:rPr>
                <w:sz w:val="15"/>
              </w:rPr>
              <w:t>Complete production audit, security/key controls, data protection, SOPs, partner testing and first-customer onboarding.</w:t>
            </w:r>
          </w:p>
        </w:tc>
        <w:tc>
          <w:tcPr>
            <w:tcW w:w="3528" w:type="dxa"/>
            <w:shd w:val="clear" w:color="auto" w:fill="EFF4FA"/>
            <w:tcMar>
              <w:top w:w="100" w:type="dxa"/>
              <w:left w:w="110" w:type="dxa"/>
              <w:bottom w:w="100" w:type="dxa"/>
              <w:right w:w="110" w:type="dxa"/>
            </w:tcMar>
            <w:vAlign w:val="center"/>
          </w:tcPr>
          <w:p w14:paraId="44815D91" w14:textId="77777777" w:rsidR="0014233E" w:rsidRDefault="00000000">
            <w:pPr>
              <w:spacing w:after="0" w:line="240" w:lineRule="auto"/>
            </w:pPr>
            <w:r>
              <w:rPr>
                <w:sz w:val="15"/>
              </w:rPr>
              <w:t>Complete full submission, office and staffing; independent audit; AML/Travel Rule and client-asset controls; respond to regulator.</w:t>
            </w:r>
          </w:p>
        </w:tc>
        <w:tc>
          <w:tcPr>
            <w:tcW w:w="1944" w:type="dxa"/>
            <w:shd w:val="clear" w:color="auto" w:fill="EFF4FA"/>
            <w:tcMar>
              <w:top w:w="100" w:type="dxa"/>
              <w:left w:w="110" w:type="dxa"/>
              <w:bottom w:w="100" w:type="dxa"/>
              <w:right w:w="110" w:type="dxa"/>
            </w:tcMar>
            <w:vAlign w:val="center"/>
          </w:tcPr>
          <w:p w14:paraId="31EF6229" w14:textId="77777777" w:rsidR="0014233E" w:rsidRDefault="00000000">
            <w:pPr>
              <w:spacing w:after="0" w:line="240" w:lineRule="auto"/>
            </w:pPr>
            <w:r>
              <w:rPr>
                <w:sz w:val="15"/>
              </w:rPr>
              <w:t>Pilot gate review; full VARA file submitted or near-complete.</w:t>
            </w:r>
          </w:p>
        </w:tc>
      </w:tr>
      <w:tr w:rsidR="0014233E" w14:paraId="1CC8F3B7" w14:textId="77777777">
        <w:trPr>
          <w:cantSplit/>
          <w:jc w:val="center"/>
        </w:trPr>
        <w:tc>
          <w:tcPr>
            <w:tcW w:w="1296" w:type="dxa"/>
            <w:shd w:val="clear" w:color="auto" w:fill="E2F0D9"/>
            <w:tcMar>
              <w:top w:w="100" w:type="dxa"/>
              <w:left w:w="110" w:type="dxa"/>
              <w:bottom w:w="100" w:type="dxa"/>
              <w:right w:w="110" w:type="dxa"/>
            </w:tcMar>
            <w:vAlign w:val="center"/>
          </w:tcPr>
          <w:p w14:paraId="515912BC" w14:textId="77777777" w:rsidR="0014233E" w:rsidRDefault="00000000">
            <w:pPr>
              <w:spacing w:after="0" w:line="240" w:lineRule="auto"/>
            </w:pPr>
            <w:r>
              <w:rPr>
                <w:b/>
                <w:color w:val="17365D"/>
                <w:sz w:val="15"/>
              </w:rPr>
              <w:t>Month 12</w:t>
            </w:r>
          </w:p>
        </w:tc>
        <w:tc>
          <w:tcPr>
            <w:tcW w:w="3240" w:type="dxa"/>
            <w:shd w:val="clear" w:color="auto" w:fill="E2F0D9"/>
            <w:tcMar>
              <w:top w:w="100" w:type="dxa"/>
              <w:left w:w="110" w:type="dxa"/>
              <w:bottom w:w="100" w:type="dxa"/>
              <w:right w:w="110" w:type="dxa"/>
            </w:tcMar>
            <w:vAlign w:val="center"/>
          </w:tcPr>
          <w:p w14:paraId="61309BC0" w14:textId="77777777" w:rsidR="0014233E" w:rsidRDefault="00000000">
            <w:pPr>
              <w:spacing w:after="0" w:line="240" w:lineRule="auto"/>
            </w:pPr>
            <w:r>
              <w:rPr>
                <w:sz w:val="15"/>
              </w:rPr>
              <w:t>First paid partner-led pilot in base case.</w:t>
            </w:r>
          </w:p>
        </w:tc>
        <w:tc>
          <w:tcPr>
            <w:tcW w:w="3528" w:type="dxa"/>
            <w:shd w:val="clear" w:color="auto" w:fill="E2F0D9"/>
            <w:tcMar>
              <w:top w:w="100" w:type="dxa"/>
              <w:left w:w="110" w:type="dxa"/>
              <w:bottom w:w="100" w:type="dxa"/>
              <w:right w:w="110" w:type="dxa"/>
            </w:tcMar>
            <w:vAlign w:val="center"/>
          </w:tcPr>
          <w:p w14:paraId="20D3EC58" w14:textId="77777777" w:rsidR="0014233E" w:rsidRDefault="00000000">
            <w:pPr>
              <w:spacing w:after="0" w:line="240" w:lineRule="auto"/>
            </w:pPr>
            <w:r>
              <w:rPr>
                <w:sz w:val="15"/>
              </w:rPr>
              <w:t>Full licence possible only in the early case; ATI/IPA alone is not sufficient.</w:t>
            </w:r>
          </w:p>
        </w:tc>
        <w:tc>
          <w:tcPr>
            <w:tcW w:w="1944" w:type="dxa"/>
            <w:shd w:val="clear" w:color="auto" w:fill="E2F0D9"/>
            <w:tcMar>
              <w:top w:w="100" w:type="dxa"/>
              <w:left w:w="110" w:type="dxa"/>
              <w:bottom w:w="100" w:type="dxa"/>
              <w:right w:w="110" w:type="dxa"/>
            </w:tcMar>
            <w:vAlign w:val="center"/>
          </w:tcPr>
          <w:p w14:paraId="7D1EAC67" w14:textId="77777777" w:rsidR="0014233E" w:rsidRDefault="00000000">
            <w:pPr>
              <w:spacing w:after="0" w:line="240" w:lineRule="auto"/>
            </w:pPr>
            <w:r>
              <w:rPr>
                <w:sz w:val="15"/>
              </w:rPr>
              <w:t>Launch limited pilot; do not start VARA-scale activity without full licence.</w:t>
            </w:r>
          </w:p>
        </w:tc>
      </w:tr>
      <w:tr w:rsidR="0014233E" w14:paraId="273DEC78" w14:textId="77777777">
        <w:trPr>
          <w:cantSplit/>
          <w:jc w:val="center"/>
        </w:trPr>
        <w:tc>
          <w:tcPr>
            <w:tcW w:w="1296" w:type="dxa"/>
            <w:shd w:val="clear" w:color="auto" w:fill="E2F0D9"/>
            <w:tcMar>
              <w:top w:w="100" w:type="dxa"/>
              <w:left w:w="110" w:type="dxa"/>
              <w:bottom w:w="100" w:type="dxa"/>
              <w:right w:w="110" w:type="dxa"/>
            </w:tcMar>
            <w:vAlign w:val="center"/>
          </w:tcPr>
          <w:p w14:paraId="643A768A" w14:textId="77777777" w:rsidR="0014233E" w:rsidRDefault="00000000">
            <w:pPr>
              <w:spacing w:after="0" w:line="240" w:lineRule="auto"/>
            </w:pPr>
            <w:r>
              <w:rPr>
                <w:b/>
                <w:color w:val="17365D"/>
                <w:sz w:val="15"/>
              </w:rPr>
              <w:t>Months 13–18</w:t>
            </w:r>
          </w:p>
        </w:tc>
        <w:tc>
          <w:tcPr>
            <w:tcW w:w="3240" w:type="dxa"/>
            <w:shd w:val="clear" w:color="auto" w:fill="E2F0D9"/>
            <w:tcMar>
              <w:top w:w="100" w:type="dxa"/>
              <w:left w:w="110" w:type="dxa"/>
              <w:bottom w:w="100" w:type="dxa"/>
              <w:right w:w="110" w:type="dxa"/>
            </w:tcMar>
            <w:vAlign w:val="center"/>
          </w:tcPr>
          <w:p w14:paraId="31E27BC7" w14:textId="77777777" w:rsidR="0014233E" w:rsidRDefault="00000000">
            <w:pPr>
              <w:spacing w:after="0" w:line="240" w:lineRule="auto"/>
            </w:pPr>
            <w:r>
              <w:rPr>
                <w:sz w:val="15"/>
              </w:rPr>
              <w:t>Operate controlled cohort; collect incidents, review data and customer evidence; remediate partner findings.</w:t>
            </w:r>
          </w:p>
        </w:tc>
        <w:tc>
          <w:tcPr>
            <w:tcW w:w="3528" w:type="dxa"/>
            <w:shd w:val="clear" w:color="auto" w:fill="E2F0D9"/>
            <w:tcMar>
              <w:top w:w="100" w:type="dxa"/>
              <w:left w:w="110" w:type="dxa"/>
              <w:bottom w:w="100" w:type="dxa"/>
              <w:right w:w="110" w:type="dxa"/>
            </w:tcMar>
            <w:vAlign w:val="center"/>
          </w:tcPr>
          <w:p w14:paraId="58B34D7E" w14:textId="77777777" w:rsidR="0014233E" w:rsidRDefault="00000000">
            <w:pPr>
              <w:spacing w:after="0" w:line="240" w:lineRule="auto"/>
            </w:pPr>
            <w:r>
              <w:rPr>
                <w:sz w:val="15"/>
              </w:rPr>
              <w:t>Regulatory questions, interviews, remediation, capital and operational-condition completion.</w:t>
            </w:r>
          </w:p>
        </w:tc>
        <w:tc>
          <w:tcPr>
            <w:tcW w:w="1944" w:type="dxa"/>
            <w:shd w:val="clear" w:color="auto" w:fill="E2F0D9"/>
            <w:tcMar>
              <w:top w:w="100" w:type="dxa"/>
              <w:left w:w="110" w:type="dxa"/>
              <w:bottom w:w="100" w:type="dxa"/>
              <w:right w:w="110" w:type="dxa"/>
            </w:tcMar>
            <w:vAlign w:val="center"/>
          </w:tcPr>
          <w:p w14:paraId="71B0D08F" w14:textId="77777777" w:rsidR="0014233E" w:rsidRDefault="00000000">
            <w:pPr>
              <w:spacing w:after="0" w:line="240" w:lineRule="auto"/>
            </w:pPr>
            <w:r>
              <w:rPr>
                <w:sz w:val="15"/>
              </w:rPr>
              <w:t>Base-case full VARA licence in Month 18.</w:t>
            </w:r>
          </w:p>
        </w:tc>
      </w:tr>
      <w:tr w:rsidR="0014233E" w14:paraId="26420C90" w14:textId="77777777">
        <w:trPr>
          <w:cantSplit/>
          <w:jc w:val="center"/>
        </w:trPr>
        <w:tc>
          <w:tcPr>
            <w:tcW w:w="1296" w:type="dxa"/>
            <w:shd w:val="clear" w:color="auto" w:fill="FFF2CC"/>
            <w:tcMar>
              <w:top w:w="100" w:type="dxa"/>
              <w:left w:w="110" w:type="dxa"/>
              <w:bottom w:w="100" w:type="dxa"/>
              <w:right w:w="110" w:type="dxa"/>
            </w:tcMar>
            <w:vAlign w:val="center"/>
          </w:tcPr>
          <w:p w14:paraId="0DA58E70" w14:textId="77777777" w:rsidR="0014233E" w:rsidRDefault="00000000">
            <w:pPr>
              <w:spacing w:after="0" w:line="240" w:lineRule="auto"/>
            </w:pPr>
            <w:r>
              <w:rPr>
                <w:b/>
                <w:color w:val="17365D"/>
                <w:sz w:val="15"/>
              </w:rPr>
              <w:t>Months 19–24</w:t>
            </w:r>
          </w:p>
        </w:tc>
        <w:tc>
          <w:tcPr>
            <w:tcW w:w="3240" w:type="dxa"/>
            <w:shd w:val="clear" w:color="auto" w:fill="FFF2CC"/>
            <w:tcMar>
              <w:top w:w="100" w:type="dxa"/>
              <w:left w:w="110" w:type="dxa"/>
              <w:bottom w:w="100" w:type="dxa"/>
              <w:right w:w="110" w:type="dxa"/>
            </w:tcMar>
            <w:vAlign w:val="center"/>
          </w:tcPr>
          <w:p w14:paraId="2356262C" w14:textId="77777777" w:rsidR="0014233E" w:rsidRDefault="00000000">
            <w:pPr>
              <w:spacing w:after="0" w:line="240" w:lineRule="auto"/>
            </w:pPr>
            <w:r>
              <w:rPr>
                <w:sz w:val="15"/>
              </w:rPr>
              <w:t>Prepare customer/transaction migration and partner exit or coexistence model.</w:t>
            </w:r>
          </w:p>
        </w:tc>
        <w:tc>
          <w:tcPr>
            <w:tcW w:w="3528" w:type="dxa"/>
            <w:shd w:val="clear" w:color="auto" w:fill="FFF2CC"/>
            <w:tcMar>
              <w:top w:w="100" w:type="dxa"/>
              <w:left w:w="110" w:type="dxa"/>
              <w:bottom w:w="100" w:type="dxa"/>
              <w:right w:w="110" w:type="dxa"/>
            </w:tcMar>
            <w:vAlign w:val="center"/>
          </w:tcPr>
          <w:p w14:paraId="3B032466" w14:textId="77777777" w:rsidR="0014233E" w:rsidRDefault="00000000">
            <w:pPr>
              <w:spacing w:after="0" w:line="240" w:lineRule="auto"/>
            </w:pPr>
            <w:r>
              <w:rPr>
                <w:sz w:val="15"/>
              </w:rPr>
              <w:t>Delayed-case remediation or narrower/resubmitted activity scope.</w:t>
            </w:r>
          </w:p>
        </w:tc>
        <w:tc>
          <w:tcPr>
            <w:tcW w:w="1944" w:type="dxa"/>
            <w:shd w:val="clear" w:color="auto" w:fill="FFF2CC"/>
            <w:tcMar>
              <w:top w:w="100" w:type="dxa"/>
              <w:left w:w="110" w:type="dxa"/>
              <w:bottom w:w="100" w:type="dxa"/>
              <w:right w:w="110" w:type="dxa"/>
            </w:tcMar>
            <w:vAlign w:val="center"/>
          </w:tcPr>
          <w:p w14:paraId="029842A9" w14:textId="77777777" w:rsidR="0014233E" w:rsidRDefault="00000000">
            <w:pPr>
              <w:spacing w:after="0" w:line="240" w:lineRule="auto"/>
            </w:pPr>
            <w:r>
              <w:rPr>
                <w:sz w:val="15"/>
              </w:rPr>
              <w:t>Delayed full licence by Month 24.</w:t>
            </w:r>
          </w:p>
        </w:tc>
      </w:tr>
    </w:tbl>
    <w:p w14:paraId="4EE8A883" w14:textId="77777777" w:rsidR="0014233E" w:rsidRDefault="0014233E">
      <w:pPr>
        <w:spacing w:after="20"/>
      </w:pP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152"/>
        <w:gridCol w:w="1584"/>
        <w:gridCol w:w="1584"/>
        <w:gridCol w:w="1224"/>
        <w:gridCol w:w="2088"/>
        <w:gridCol w:w="2232"/>
      </w:tblGrid>
      <w:tr w:rsidR="0014233E" w14:paraId="6F4EF08C" w14:textId="77777777">
        <w:trPr>
          <w:cantSplit/>
          <w:tblHeader/>
          <w:jc w:val="center"/>
        </w:trPr>
        <w:tc>
          <w:tcPr>
            <w:tcW w:w="1152" w:type="dxa"/>
            <w:shd w:val="clear" w:color="auto" w:fill="17365D"/>
            <w:tcMar>
              <w:top w:w="100" w:type="dxa"/>
              <w:left w:w="110" w:type="dxa"/>
              <w:bottom w:w="100" w:type="dxa"/>
              <w:right w:w="110" w:type="dxa"/>
            </w:tcMar>
            <w:vAlign w:val="center"/>
          </w:tcPr>
          <w:p w14:paraId="4E957CE9" w14:textId="77777777" w:rsidR="0014233E" w:rsidRDefault="00000000">
            <w:pPr>
              <w:spacing w:after="0" w:line="240" w:lineRule="auto"/>
              <w:jc w:val="center"/>
            </w:pPr>
            <w:r>
              <w:rPr>
                <w:b/>
                <w:color w:val="FFFFFF"/>
                <w:sz w:val="16"/>
              </w:rPr>
              <w:t>Case</w:t>
            </w:r>
          </w:p>
        </w:tc>
        <w:tc>
          <w:tcPr>
            <w:tcW w:w="1584" w:type="dxa"/>
            <w:shd w:val="clear" w:color="auto" w:fill="17365D"/>
            <w:tcMar>
              <w:top w:w="100" w:type="dxa"/>
              <w:left w:w="110" w:type="dxa"/>
              <w:bottom w:w="100" w:type="dxa"/>
              <w:right w:w="110" w:type="dxa"/>
            </w:tcMar>
            <w:vAlign w:val="center"/>
          </w:tcPr>
          <w:p w14:paraId="57E5CFE2" w14:textId="77777777" w:rsidR="0014233E" w:rsidRDefault="00000000">
            <w:pPr>
              <w:spacing w:after="0" w:line="240" w:lineRule="auto"/>
              <w:jc w:val="center"/>
            </w:pPr>
            <w:r>
              <w:rPr>
                <w:b/>
                <w:color w:val="FFFFFF"/>
                <w:sz w:val="16"/>
              </w:rPr>
              <w:t>Pilot gate complete</w:t>
            </w:r>
          </w:p>
        </w:tc>
        <w:tc>
          <w:tcPr>
            <w:tcW w:w="1584" w:type="dxa"/>
            <w:shd w:val="clear" w:color="auto" w:fill="17365D"/>
            <w:tcMar>
              <w:top w:w="100" w:type="dxa"/>
              <w:left w:w="110" w:type="dxa"/>
              <w:bottom w:w="100" w:type="dxa"/>
              <w:right w:w="110" w:type="dxa"/>
            </w:tcMar>
            <w:vAlign w:val="center"/>
          </w:tcPr>
          <w:p w14:paraId="2664F7C1" w14:textId="77777777" w:rsidR="0014233E" w:rsidRDefault="00000000">
            <w:pPr>
              <w:spacing w:after="0" w:line="240" w:lineRule="auto"/>
              <w:jc w:val="center"/>
            </w:pPr>
            <w:r>
              <w:rPr>
                <w:b/>
                <w:color w:val="FFFFFF"/>
                <w:sz w:val="16"/>
              </w:rPr>
              <w:t>First paid pilot</w:t>
            </w:r>
          </w:p>
        </w:tc>
        <w:tc>
          <w:tcPr>
            <w:tcW w:w="1224" w:type="dxa"/>
            <w:shd w:val="clear" w:color="auto" w:fill="17365D"/>
            <w:tcMar>
              <w:top w:w="100" w:type="dxa"/>
              <w:left w:w="110" w:type="dxa"/>
              <w:bottom w:w="100" w:type="dxa"/>
              <w:right w:w="110" w:type="dxa"/>
            </w:tcMar>
            <w:vAlign w:val="center"/>
          </w:tcPr>
          <w:p w14:paraId="0A817B1D" w14:textId="77777777" w:rsidR="0014233E" w:rsidRDefault="00000000">
            <w:pPr>
              <w:spacing w:after="0" w:line="240" w:lineRule="auto"/>
              <w:jc w:val="center"/>
            </w:pPr>
            <w:r>
              <w:rPr>
                <w:b/>
                <w:color w:val="FFFFFF"/>
                <w:sz w:val="16"/>
              </w:rPr>
              <w:t>VARA starts</w:t>
            </w:r>
          </w:p>
        </w:tc>
        <w:tc>
          <w:tcPr>
            <w:tcW w:w="2088" w:type="dxa"/>
            <w:shd w:val="clear" w:color="auto" w:fill="17365D"/>
            <w:tcMar>
              <w:top w:w="100" w:type="dxa"/>
              <w:left w:w="110" w:type="dxa"/>
              <w:bottom w:w="100" w:type="dxa"/>
              <w:right w:w="110" w:type="dxa"/>
            </w:tcMar>
            <w:vAlign w:val="center"/>
          </w:tcPr>
          <w:p w14:paraId="245CAC67" w14:textId="77777777" w:rsidR="0014233E" w:rsidRDefault="00000000">
            <w:pPr>
              <w:spacing w:after="0" w:line="240" w:lineRule="auto"/>
              <w:jc w:val="center"/>
            </w:pPr>
            <w:r>
              <w:rPr>
                <w:b/>
                <w:color w:val="FFFFFF"/>
                <w:sz w:val="16"/>
              </w:rPr>
              <w:t>Full VARA licence target</w:t>
            </w:r>
          </w:p>
        </w:tc>
        <w:tc>
          <w:tcPr>
            <w:tcW w:w="2232" w:type="dxa"/>
            <w:shd w:val="clear" w:color="auto" w:fill="17365D"/>
            <w:tcMar>
              <w:top w:w="100" w:type="dxa"/>
              <w:left w:w="110" w:type="dxa"/>
              <w:bottom w:w="100" w:type="dxa"/>
              <w:right w:w="110" w:type="dxa"/>
            </w:tcMar>
            <w:vAlign w:val="center"/>
          </w:tcPr>
          <w:p w14:paraId="124EACFC" w14:textId="77777777" w:rsidR="0014233E" w:rsidRDefault="00000000">
            <w:pPr>
              <w:spacing w:after="0" w:line="240" w:lineRule="auto"/>
              <w:jc w:val="center"/>
            </w:pPr>
            <w:r>
              <w:rPr>
                <w:b/>
                <w:color w:val="FFFFFF"/>
                <w:sz w:val="16"/>
              </w:rPr>
              <w:t>Use in model</w:t>
            </w:r>
          </w:p>
        </w:tc>
      </w:tr>
      <w:tr w:rsidR="0014233E" w14:paraId="6CC9EF57" w14:textId="77777777">
        <w:trPr>
          <w:cantSplit/>
          <w:jc w:val="center"/>
        </w:trPr>
        <w:tc>
          <w:tcPr>
            <w:tcW w:w="1152" w:type="dxa"/>
            <w:shd w:val="clear" w:color="auto" w:fill="E2F0D9"/>
            <w:tcMar>
              <w:top w:w="100" w:type="dxa"/>
              <w:left w:w="110" w:type="dxa"/>
              <w:bottom w:w="100" w:type="dxa"/>
              <w:right w:w="110" w:type="dxa"/>
            </w:tcMar>
            <w:vAlign w:val="center"/>
          </w:tcPr>
          <w:p w14:paraId="426F231F" w14:textId="77777777" w:rsidR="0014233E" w:rsidRDefault="00000000">
            <w:pPr>
              <w:spacing w:after="0" w:line="240" w:lineRule="auto"/>
            </w:pPr>
            <w:r>
              <w:rPr>
                <w:b/>
                <w:color w:val="17365D"/>
                <w:sz w:val="16"/>
              </w:rPr>
              <w:t>Early</w:t>
            </w:r>
          </w:p>
        </w:tc>
        <w:tc>
          <w:tcPr>
            <w:tcW w:w="1584" w:type="dxa"/>
            <w:shd w:val="clear" w:color="auto" w:fill="E2F0D9"/>
            <w:tcMar>
              <w:top w:w="100" w:type="dxa"/>
              <w:left w:w="110" w:type="dxa"/>
              <w:bottom w:w="100" w:type="dxa"/>
              <w:right w:w="110" w:type="dxa"/>
            </w:tcMar>
            <w:vAlign w:val="center"/>
          </w:tcPr>
          <w:p w14:paraId="3CA32445" w14:textId="77777777" w:rsidR="0014233E" w:rsidRDefault="00000000">
            <w:pPr>
              <w:spacing w:after="0" w:line="240" w:lineRule="auto"/>
            </w:pPr>
            <w:r>
              <w:rPr>
                <w:sz w:val="16"/>
              </w:rPr>
              <w:t>M8</w:t>
            </w:r>
          </w:p>
        </w:tc>
        <w:tc>
          <w:tcPr>
            <w:tcW w:w="1584" w:type="dxa"/>
            <w:shd w:val="clear" w:color="auto" w:fill="E2F0D9"/>
            <w:tcMar>
              <w:top w:w="100" w:type="dxa"/>
              <w:left w:w="110" w:type="dxa"/>
              <w:bottom w:w="100" w:type="dxa"/>
              <w:right w:w="110" w:type="dxa"/>
            </w:tcMar>
            <w:vAlign w:val="center"/>
          </w:tcPr>
          <w:p w14:paraId="59B333E5" w14:textId="77777777" w:rsidR="0014233E" w:rsidRDefault="00000000">
            <w:pPr>
              <w:spacing w:after="0" w:line="240" w:lineRule="auto"/>
            </w:pPr>
            <w:r>
              <w:rPr>
                <w:sz w:val="16"/>
              </w:rPr>
              <w:t>M9</w:t>
            </w:r>
          </w:p>
        </w:tc>
        <w:tc>
          <w:tcPr>
            <w:tcW w:w="1224" w:type="dxa"/>
            <w:shd w:val="clear" w:color="auto" w:fill="E2F0D9"/>
            <w:tcMar>
              <w:top w:w="100" w:type="dxa"/>
              <w:left w:w="110" w:type="dxa"/>
              <w:bottom w:w="100" w:type="dxa"/>
              <w:right w:w="110" w:type="dxa"/>
            </w:tcMar>
            <w:vAlign w:val="center"/>
          </w:tcPr>
          <w:p w14:paraId="4ADAC74F" w14:textId="77777777" w:rsidR="0014233E" w:rsidRDefault="00000000">
            <w:pPr>
              <w:spacing w:after="0" w:line="240" w:lineRule="auto"/>
            </w:pPr>
            <w:r>
              <w:rPr>
                <w:sz w:val="16"/>
              </w:rPr>
              <w:t>M1</w:t>
            </w:r>
          </w:p>
        </w:tc>
        <w:tc>
          <w:tcPr>
            <w:tcW w:w="2088" w:type="dxa"/>
            <w:shd w:val="clear" w:color="auto" w:fill="E2F0D9"/>
            <w:tcMar>
              <w:top w:w="100" w:type="dxa"/>
              <w:left w:w="110" w:type="dxa"/>
              <w:bottom w:w="100" w:type="dxa"/>
              <w:right w:w="110" w:type="dxa"/>
            </w:tcMar>
            <w:vAlign w:val="center"/>
          </w:tcPr>
          <w:p w14:paraId="461D09D9" w14:textId="77777777" w:rsidR="0014233E" w:rsidRDefault="00000000">
            <w:pPr>
              <w:spacing w:after="0" w:line="240" w:lineRule="auto"/>
            </w:pPr>
            <w:r>
              <w:rPr>
                <w:sz w:val="16"/>
              </w:rPr>
              <w:t>M12</w:t>
            </w:r>
          </w:p>
        </w:tc>
        <w:tc>
          <w:tcPr>
            <w:tcW w:w="2232" w:type="dxa"/>
            <w:shd w:val="clear" w:color="auto" w:fill="E2F0D9"/>
            <w:tcMar>
              <w:top w:w="100" w:type="dxa"/>
              <w:left w:w="110" w:type="dxa"/>
              <w:bottom w:w="100" w:type="dxa"/>
              <w:right w:w="110" w:type="dxa"/>
            </w:tcMar>
            <w:vAlign w:val="center"/>
          </w:tcPr>
          <w:p w14:paraId="630FB61A" w14:textId="77777777" w:rsidR="0014233E" w:rsidRDefault="00000000">
            <w:pPr>
              <w:spacing w:after="0" w:line="240" w:lineRule="auto"/>
            </w:pPr>
            <w:r>
              <w:rPr>
                <w:sz w:val="16"/>
              </w:rPr>
              <w:t>Upside / execution case</w:t>
            </w:r>
          </w:p>
        </w:tc>
      </w:tr>
      <w:tr w:rsidR="0014233E" w14:paraId="5970E8D8" w14:textId="77777777">
        <w:trPr>
          <w:cantSplit/>
          <w:jc w:val="center"/>
        </w:trPr>
        <w:tc>
          <w:tcPr>
            <w:tcW w:w="1152" w:type="dxa"/>
            <w:shd w:val="clear" w:color="auto" w:fill="E2F0D9"/>
            <w:tcMar>
              <w:top w:w="100" w:type="dxa"/>
              <w:left w:w="110" w:type="dxa"/>
              <w:bottom w:w="100" w:type="dxa"/>
              <w:right w:w="110" w:type="dxa"/>
            </w:tcMar>
            <w:vAlign w:val="center"/>
          </w:tcPr>
          <w:p w14:paraId="19EFCC07" w14:textId="77777777" w:rsidR="0014233E" w:rsidRDefault="00000000">
            <w:pPr>
              <w:spacing w:after="0" w:line="240" w:lineRule="auto"/>
            </w:pPr>
            <w:r>
              <w:rPr>
                <w:b/>
                <w:color w:val="17365D"/>
                <w:sz w:val="16"/>
              </w:rPr>
              <w:t>Base</w:t>
            </w:r>
          </w:p>
        </w:tc>
        <w:tc>
          <w:tcPr>
            <w:tcW w:w="1584" w:type="dxa"/>
            <w:shd w:val="clear" w:color="auto" w:fill="E2F0D9"/>
            <w:tcMar>
              <w:top w:w="100" w:type="dxa"/>
              <w:left w:w="110" w:type="dxa"/>
              <w:bottom w:w="100" w:type="dxa"/>
              <w:right w:w="110" w:type="dxa"/>
            </w:tcMar>
            <w:vAlign w:val="center"/>
          </w:tcPr>
          <w:p w14:paraId="1F72DFEB" w14:textId="77777777" w:rsidR="0014233E" w:rsidRDefault="00000000">
            <w:pPr>
              <w:spacing w:after="0" w:line="240" w:lineRule="auto"/>
            </w:pPr>
            <w:r>
              <w:rPr>
                <w:sz w:val="16"/>
              </w:rPr>
              <w:t>M11</w:t>
            </w:r>
          </w:p>
        </w:tc>
        <w:tc>
          <w:tcPr>
            <w:tcW w:w="1584" w:type="dxa"/>
            <w:shd w:val="clear" w:color="auto" w:fill="E2F0D9"/>
            <w:tcMar>
              <w:top w:w="100" w:type="dxa"/>
              <w:left w:w="110" w:type="dxa"/>
              <w:bottom w:w="100" w:type="dxa"/>
              <w:right w:w="110" w:type="dxa"/>
            </w:tcMar>
            <w:vAlign w:val="center"/>
          </w:tcPr>
          <w:p w14:paraId="1504F6C4" w14:textId="77777777" w:rsidR="0014233E" w:rsidRDefault="00000000">
            <w:pPr>
              <w:spacing w:after="0" w:line="240" w:lineRule="auto"/>
            </w:pPr>
            <w:r>
              <w:rPr>
                <w:sz w:val="16"/>
              </w:rPr>
              <w:t>M12</w:t>
            </w:r>
          </w:p>
        </w:tc>
        <w:tc>
          <w:tcPr>
            <w:tcW w:w="1224" w:type="dxa"/>
            <w:shd w:val="clear" w:color="auto" w:fill="E2F0D9"/>
            <w:tcMar>
              <w:top w:w="100" w:type="dxa"/>
              <w:left w:w="110" w:type="dxa"/>
              <w:bottom w:w="100" w:type="dxa"/>
              <w:right w:w="110" w:type="dxa"/>
            </w:tcMar>
            <w:vAlign w:val="center"/>
          </w:tcPr>
          <w:p w14:paraId="7A7B801C" w14:textId="77777777" w:rsidR="0014233E" w:rsidRDefault="00000000">
            <w:pPr>
              <w:spacing w:after="0" w:line="240" w:lineRule="auto"/>
            </w:pPr>
            <w:r>
              <w:rPr>
                <w:sz w:val="16"/>
              </w:rPr>
              <w:t>M1</w:t>
            </w:r>
          </w:p>
        </w:tc>
        <w:tc>
          <w:tcPr>
            <w:tcW w:w="2088" w:type="dxa"/>
            <w:shd w:val="clear" w:color="auto" w:fill="E2F0D9"/>
            <w:tcMar>
              <w:top w:w="100" w:type="dxa"/>
              <w:left w:w="110" w:type="dxa"/>
              <w:bottom w:w="100" w:type="dxa"/>
              <w:right w:w="110" w:type="dxa"/>
            </w:tcMar>
            <w:vAlign w:val="center"/>
          </w:tcPr>
          <w:p w14:paraId="6EEEBA3D" w14:textId="77777777" w:rsidR="0014233E" w:rsidRDefault="00000000">
            <w:pPr>
              <w:spacing w:after="0" w:line="240" w:lineRule="auto"/>
            </w:pPr>
            <w:r>
              <w:rPr>
                <w:sz w:val="16"/>
              </w:rPr>
              <w:t>M18</w:t>
            </w:r>
          </w:p>
        </w:tc>
        <w:tc>
          <w:tcPr>
            <w:tcW w:w="2232" w:type="dxa"/>
            <w:shd w:val="clear" w:color="auto" w:fill="E2F0D9"/>
            <w:tcMar>
              <w:top w:w="100" w:type="dxa"/>
              <w:left w:w="110" w:type="dxa"/>
              <w:bottom w:w="100" w:type="dxa"/>
              <w:right w:w="110" w:type="dxa"/>
            </w:tcMar>
            <w:vAlign w:val="center"/>
          </w:tcPr>
          <w:p w14:paraId="576BB0F7" w14:textId="77777777" w:rsidR="0014233E" w:rsidRDefault="00000000">
            <w:pPr>
              <w:spacing w:after="0" w:line="240" w:lineRule="auto"/>
            </w:pPr>
            <w:r>
              <w:rPr>
                <w:sz w:val="16"/>
              </w:rPr>
              <w:t>Recommended presentation case</w:t>
            </w:r>
          </w:p>
        </w:tc>
      </w:tr>
      <w:tr w:rsidR="0014233E" w14:paraId="64EAF864" w14:textId="77777777">
        <w:trPr>
          <w:cantSplit/>
          <w:jc w:val="center"/>
        </w:trPr>
        <w:tc>
          <w:tcPr>
            <w:tcW w:w="1152" w:type="dxa"/>
            <w:shd w:val="clear" w:color="auto" w:fill="FFF2CC"/>
            <w:tcMar>
              <w:top w:w="100" w:type="dxa"/>
              <w:left w:w="110" w:type="dxa"/>
              <w:bottom w:w="100" w:type="dxa"/>
              <w:right w:w="110" w:type="dxa"/>
            </w:tcMar>
            <w:vAlign w:val="center"/>
          </w:tcPr>
          <w:p w14:paraId="5BA17CA3" w14:textId="77777777" w:rsidR="0014233E" w:rsidRDefault="00000000">
            <w:pPr>
              <w:spacing w:after="0" w:line="240" w:lineRule="auto"/>
            </w:pPr>
            <w:r>
              <w:rPr>
                <w:b/>
                <w:color w:val="17365D"/>
                <w:sz w:val="16"/>
              </w:rPr>
              <w:lastRenderedPageBreak/>
              <w:t>Delayed</w:t>
            </w:r>
          </w:p>
        </w:tc>
        <w:tc>
          <w:tcPr>
            <w:tcW w:w="1584" w:type="dxa"/>
            <w:shd w:val="clear" w:color="auto" w:fill="FFF2CC"/>
            <w:tcMar>
              <w:top w:w="100" w:type="dxa"/>
              <w:left w:w="110" w:type="dxa"/>
              <w:bottom w:w="100" w:type="dxa"/>
              <w:right w:w="110" w:type="dxa"/>
            </w:tcMar>
            <w:vAlign w:val="center"/>
          </w:tcPr>
          <w:p w14:paraId="5D374EB5" w14:textId="77777777" w:rsidR="0014233E" w:rsidRDefault="00000000">
            <w:pPr>
              <w:spacing w:after="0" w:line="240" w:lineRule="auto"/>
            </w:pPr>
            <w:r>
              <w:rPr>
                <w:sz w:val="16"/>
              </w:rPr>
              <w:t>M17</w:t>
            </w:r>
          </w:p>
        </w:tc>
        <w:tc>
          <w:tcPr>
            <w:tcW w:w="1584" w:type="dxa"/>
            <w:shd w:val="clear" w:color="auto" w:fill="FFF2CC"/>
            <w:tcMar>
              <w:top w:w="100" w:type="dxa"/>
              <w:left w:w="110" w:type="dxa"/>
              <w:bottom w:w="100" w:type="dxa"/>
              <w:right w:w="110" w:type="dxa"/>
            </w:tcMar>
            <w:vAlign w:val="center"/>
          </w:tcPr>
          <w:p w14:paraId="2DD35943" w14:textId="77777777" w:rsidR="0014233E" w:rsidRDefault="00000000">
            <w:pPr>
              <w:spacing w:after="0" w:line="240" w:lineRule="auto"/>
            </w:pPr>
            <w:r>
              <w:rPr>
                <w:sz w:val="16"/>
              </w:rPr>
              <w:t>M18</w:t>
            </w:r>
          </w:p>
        </w:tc>
        <w:tc>
          <w:tcPr>
            <w:tcW w:w="1224" w:type="dxa"/>
            <w:shd w:val="clear" w:color="auto" w:fill="FFF2CC"/>
            <w:tcMar>
              <w:top w:w="100" w:type="dxa"/>
              <w:left w:w="110" w:type="dxa"/>
              <w:bottom w:w="100" w:type="dxa"/>
              <w:right w:w="110" w:type="dxa"/>
            </w:tcMar>
            <w:vAlign w:val="center"/>
          </w:tcPr>
          <w:p w14:paraId="20141B36" w14:textId="77777777" w:rsidR="0014233E" w:rsidRDefault="00000000">
            <w:pPr>
              <w:spacing w:after="0" w:line="240" w:lineRule="auto"/>
            </w:pPr>
            <w:r>
              <w:rPr>
                <w:sz w:val="16"/>
              </w:rPr>
              <w:t>M1</w:t>
            </w:r>
          </w:p>
        </w:tc>
        <w:tc>
          <w:tcPr>
            <w:tcW w:w="2088" w:type="dxa"/>
            <w:shd w:val="clear" w:color="auto" w:fill="FFF2CC"/>
            <w:tcMar>
              <w:top w:w="100" w:type="dxa"/>
              <w:left w:w="110" w:type="dxa"/>
              <w:bottom w:w="100" w:type="dxa"/>
              <w:right w:w="110" w:type="dxa"/>
            </w:tcMar>
            <w:vAlign w:val="center"/>
          </w:tcPr>
          <w:p w14:paraId="3E649F1D" w14:textId="77777777" w:rsidR="0014233E" w:rsidRDefault="00000000">
            <w:pPr>
              <w:spacing w:after="0" w:line="240" w:lineRule="auto"/>
            </w:pPr>
            <w:r>
              <w:rPr>
                <w:sz w:val="16"/>
              </w:rPr>
              <w:t>M24</w:t>
            </w:r>
          </w:p>
        </w:tc>
        <w:tc>
          <w:tcPr>
            <w:tcW w:w="2232" w:type="dxa"/>
            <w:shd w:val="clear" w:color="auto" w:fill="FFF2CC"/>
            <w:tcMar>
              <w:top w:w="100" w:type="dxa"/>
              <w:left w:w="110" w:type="dxa"/>
              <w:bottom w:w="100" w:type="dxa"/>
              <w:right w:w="110" w:type="dxa"/>
            </w:tcMar>
            <w:vAlign w:val="center"/>
          </w:tcPr>
          <w:p w14:paraId="3538F3BA" w14:textId="77777777" w:rsidR="0014233E" w:rsidRDefault="00000000">
            <w:pPr>
              <w:spacing w:after="0" w:line="240" w:lineRule="auto"/>
            </w:pPr>
            <w:r>
              <w:rPr>
                <w:sz w:val="16"/>
              </w:rPr>
              <w:t>Regulatory/remediation sensitivity</w:t>
            </w:r>
          </w:p>
        </w:tc>
      </w:tr>
    </w:tbl>
    <w:p w14:paraId="2547FBA8" w14:textId="77777777" w:rsidR="0014233E" w:rsidRDefault="0014233E">
      <w:pPr>
        <w:spacing w:after="20"/>
      </w:pPr>
    </w:p>
    <w:p w14:paraId="558E2203" w14:textId="77777777" w:rsidR="0014233E" w:rsidRDefault="00000000">
      <w:pPr>
        <w:pStyle w:val="Heading2"/>
      </w:pPr>
      <w:r>
        <w:t>What would need to be true for Month 12 VARA?</w:t>
      </w:r>
    </w:p>
    <w:p w14:paraId="48BBBFF4" w14:textId="77777777" w:rsidR="0014233E" w:rsidRDefault="00000000">
      <w:pPr>
        <w:pStyle w:val="ListBullet"/>
        <w:spacing w:after="60"/>
      </w:pPr>
      <w:r>
        <w:t>The activity perimeter is resolved in the first one to two months, without a later redesign of the custody or entity structure.</w:t>
      </w:r>
    </w:p>
    <w:p w14:paraId="65BFDEF0" w14:textId="77777777" w:rsidR="0014233E" w:rsidRDefault="00000000">
      <w:pPr>
        <w:pStyle w:val="ListBullet"/>
        <w:spacing w:after="60"/>
      </w:pPr>
      <w:r>
        <w:t>The IDQ and initial application are submitted immediately through the selected non-DIFC licensing channel.</w:t>
      </w:r>
    </w:p>
    <w:p w14:paraId="0CD87B3A" w14:textId="77777777" w:rsidR="0014233E" w:rsidRDefault="00000000">
      <w:pPr>
        <w:pStyle w:val="ListBullet"/>
        <w:spacing w:after="60"/>
      </w:pPr>
      <w:r>
        <w:t>The applicant, UBO funding, office, two Responsible Individuals and senior-management structure are available early.</w:t>
      </w:r>
    </w:p>
    <w:p w14:paraId="67FC11F8" w14:textId="77777777" w:rsidR="0014233E" w:rsidRDefault="00000000">
      <w:pPr>
        <w:pStyle w:val="ListBullet"/>
        <w:spacing w:after="60"/>
      </w:pPr>
      <w:r>
        <w:t>A substantially complete full application is filed within the first half of Year 1.</w:t>
      </w:r>
    </w:p>
    <w:p w14:paraId="4C4A563F" w14:textId="77777777" w:rsidR="0014233E" w:rsidRDefault="00000000">
      <w:pPr>
        <w:pStyle w:val="ListBullet"/>
        <w:spacing w:after="60"/>
      </w:pPr>
      <w:r>
        <w:t>Smart-contract, key-management, AML/Travel Rule, client-asset and wind-down controls are production-ready rather than demonstrator-grade.</w:t>
      </w:r>
    </w:p>
    <w:p w14:paraId="5ADB9217" w14:textId="77777777" w:rsidR="0014233E" w:rsidRDefault="00000000">
      <w:pPr>
        <w:pStyle w:val="ListBullet"/>
        <w:spacing w:after="60"/>
      </w:pPr>
      <w:r>
        <w:t>Regulatory feedback is limited and no additional licence category or separate custody entity is required.</w:t>
      </w:r>
    </w:p>
    <w:p w14:paraId="34806914" w14:textId="77777777" w:rsidR="0014233E" w:rsidRDefault="00000000">
      <w:pPr>
        <w:pStyle w:val="ListBullet"/>
        <w:spacing w:after="60"/>
      </w:pPr>
      <w:r>
        <w:t>CBUAE treatment of the chosen stablecoin and customer flow is resolved without a separate long approval sequence.</w:t>
      </w:r>
    </w:p>
    <w:p w14:paraId="3D4BED3F" w14:textId="77777777" w:rsidR="0014233E" w:rsidRDefault="00000000">
      <w:pPr>
        <w:keepLines/>
      </w:pPr>
      <w:r>
        <w:t>These conditions make Month 12 credible as an early case, but too dependent on favourable classification and execution to be the central forecast.</w:t>
      </w:r>
    </w:p>
    <w:p w14:paraId="24D96095" w14:textId="77777777" w:rsidR="0014233E" w:rsidRDefault="00000000">
      <w:pPr>
        <w:pStyle w:val="Heading1"/>
      </w:pPr>
      <w:r>
        <w:t>6. Product-readiness gaps and launch gates</w:t>
      </w:r>
    </w:p>
    <w:p w14:paraId="425AEDAD" w14:textId="77777777" w:rsidR="0014233E" w:rsidRDefault="00000000">
      <w:pPr>
        <w:keepLines/>
      </w:pPr>
      <w:r>
        <w:t>The BRD correctly separates the delivered demonstrator from the production roadmap. The following items should appear as explicit launch gates rather than being implied by the prototype. [1]</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1944"/>
        <w:gridCol w:w="1944"/>
        <w:gridCol w:w="1728"/>
        <w:gridCol w:w="1800"/>
        <w:gridCol w:w="2880"/>
      </w:tblGrid>
      <w:tr w:rsidR="0014233E" w14:paraId="4BF962E5" w14:textId="77777777">
        <w:trPr>
          <w:cantSplit/>
          <w:tblHeader/>
          <w:jc w:val="center"/>
        </w:trPr>
        <w:tc>
          <w:tcPr>
            <w:tcW w:w="1944" w:type="dxa"/>
            <w:shd w:val="clear" w:color="auto" w:fill="17365D"/>
            <w:tcMar>
              <w:top w:w="100" w:type="dxa"/>
              <w:left w:w="110" w:type="dxa"/>
              <w:bottom w:w="100" w:type="dxa"/>
              <w:right w:w="110" w:type="dxa"/>
            </w:tcMar>
            <w:vAlign w:val="center"/>
          </w:tcPr>
          <w:p w14:paraId="355CCC82" w14:textId="77777777" w:rsidR="0014233E" w:rsidRDefault="00000000">
            <w:pPr>
              <w:spacing w:after="0" w:line="240" w:lineRule="auto"/>
              <w:jc w:val="center"/>
            </w:pPr>
            <w:r>
              <w:rPr>
                <w:b/>
                <w:color w:val="FFFFFF"/>
                <w:sz w:val="14"/>
              </w:rPr>
              <w:t>Capability</w:t>
            </w:r>
          </w:p>
        </w:tc>
        <w:tc>
          <w:tcPr>
            <w:tcW w:w="1944" w:type="dxa"/>
            <w:shd w:val="clear" w:color="auto" w:fill="17365D"/>
            <w:tcMar>
              <w:top w:w="100" w:type="dxa"/>
              <w:left w:w="110" w:type="dxa"/>
              <w:bottom w:w="100" w:type="dxa"/>
              <w:right w:w="110" w:type="dxa"/>
            </w:tcMar>
            <w:vAlign w:val="center"/>
          </w:tcPr>
          <w:p w14:paraId="441E55B8" w14:textId="77777777" w:rsidR="0014233E" w:rsidRDefault="00000000">
            <w:pPr>
              <w:spacing w:after="0" w:line="240" w:lineRule="auto"/>
              <w:jc w:val="center"/>
            </w:pPr>
            <w:r>
              <w:rPr>
                <w:b/>
                <w:color w:val="FFFFFF"/>
                <w:sz w:val="14"/>
              </w:rPr>
              <w:t>BRD position</w:t>
            </w:r>
          </w:p>
        </w:tc>
        <w:tc>
          <w:tcPr>
            <w:tcW w:w="1728" w:type="dxa"/>
            <w:shd w:val="clear" w:color="auto" w:fill="17365D"/>
            <w:tcMar>
              <w:top w:w="100" w:type="dxa"/>
              <w:left w:w="110" w:type="dxa"/>
              <w:bottom w:w="100" w:type="dxa"/>
              <w:right w:w="110" w:type="dxa"/>
            </w:tcMar>
            <w:vAlign w:val="center"/>
          </w:tcPr>
          <w:p w14:paraId="5ACB3A0D" w14:textId="77777777" w:rsidR="0014233E" w:rsidRDefault="00000000">
            <w:pPr>
              <w:spacing w:after="0" w:line="240" w:lineRule="auto"/>
              <w:jc w:val="center"/>
            </w:pPr>
            <w:r>
              <w:rPr>
                <w:b/>
                <w:color w:val="FFFFFF"/>
                <w:sz w:val="14"/>
              </w:rPr>
              <w:t>Needed for partner pilot?</w:t>
            </w:r>
          </w:p>
        </w:tc>
        <w:tc>
          <w:tcPr>
            <w:tcW w:w="1800" w:type="dxa"/>
            <w:shd w:val="clear" w:color="auto" w:fill="17365D"/>
            <w:tcMar>
              <w:top w:w="100" w:type="dxa"/>
              <w:left w:w="110" w:type="dxa"/>
              <w:bottom w:w="100" w:type="dxa"/>
              <w:right w:w="110" w:type="dxa"/>
            </w:tcMar>
            <w:vAlign w:val="center"/>
          </w:tcPr>
          <w:p w14:paraId="417EE621" w14:textId="77777777" w:rsidR="0014233E" w:rsidRDefault="00000000">
            <w:pPr>
              <w:spacing w:after="0" w:line="240" w:lineRule="auto"/>
              <w:jc w:val="center"/>
            </w:pPr>
            <w:r>
              <w:rPr>
                <w:b/>
                <w:color w:val="FFFFFF"/>
                <w:sz w:val="14"/>
              </w:rPr>
              <w:t>Needed for VARA scale?</w:t>
            </w:r>
          </w:p>
        </w:tc>
        <w:tc>
          <w:tcPr>
            <w:tcW w:w="2880" w:type="dxa"/>
            <w:shd w:val="clear" w:color="auto" w:fill="17365D"/>
            <w:tcMar>
              <w:top w:w="100" w:type="dxa"/>
              <w:left w:w="110" w:type="dxa"/>
              <w:bottom w:w="100" w:type="dxa"/>
              <w:right w:w="110" w:type="dxa"/>
            </w:tcMar>
            <w:vAlign w:val="center"/>
          </w:tcPr>
          <w:p w14:paraId="3C4F5EEC" w14:textId="77777777" w:rsidR="0014233E" w:rsidRDefault="00000000">
            <w:pPr>
              <w:spacing w:after="0" w:line="240" w:lineRule="auto"/>
              <w:jc w:val="center"/>
            </w:pPr>
            <w:r>
              <w:rPr>
                <w:b/>
                <w:color w:val="FFFFFF"/>
                <w:sz w:val="14"/>
              </w:rPr>
              <w:t>Recommended gate</w:t>
            </w:r>
          </w:p>
        </w:tc>
      </w:tr>
      <w:tr w:rsidR="0014233E" w14:paraId="1754E692" w14:textId="77777777">
        <w:trPr>
          <w:cantSplit/>
          <w:jc w:val="center"/>
        </w:trPr>
        <w:tc>
          <w:tcPr>
            <w:tcW w:w="1944" w:type="dxa"/>
            <w:shd w:val="clear" w:color="auto" w:fill="FFF2CC"/>
            <w:tcMar>
              <w:top w:w="100" w:type="dxa"/>
              <w:left w:w="110" w:type="dxa"/>
              <w:bottom w:w="100" w:type="dxa"/>
              <w:right w:w="110" w:type="dxa"/>
            </w:tcMar>
            <w:vAlign w:val="center"/>
          </w:tcPr>
          <w:p w14:paraId="3953B8E5" w14:textId="77777777" w:rsidR="0014233E" w:rsidRDefault="00000000">
            <w:pPr>
              <w:spacing w:after="0" w:line="240" w:lineRule="auto"/>
            </w:pPr>
            <w:r>
              <w:rPr>
                <w:b/>
                <w:color w:val="17365D"/>
                <w:sz w:val="14"/>
              </w:rPr>
              <w:t>Stablecoin escrow contract</w:t>
            </w:r>
          </w:p>
        </w:tc>
        <w:tc>
          <w:tcPr>
            <w:tcW w:w="1944" w:type="dxa"/>
            <w:shd w:val="clear" w:color="auto" w:fill="FFF2CC"/>
            <w:tcMar>
              <w:top w:w="100" w:type="dxa"/>
              <w:left w:w="110" w:type="dxa"/>
              <w:bottom w:w="100" w:type="dxa"/>
              <w:right w:w="110" w:type="dxa"/>
            </w:tcMar>
            <w:vAlign w:val="center"/>
          </w:tcPr>
          <w:p w14:paraId="5BE8EA87" w14:textId="77777777" w:rsidR="0014233E" w:rsidRDefault="00000000">
            <w:pPr>
              <w:spacing w:after="0" w:line="240" w:lineRule="auto"/>
            </w:pPr>
            <w:r>
              <w:rPr>
                <w:sz w:val="14"/>
              </w:rPr>
              <w:t>Testnet delivered</w:t>
            </w:r>
          </w:p>
        </w:tc>
        <w:tc>
          <w:tcPr>
            <w:tcW w:w="1728" w:type="dxa"/>
            <w:shd w:val="clear" w:color="auto" w:fill="FFF2CC"/>
            <w:tcMar>
              <w:top w:w="100" w:type="dxa"/>
              <w:left w:w="110" w:type="dxa"/>
              <w:bottom w:w="100" w:type="dxa"/>
              <w:right w:w="110" w:type="dxa"/>
            </w:tcMar>
            <w:vAlign w:val="center"/>
          </w:tcPr>
          <w:p w14:paraId="117A25DF" w14:textId="77777777" w:rsidR="0014233E" w:rsidRDefault="00000000">
            <w:pPr>
              <w:spacing w:after="0" w:line="240" w:lineRule="auto"/>
            </w:pPr>
            <w:r>
              <w:rPr>
                <w:sz w:val="14"/>
              </w:rPr>
              <w:t>Yes — production deployment and audit</w:t>
            </w:r>
          </w:p>
        </w:tc>
        <w:tc>
          <w:tcPr>
            <w:tcW w:w="1800" w:type="dxa"/>
            <w:shd w:val="clear" w:color="auto" w:fill="FFF2CC"/>
            <w:tcMar>
              <w:top w:w="100" w:type="dxa"/>
              <w:left w:w="110" w:type="dxa"/>
              <w:bottom w:w="100" w:type="dxa"/>
              <w:right w:w="110" w:type="dxa"/>
            </w:tcMar>
            <w:vAlign w:val="center"/>
          </w:tcPr>
          <w:p w14:paraId="160B93E9" w14:textId="77777777" w:rsidR="0014233E" w:rsidRDefault="00000000">
            <w:pPr>
              <w:spacing w:after="0" w:line="240" w:lineRule="auto"/>
            </w:pPr>
            <w:r>
              <w:rPr>
                <w:sz w:val="14"/>
              </w:rPr>
              <w:t>Yes — full technology controls</w:t>
            </w:r>
          </w:p>
        </w:tc>
        <w:tc>
          <w:tcPr>
            <w:tcW w:w="2880" w:type="dxa"/>
            <w:shd w:val="clear" w:color="auto" w:fill="FFF2CC"/>
            <w:tcMar>
              <w:top w:w="100" w:type="dxa"/>
              <w:left w:w="110" w:type="dxa"/>
              <w:bottom w:w="100" w:type="dxa"/>
              <w:right w:w="110" w:type="dxa"/>
            </w:tcMar>
            <w:vAlign w:val="center"/>
          </w:tcPr>
          <w:p w14:paraId="55361873" w14:textId="77777777" w:rsidR="0014233E" w:rsidRDefault="00000000">
            <w:pPr>
              <w:spacing w:after="0" w:line="240" w:lineRule="auto"/>
            </w:pPr>
            <w:r>
              <w:rPr>
                <w:sz w:val="14"/>
              </w:rPr>
              <w:t>Independent audit, mainnet/token approval and emergency controls</w:t>
            </w:r>
          </w:p>
        </w:tc>
      </w:tr>
      <w:tr w:rsidR="0014233E" w14:paraId="2F3F701C" w14:textId="77777777">
        <w:trPr>
          <w:cantSplit/>
          <w:jc w:val="center"/>
        </w:trPr>
        <w:tc>
          <w:tcPr>
            <w:tcW w:w="1944" w:type="dxa"/>
            <w:shd w:val="clear" w:color="auto" w:fill="FFF2CC"/>
            <w:tcMar>
              <w:top w:w="100" w:type="dxa"/>
              <w:left w:w="110" w:type="dxa"/>
              <w:bottom w:w="100" w:type="dxa"/>
              <w:right w:w="110" w:type="dxa"/>
            </w:tcMar>
            <w:vAlign w:val="center"/>
          </w:tcPr>
          <w:p w14:paraId="2F1E2D02" w14:textId="77777777" w:rsidR="0014233E" w:rsidRDefault="00000000">
            <w:pPr>
              <w:spacing w:after="0" w:line="240" w:lineRule="auto"/>
            </w:pPr>
            <w:r>
              <w:rPr>
                <w:b/>
                <w:color w:val="17365D"/>
                <w:sz w:val="14"/>
              </w:rPr>
              <w:t>Document verification</w:t>
            </w:r>
          </w:p>
        </w:tc>
        <w:tc>
          <w:tcPr>
            <w:tcW w:w="1944" w:type="dxa"/>
            <w:shd w:val="clear" w:color="auto" w:fill="FFF2CC"/>
            <w:tcMar>
              <w:top w:w="100" w:type="dxa"/>
              <w:left w:w="110" w:type="dxa"/>
              <w:bottom w:w="100" w:type="dxa"/>
              <w:right w:w="110" w:type="dxa"/>
            </w:tcMar>
            <w:vAlign w:val="center"/>
          </w:tcPr>
          <w:p w14:paraId="33B16185" w14:textId="77777777" w:rsidR="0014233E" w:rsidRDefault="00000000">
            <w:pPr>
              <w:spacing w:after="0" w:line="240" w:lineRule="auto"/>
            </w:pPr>
            <w:r>
              <w:rPr>
                <w:sz w:val="14"/>
              </w:rPr>
              <w:t>Single structured transport document delivered</w:t>
            </w:r>
          </w:p>
        </w:tc>
        <w:tc>
          <w:tcPr>
            <w:tcW w:w="1728" w:type="dxa"/>
            <w:shd w:val="clear" w:color="auto" w:fill="FFF2CC"/>
            <w:tcMar>
              <w:top w:w="100" w:type="dxa"/>
              <w:left w:w="110" w:type="dxa"/>
              <w:bottom w:w="100" w:type="dxa"/>
              <w:right w:w="110" w:type="dxa"/>
            </w:tcMar>
            <w:vAlign w:val="center"/>
          </w:tcPr>
          <w:p w14:paraId="36F70335" w14:textId="77777777" w:rsidR="0014233E" w:rsidRDefault="00000000">
            <w:pPr>
              <w:spacing w:after="0" w:line="240" w:lineRule="auto"/>
            </w:pPr>
            <w:r>
              <w:rPr>
                <w:sz w:val="14"/>
              </w:rPr>
              <w:t>Yes — narrow approved set acceptable</w:t>
            </w:r>
          </w:p>
        </w:tc>
        <w:tc>
          <w:tcPr>
            <w:tcW w:w="1800" w:type="dxa"/>
            <w:shd w:val="clear" w:color="auto" w:fill="FFF2CC"/>
            <w:tcMar>
              <w:top w:w="100" w:type="dxa"/>
              <w:left w:w="110" w:type="dxa"/>
              <w:bottom w:w="100" w:type="dxa"/>
              <w:right w:w="110" w:type="dxa"/>
            </w:tcMar>
            <w:vAlign w:val="center"/>
          </w:tcPr>
          <w:p w14:paraId="3D42E491" w14:textId="77777777" w:rsidR="0014233E" w:rsidRDefault="00000000">
            <w:pPr>
              <w:spacing w:after="0" w:line="240" w:lineRule="auto"/>
            </w:pPr>
            <w:r>
              <w:rPr>
                <w:sz w:val="14"/>
              </w:rPr>
              <w:t>Yes — scalable full process</w:t>
            </w:r>
          </w:p>
        </w:tc>
        <w:tc>
          <w:tcPr>
            <w:tcW w:w="2880" w:type="dxa"/>
            <w:shd w:val="clear" w:color="auto" w:fill="FFF2CC"/>
            <w:tcMar>
              <w:top w:w="100" w:type="dxa"/>
              <w:left w:w="110" w:type="dxa"/>
              <w:bottom w:w="100" w:type="dxa"/>
              <w:right w:w="110" w:type="dxa"/>
            </w:tcMar>
            <w:vAlign w:val="center"/>
          </w:tcPr>
          <w:p w14:paraId="4A47601F" w14:textId="77777777" w:rsidR="0014233E" w:rsidRDefault="00000000">
            <w:pPr>
              <w:spacing w:after="0" w:line="240" w:lineRule="auto"/>
            </w:pPr>
            <w:r>
              <w:rPr>
                <w:sz w:val="14"/>
              </w:rPr>
              <w:t>Document SOP, reviewer evidence and discrepancy path</w:t>
            </w:r>
          </w:p>
        </w:tc>
      </w:tr>
      <w:tr w:rsidR="0014233E" w14:paraId="78773EE2" w14:textId="77777777">
        <w:trPr>
          <w:cantSplit/>
          <w:jc w:val="center"/>
        </w:trPr>
        <w:tc>
          <w:tcPr>
            <w:tcW w:w="1944" w:type="dxa"/>
            <w:shd w:val="clear" w:color="auto" w:fill="FFF2CC"/>
            <w:tcMar>
              <w:top w:w="100" w:type="dxa"/>
              <w:left w:w="110" w:type="dxa"/>
              <w:bottom w:w="100" w:type="dxa"/>
              <w:right w:w="110" w:type="dxa"/>
            </w:tcMar>
            <w:vAlign w:val="center"/>
          </w:tcPr>
          <w:p w14:paraId="2FBCBCC3" w14:textId="77777777" w:rsidR="0014233E" w:rsidRDefault="00000000">
            <w:pPr>
              <w:spacing w:after="0" w:line="240" w:lineRule="auto"/>
            </w:pPr>
            <w:r>
              <w:rPr>
                <w:b/>
                <w:color w:val="17365D"/>
                <w:sz w:val="14"/>
              </w:rPr>
              <w:t>KYB/sanctions</w:t>
            </w:r>
          </w:p>
        </w:tc>
        <w:tc>
          <w:tcPr>
            <w:tcW w:w="1944" w:type="dxa"/>
            <w:shd w:val="clear" w:color="auto" w:fill="FFF2CC"/>
            <w:tcMar>
              <w:top w:w="100" w:type="dxa"/>
              <w:left w:w="110" w:type="dxa"/>
              <w:bottom w:w="100" w:type="dxa"/>
              <w:right w:w="110" w:type="dxa"/>
            </w:tcMar>
            <w:vAlign w:val="center"/>
          </w:tcPr>
          <w:p w14:paraId="76A24F77" w14:textId="77777777" w:rsidR="0014233E" w:rsidRDefault="00000000">
            <w:pPr>
              <w:spacing w:after="0" w:line="240" w:lineRule="auto"/>
            </w:pPr>
            <w:r>
              <w:rPr>
                <w:sz w:val="14"/>
              </w:rPr>
              <w:t>Identity capture delivered; screening roadmap</w:t>
            </w:r>
          </w:p>
        </w:tc>
        <w:tc>
          <w:tcPr>
            <w:tcW w:w="1728" w:type="dxa"/>
            <w:shd w:val="clear" w:color="auto" w:fill="FFF2CC"/>
            <w:tcMar>
              <w:top w:w="100" w:type="dxa"/>
              <w:left w:w="110" w:type="dxa"/>
              <w:bottom w:w="100" w:type="dxa"/>
              <w:right w:w="110" w:type="dxa"/>
            </w:tcMar>
            <w:vAlign w:val="center"/>
          </w:tcPr>
          <w:p w14:paraId="4BCF8523" w14:textId="77777777" w:rsidR="0014233E" w:rsidRDefault="00000000">
            <w:pPr>
              <w:spacing w:after="0" w:line="240" w:lineRule="auto"/>
            </w:pPr>
            <w:r>
              <w:rPr>
                <w:sz w:val="14"/>
              </w:rPr>
              <w:t>Yes</w:t>
            </w:r>
          </w:p>
        </w:tc>
        <w:tc>
          <w:tcPr>
            <w:tcW w:w="1800" w:type="dxa"/>
            <w:shd w:val="clear" w:color="auto" w:fill="FFF2CC"/>
            <w:tcMar>
              <w:top w:w="100" w:type="dxa"/>
              <w:left w:w="110" w:type="dxa"/>
              <w:bottom w:w="100" w:type="dxa"/>
              <w:right w:w="110" w:type="dxa"/>
            </w:tcMar>
            <w:vAlign w:val="center"/>
          </w:tcPr>
          <w:p w14:paraId="733361C2" w14:textId="77777777" w:rsidR="0014233E" w:rsidRDefault="00000000">
            <w:pPr>
              <w:spacing w:after="0" w:line="240" w:lineRule="auto"/>
            </w:pPr>
            <w:r>
              <w:rPr>
                <w:sz w:val="14"/>
              </w:rPr>
              <w:t>Yes</w:t>
            </w:r>
          </w:p>
        </w:tc>
        <w:tc>
          <w:tcPr>
            <w:tcW w:w="2880" w:type="dxa"/>
            <w:shd w:val="clear" w:color="auto" w:fill="FFF2CC"/>
            <w:tcMar>
              <w:top w:w="100" w:type="dxa"/>
              <w:left w:w="110" w:type="dxa"/>
              <w:bottom w:w="100" w:type="dxa"/>
              <w:right w:w="110" w:type="dxa"/>
            </w:tcMar>
            <w:vAlign w:val="center"/>
          </w:tcPr>
          <w:p w14:paraId="153A4BB6" w14:textId="77777777" w:rsidR="0014233E" w:rsidRDefault="00000000">
            <w:pPr>
              <w:spacing w:after="0" w:line="240" w:lineRule="auto"/>
            </w:pPr>
            <w:r>
              <w:rPr>
                <w:sz w:val="14"/>
              </w:rPr>
              <w:t>Live provider, UBO/wallet screening and escalation</w:t>
            </w:r>
          </w:p>
        </w:tc>
      </w:tr>
      <w:tr w:rsidR="0014233E" w14:paraId="447BCACD" w14:textId="77777777">
        <w:trPr>
          <w:cantSplit/>
          <w:jc w:val="center"/>
        </w:trPr>
        <w:tc>
          <w:tcPr>
            <w:tcW w:w="1944" w:type="dxa"/>
            <w:shd w:val="clear" w:color="auto" w:fill="FFF2CC"/>
            <w:tcMar>
              <w:top w:w="100" w:type="dxa"/>
              <w:left w:w="110" w:type="dxa"/>
              <w:bottom w:w="100" w:type="dxa"/>
              <w:right w:w="110" w:type="dxa"/>
            </w:tcMar>
            <w:vAlign w:val="center"/>
          </w:tcPr>
          <w:p w14:paraId="11B46608" w14:textId="77777777" w:rsidR="0014233E" w:rsidRDefault="00000000">
            <w:pPr>
              <w:spacing w:after="0" w:line="240" w:lineRule="auto"/>
            </w:pPr>
            <w:r>
              <w:rPr>
                <w:b/>
                <w:color w:val="17365D"/>
                <w:sz w:val="14"/>
              </w:rPr>
              <w:t>Trade Escrow Agreement</w:t>
            </w:r>
          </w:p>
        </w:tc>
        <w:tc>
          <w:tcPr>
            <w:tcW w:w="1944" w:type="dxa"/>
            <w:shd w:val="clear" w:color="auto" w:fill="FFF2CC"/>
            <w:tcMar>
              <w:top w:w="100" w:type="dxa"/>
              <w:left w:w="110" w:type="dxa"/>
              <w:bottom w:w="100" w:type="dxa"/>
              <w:right w:w="110" w:type="dxa"/>
            </w:tcMar>
            <w:vAlign w:val="center"/>
          </w:tcPr>
          <w:p w14:paraId="50BAF32F" w14:textId="77777777" w:rsidR="0014233E" w:rsidRDefault="00000000">
            <w:pPr>
              <w:spacing w:after="0" w:line="240" w:lineRule="auto"/>
            </w:pPr>
            <w:r>
              <w:rPr>
                <w:sz w:val="14"/>
              </w:rPr>
              <w:t>Roadmap</w:t>
            </w:r>
          </w:p>
        </w:tc>
        <w:tc>
          <w:tcPr>
            <w:tcW w:w="1728" w:type="dxa"/>
            <w:shd w:val="clear" w:color="auto" w:fill="FFF2CC"/>
            <w:tcMar>
              <w:top w:w="100" w:type="dxa"/>
              <w:left w:w="110" w:type="dxa"/>
              <w:bottom w:w="100" w:type="dxa"/>
              <w:right w:w="110" w:type="dxa"/>
            </w:tcMar>
            <w:vAlign w:val="center"/>
          </w:tcPr>
          <w:p w14:paraId="2F102758" w14:textId="77777777" w:rsidR="0014233E" w:rsidRDefault="00000000">
            <w:pPr>
              <w:spacing w:after="0" w:line="240" w:lineRule="auto"/>
            </w:pPr>
            <w:r>
              <w:rPr>
                <w:sz w:val="14"/>
              </w:rPr>
              <w:t>Yes</w:t>
            </w:r>
          </w:p>
        </w:tc>
        <w:tc>
          <w:tcPr>
            <w:tcW w:w="1800" w:type="dxa"/>
            <w:shd w:val="clear" w:color="auto" w:fill="FFF2CC"/>
            <w:tcMar>
              <w:top w:w="100" w:type="dxa"/>
              <w:left w:w="110" w:type="dxa"/>
              <w:bottom w:w="100" w:type="dxa"/>
              <w:right w:w="110" w:type="dxa"/>
            </w:tcMar>
            <w:vAlign w:val="center"/>
          </w:tcPr>
          <w:p w14:paraId="19C22992" w14:textId="77777777" w:rsidR="0014233E" w:rsidRDefault="00000000">
            <w:pPr>
              <w:spacing w:after="0" w:line="240" w:lineRule="auto"/>
            </w:pPr>
            <w:r>
              <w:rPr>
                <w:sz w:val="14"/>
              </w:rPr>
              <w:t>Yes</w:t>
            </w:r>
          </w:p>
        </w:tc>
        <w:tc>
          <w:tcPr>
            <w:tcW w:w="2880" w:type="dxa"/>
            <w:shd w:val="clear" w:color="auto" w:fill="FFF2CC"/>
            <w:tcMar>
              <w:top w:w="100" w:type="dxa"/>
              <w:left w:w="110" w:type="dxa"/>
              <w:bottom w:w="100" w:type="dxa"/>
              <w:right w:w="110" w:type="dxa"/>
            </w:tcMar>
            <w:vAlign w:val="center"/>
          </w:tcPr>
          <w:p w14:paraId="48C18E45" w14:textId="77777777" w:rsidR="0014233E" w:rsidRDefault="00000000">
            <w:pPr>
              <w:spacing w:after="0" w:line="240" w:lineRule="auto"/>
            </w:pPr>
            <w:r>
              <w:rPr>
                <w:sz w:val="14"/>
              </w:rPr>
              <w:t>Approved contract and customer disclosures</w:t>
            </w:r>
          </w:p>
        </w:tc>
      </w:tr>
      <w:tr w:rsidR="0014233E" w14:paraId="2444FCF0" w14:textId="77777777">
        <w:trPr>
          <w:cantSplit/>
          <w:jc w:val="center"/>
        </w:trPr>
        <w:tc>
          <w:tcPr>
            <w:tcW w:w="1944" w:type="dxa"/>
            <w:shd w:val="clear" w:color="auto" w:fill="FFF2CC"/>
            <w:tcMar>
              <w:top w:w="100" w:type="dxa"/>
              <w:left w:w="110" w:type="dxa"/>
              <w:bottom w:w="100" w:type="dxa"/>
              <w:right w:w="110" w:type="dxa"/>
            </w:tcMar>
            <w:vAlign w:val="center"/>
          </w:tcPr>
          <w:p w14:paraId="5C1FFD3A" w14:textId="77777777" w:rsidR="0014233E" w:rsidRDefault="00000000">
            <w:pPr>
              <w:spacing w:after="0" w:line="240" w:lineRule="auto"/>
            </w:pPr>
            <w:r>
              <w:rPr>
                <w:b/>
                <w:color w:val="17365D"/>
                <w:sz w:val="14"/>
              </w:rPr>
              <w:t>Human-review console/SOP</w:t>
            </w:r>
          </w:p>
        </w:tc>
        <w:tc>
          <w:tcPr>
            <w:tcW w:w="1944" w:type="dxa"/>
            <w:shd w:val="clear" w:color="auto" w:fill="FFF2CC"/>
            <w:tcMar>
              <w:top w:w="100" w:type="dxa"/>
              <w:left w:w="110" w:type="dxa"/>
              <w:bottom w:w="100" w:type="dxa"/>
              <w:right w:w="110" w:type="dxa"/>
            </w:tcMar>
            <w:vAlign w:val="center"/>
          </w:tcPr>
          <w:p w14:paraId="52428358" w14:textId="77777777" w:rsidR="0014233E" w:rsidRDefault="00000000">
            <w:pPr>
              <w:spacing w:after="0" w:line="240" w:lineRule="auto"/>
            </w:pPr>
            <w:r>
              <w:rPr>
                <w:sz w:val="14"/>
              </w:rPr>
              <w:t>Roadmap</w:t>
            </w:r>
          </w:p>
        </w:tc>
        <w:tc>
          <w:tcPr>
            <w:tcW w:w="1728" w:type="dxa"/>
            <w:shd w:val="clear" w:color="auto" w:fill="FFF2CC"/>
            <w:tcMar>
              <w:top w:w="100" w:type="dxa"/>
              <w:left w:w="110" w:type="dxa"/>
              <w:bottom w:w="100" w:type="dxa"/>
              <w:right w:w="110" w:type="dxa"/>
            </w:tcMar>
            <w:vAlign w:val="center"/>
          </w:tcPr>
          <w:p w14:paraId="5CB5A8AC" w14:textId="77777777" w:rsidR="0014233E" w:rsidRDefault="00000000">
            <w:pPr>
              <w:spacing w:after="0" w:line="240" w:lineRule="auto"/>
            </w:pPr>
            <w:r>
              <w:rPr>
                <w:sz w:val="14"/>
              </w:rPr>
              <w:t>Yes</w:t>
            </w:r>
          </w:p>
        </w:tc>
        <w:tc>
          <w:tcPr>
            <w:tcW w:w="1800" w:type="dxa"/>
            <w:shd w:val="clear" w:color="auto" w:fill="FFF2CC"/>
            <w:tcMar>
              <w:top w:w="100" w:type="dxa"/>
              <w:left w:w="110" w:type="dxa"/>
              <w:bottom w:w="100" w:type="dxa"/>
              <w:right w:w="110" w:type="dxa"/>
            </w:tcMar>
            <w:vAlign w:val="center"/>
          </w:tcPr>
          <w:p w14:paraId="4014C94B" w14:textId="77777777" w:rsidR="0014233E" w:rsidRDefault="00000000">
            <w:pPr>
              <w:spacing w:after="0" w:line="240" w:lineRule="auto"/>
            </w:pPr>
            <w:r>
              <w:rPr>
                <w:sz w:val="14"/>
              </w:rPr>
              <w:t>Yes</w:t>
            </w:r>
          </w:p>
        </w:tc>
        <w:tc>
          <w:tcPr>
            <w:tcW w:w="2880" w:type="dxa"/>
            <w:shd w:val="clear" w:color="auto" w:fill="FFF2CC"/>
            <w:tcMar>
              <w:top w:w="100" w:type="dxa"/>
              <w:left w:w="110" w:type="dxa"/>
              <w:bottom w:w="100" w:type="dxa"/>
              <w:right w:w="110" w:type="dxa"/>
            </w:tcMar>
            <w:vAlign w:val="center"/>
          </w:tcPr>
          <w:p w14:paraId="787B10EB" w14:textId="77777777" w:rsidR="0014233E" w:rsidRDefault="00000000">
            <w:pPr>
              <w:spacing w:after="0" w:line="240" w:lineRule="auto"/>
            </w:pPr>
            <w:r>
              <w:rPr>
                <w:sz w:val="14"/>
              </w:rPr>
              <w:t>Mandatory review above £50k and exceptions; QA and audit log</w:t>
            </w:r>
          </w:p>
        </w:tc>
      </w:tr>
      <w:tr w:rsidR="0014233E" w14:paraId="62FAE293" w14:textId="77777777">
        <w:trPr>
          <w:cantSplit/>
          <w:jc w:val="center"/>
        </w:trPr>
        <w:tc>
          <w:tcPr>
            <w:tcW w:w="1944" w:type="dxa"/>
            <w:shd w:val="clear" w:color="auto" w:fill="FFF2CC"/>
            <w:tcMar>
              <w:top w:w="100" w:type="dxa"/>
              <w:left w:w="110" w:type="dxa"/>
              <w:bottom w:w="100" w:type="dxa"/>
              <w:right w:w="110" w:type="dxa"/>
            </w:tcMar>
            <w:vAlign w:val="center"/>
          </w:tcPr>
          <w:p w14:paraId="05A83684" w14:textId="77777777" w:rsidR="0014233E" w:rsidRDefault="00000000">
            <w:pPr>
              <w:spacing w:after="0" w:line="240" w:lineRule="auto"/>
            </w:pPr>
            <w:r>
              <w:rPr>
                <w:b/>
                <w:color w:val="17365D"/>
                <w:sz w:val="14"/>
              </w:rPr>
              <w:t>Production PII/data protection</w:t>
            </w:r>
          </w:p>
        </w:tc>
        <w:tc>
          <w:tcPr>
            <w:tcW w:w="1944" w:type="dxa"/>
            <w:shd w:val="clear" w:color="auto" w:fill="FFF2CC"/>
            <w:tcMar>
              <w:top w:w="100" w:type="dxa"/>
              <w:left w:w="110" w:type="dxa"/>
              <w:bottom w:w="100" w:type="dxa"/>
              <w:right w:w="110" w:type="dxa"/>
            </w:tcMar>
            <w:vAlign w:val="center"/>
          </w:tcPr>
          <w:p w14:paraId="214029B1" w14:textId="77777777" w:rsidR="0014233E" w:rsidRDefault="00000000">
            <w:pPr>
              <w:spacing w:after="0" w:line="240" w:lineRule="auto"/>
            </w:pPr>
            <w:r>
              <w:rPr>
                <w:sz w:val="14"/>
              </w:rPr>
              <w:t>Roadmap</w:t>
            </w:r>
          </w:p>
        </w:tc>
        <w:tc>
          <w:tcPr>
            <w:tcW w:w="1728" w:type="dxa"/>
            <w:shd w:val="clear" w:color="auto" w:fill="FFF2CC"/>
            <w:tcMar>
              <w:top w:w="100" w:type="dxa"/>
              <w:left w:w="110" w:type="dxa"/>
              <w:bottom w:w="100" w:type="dxa"/>
              <w:right w:w="110" w:type="dxa"/>
            </w:tcMar>
            <w:vAlign w:val="center"/>
          </w:tcPr>
          <w:p w14:paraId="358C2692" w14:textId="77777777" w:rsidR="0014233E" w:rsidRDefault="00000000">
            <w:pPr>
              <w:spacing w:after="0" w:line="240" w:lineRule="auto"/>
            </w:pPr>
            <w:r>
              <w:rPr>
                <w:sz w:val="14"/>
              </w:rPr>
              <w:t>Yes</w:t>
            </w:r>
          </w:p>
        </w:tc>
        <w:tc>
          <w:tcPr>
            <w:tcW w:w="1800" w:type="dxa"/>
            <w:shd w:val="clear" w:color="auto" w:fill="FFF2CC"/>
            <w:tcMar>
              <w:top w:w="100" w:type="dxa"/>
              <w:left w:w="110" w:type="dxa"/>
              <w:bottom w:w="100" w:type="dxa"/>
              <w:right w:w="110" w:type="dxa"/>
            </w:tcMar>
            <w:vAlign w:val="center"/>
          </w:tcPr>
          <w:p w14:paraId="5CB07C83" w14:textId="77777777" w:rsidR="0014233E" w:rsidRDefault="00000000">
            <w:pPr>
              <w:spacing w:after="0" w:line="240" w:lineRule="auto"/>
            </w:pPr>
            <w:r>
              <w:rPr>
                <w:sz w:val="14"/>
              </w:rPr>
              <w:t>Yes</w:t>
            </w:r>
          </w:p>
        </w:tc>
        <w:tc>
          <w:tcPr>
            <w:tcW w:w="2880" w:type="dxa"/>
            <w:shd w:val="clear" w:color="auto" w:fill="FFF2CC"/>
            <w:tcMar>
              <w:top w:w="100" w:type="dxa"/>
              <w:left w:w="110" w:type="dxa"/>
              <w:bottom w:w="100" w:type="dxa"/>
              <w:right w:w="110" w:type="dxa"/>
            </w:tcMar>
            <w:vAlign w:val="center"/>
          </w:tcPr>
          <w:p w14:paraId="79A5A6BF" w14:textId="77777777" w:rsidR="0014233E" w:rsidRDefault="00000000">
            <w:pPr>
              <w:spacing w:after="0" w:line="240" w:lineRule="auto"/>
            </w:pPr>
            <w:r>
              <w:rPr>
                <w:sz w:val="14"/>
              </w:rPr>
              <w:t>Controller/processor terms, privacy notice, retention and breach process</w:t>
            </w:r>
          </w:p>
        </w:tc>
      </w:tr>
      <w:tr w:rsidR="0014233E" w14:paraId="4DE79549" w14:textId="77777777">
        <w:trPr>
          <w:cantSplit/>
          <w:jc w:val="center"/>
        </w:trPr>
        <w:tc>
          <w:tcPr>
            <w:tcW w:w="1944" w:type="dxa"/>
            <w:shd w:val="clear" w:color="auto" w:fill="FFF2CC"/>
            <w:tcMar>
              <w:top w:w="100" w:type="dxa"/>
              <w:left w:w="110" w:type="dxa"/>
              <w:bottom w:w="100" w:type="dxa"/>
              <w:right w:w="110" w:type="dxa"/>
            </w:tcMar>
            <w:vAlign w:val="center"/>
          </w:tcPr>
          <w:p w14:paraId="4DD2FE8A" w14:textId="77777777" w:rsidR="0014233E" w:rsidRDefault="00000000">
            <w:pPr>
              <w:spacing w:after="0" w:line="240" w:lineRule="auto"/>
            </w:pPr>
            <w:r>
              <w:rPr>
                <w:b/>
                <w:color w:val="17365D"/>
                <w:sz w:val="14"/>
              </w:rPr>
              <w:t>Partner API hardening</w:t>
            </w:r>
          </w:p>
        </w:tc>
        <w:tc>
          <w:tcPr>
            <w:tcW w:w="1944" w:type="dxa"/>
            <w:shd w:val="clear" w:color="auto" w:fill="FFF2CC"/>
            <w:tcMar>
              <w:top w:w="100" w:type="dxa"/>
              <w:left w:w="110" w:type="dxa"/>
              <w:bottom w:w="100" w:type="dxa"/>
              <w:right w:w="110" w:type="dxa"/>
            </w:tcMar>
            <w:vAlign w:val="center"/>
          </w:tcPr>
          <w:p w14:paraId="327BC582" w14:textId="77777777" w:rsidR="0014233E" w:rsidRDefault="00000000">
            <w:pPr>
              <w:spacing w:after="0" w:line="240" w:lineRule="auto"/>
            </w:pPr>
            <w:r>
              <w:rPr>
                <w:sz w:val="14"/>
              </w:rPr>
              <w:t>Roadmap</w:t>
            </w:r>
          </w:p>
        </w:tc>
        <w:tc>
          <w:tcPr>
            <w:tcW w:w="1728" w:type="dxa"/>
            <w:shd w:val="clear" w:color="auto" w:fill="FFF2CC"/>
            <w:tcMar>
              <w:top w:w="100" w:type="dxa"/>
              <w:left w:w="110" w:type="dxa"/>
              <w:bottom w:w="100" w:type="dxa"/>
              <w:right w:w="110" w:type="dxa"/>
            </w:tcMar>
            <w:vAlign w:val="center"/>
          </w:tcPr>
          <w:p w14:paraId="5154C9BE" w14:textId="77777777" w:rsidR="0014233E" w:rsidRDefault="00000000">
            <w:pPr>
              <w:spacing w:after="0" w:line="240" w:lineRule="auto"/>
            </w:pPr>
            <w:r>
              <w:rPr>
                <w:sz w:val="14"/>
              </w:rPr>
              <w:t>Yes</w:t>
            </w:r>
          </w:p>
        </w:tc>
        <w:tc>
          <w:tcPr>
            <w:tcW w:w="1800" w:type="dxa"/>
            <w:shd w:val="clear" w:color="auto" w:fill="FFF2CC"/>
            <w:tcMar>
              <w:top w:w="100" w:type="dxa"/>
              <w:left w:w="110" w:type="dxa"/>
              <w:bottom w:w="100" w:type="dxa"/>
              <w:right w:w="110" w:type="dxa"/>
            </w:tcMar>
            <w:vAlign w:val="center"/>
          </w:tcPr>
          <w:p w14:paraId="3CCC5CBC" w14:textId="77777777" w:rsidR="0014233E" w:rsidRDefault="00000000">
            <w:pPr>
              <w:spacing w:after="0" w:line="240" w:lineRule="auto"/>
            </w:pPr>
            <w:r>
              <w:rPr>
                <w:sz w:val="14"/>
              </w:rPr>
              <w:t>Yes</w:t>
            </w:r>
          </w:p>
        </w:tc>
        <w:tc>
          <w:tcPr>
            <w:tcW w:w="2880" w:type="dxa"/>
            <w:shd w:val="clear" w:color="auto" w:fill="FFF2CC"/>
            <w:tcMar>
              <w:top w:w="100" w:type="dxa"/>
              <w:left w:w="110" w:type="dxa"/>
              <w:bottom w:w="100" w:type="dxa"/>
              <w:right w:w="110" w:type="dxa"/>
            </w:tcMar>
            <w:vAlign w:val="center"/>
          </w:tcPr>
          <w:p w14:paraId="070E628E" w14:textId="77777777" w:rsidR="0014233E" w:rsidRDefault="00000000">
            <w:pPr>
              <w:spacing w:after="0" w:line="240" w:lineRule="auto"/>
            </w:pPr>
            <w:r>
              <w:rPr>
                <w:sz w:val="14"/>
              </w:rPr>
              <w:t>Authentication, authorisation, keys, rate limits, CORS, monitoring</w:t>
            </w:r>
          </w:p>
        </w:tc>
      </w:tr>
      <w:tr w:rsidR="0014233E" w14:paraId="13219704" w14:textId="77777777">
        <w:trPr>
          <w:cantSplit/>
          <w:jc w:val="center"/>
        </w:trPr>
        <w:tc>
          <w:tcPr>
            <w:tcW w:w="1944" w:type="dxa"/>
            <w:shd w:val="clear" w:color="auto" w:fill="FFF2CC"/>
            <w:tcMar>
              <w:top w:w="100" w:type="dxa"/>
              <w:left w:w="110" w:type="dxa"/>
              <w:bottom w:w="100" w:type="dxa"/>
              <w:right w:w="110" w:type="dxa"/>
            </w:tcMar>
            <w:vAlign w:val="center"/>
          </w:tcPr>
          <w:p w14:paraId="4856F819" w14:textId="77777777" w:rsidR="0014233E" w:rsidRDefault="00000000">
            <w:pPr>
              <w:spacing w:after="0" w:line="240" w:lineRule="auto"/>
            </w:pPr>
            <w:r>
              <w:rPr>
                <w:b/>
                <w:color w:val="17365D"/>
                <w:sz w:val="14"/>
              </w:rPr>
              <w:t>Disputes/amendments/waivers</w:t>
            </w:r>
          </w:p>
        </w:tc>
        <w:tc>
          <w:tcPr>
            <w:tcW w:w="1944" w:type="dxa"/>
            <w:shd w:val="clear" w:color="auto" w:fill="FFF2CC"/>
            <w:tcMar>
              <w:top w:w="100" w:type="dxa"/>
              <w:left w:w="110" w:type="dxa"/>
              <w:bottom w:w="100" w:type="dxa"/>
              <w:right w:w="110" w:type="dxa"/>
            </w:tcMar>
            <w:vAlign w:val="center"/>
          </w:tcPr>
          <w:p w14:paraId="4B78A41C" w14:textId="77777777" w:rsidR="0014233E" w:rsidRDefault="00000000">
            <w:pPr>
              <w:spacing w:after="0" w:line="240" w:lineRule="auto"/>
            </w:pPr>
            <w:r>
              <w:rPr>
                <w:sz w:val="14"/>
              </w:rPr>
              <w:t>Partly roadmap</w:t>
            </w:r>
          </w:p>
        </w:tc>
        <w:tc>
          <w:tcPr>
            <w:tcW w:w="1728" w:type="dxa"/>
            <w:shd w:val="clear" w:color="auto" w:fill="FFF2CC"/>
            <w:tcMar>
              <w:top w:w="100" w:type="dxa"/>
              <w:left w:w="110" w:type="dxa"/>
              <w:bottom w:w="100" w:type="dxa"/>
              <w:right w:w="110" w:type="dxa"/>
            </w:tcMar>
            <w:vAlign w:val="center"/>
          </w:tcPr>
          <w:p w14:paraId="6E3C9585" w14:textId="77777777" w:rsidR="0014233E" w:rsidRDefault="00000000">
            <w:pPr>
              <w:spacing w:after="0" w:line="240" w:lineRule="auto"/>
            </w:pPr>
            <w:r>
              <w:rPr>
                <w:sz w:val="14"/>
              </w:rPr>
              <w:t>Yes</w:t>
            </w:r>
          </w:p>
        </w:tc>
        <w:tc>
          <w:tcPr>
            <w:tcW w:w="1800" w:type="dxa"/>
            <w:shd w:val="clear" w:color="auto" w:fill="FFF2CC"/>
            <w:tcMar>
              <w:top w:w="100" w:type="dxa"/>
              <w:left w:w="110" w:type="dxa"/>
              <w:bottom w:w="100" w:type="dxa"/>
              <w:right w:w="110" w:type="dxa"/>
            </w:tcMar>
            <w:vAlign w:val="center"/>
          </w:tcPr>
          <w:p w14:paraId="2540F6DF" w14:textId="77777777" w:rsidR="0014233E" w:rsidRDefault="00000000">
            <w:pPr>
              <w:spacing w:after="0" w:line="240" w:lineRule="auto"/>
            </w:pPr>
            <w:r>
              <w:rPr>
                <w:sz w:val="14"/>
              </w:rPr>
              <w:t>Yes</w:t>
            </w:r>
          </w:p>
        </w:tc>
        <w:tc>
          <w:tcPr>
            <w:tcW w:w="2880" w:type="dxa"/>
            <w:shd w:val="clear" w:color="auto" w:fill="FFF2CC"/>
            <w:tcMar>
              <w:top w:w="100" w:type="dxa"/>
              <w:left w:w="110" w:type="dxa"/>
              <w:bottom w:w="100" w:type="dxa"/>
              <w:right w:w="110" w:type="dxa"/>
            </w:tcMar>
            <w:vAlign w:val="center"/>
          </w:tcPr>
          <w:p w14:paraId="484B7DB0" w14:textId="77777777" w:rsidR="0014233E" w:rsidRDefault="00000000">
            <w:pPr>
              <w:spacing w:after="0" w:line="240" w:lineRule="auto"/>
            </w:pPr>
            <w:r>
              <w:rPr>
                <w:sz w:val="14"/>
              </w:rPr>
              <w:t>Named authority, service levels, evidence and external forum</w:t>
            </w:r>
          </w:p>
        </w:tc>
      </w:tr>
      <w:tr w:rsidR="0014233E" w14:paraId="080C852D" w14:textId="77777777">
        <w:trPr>
          <w:cantSplit/>
          <w:jc w:val="center"/>
        </w:trPr>
        <w:tc>
          <w:tcPr>
            <w:tcW w:w="1944" w:type="dxa"/>
            <w:shd w:val="clear" w:color="auto" w:fill="FFF2CC"/>
            <w:tcMar>
              <w:top w:w="100" w:type="dxa"/>
              <w:left w:w="110" w:type="dxa"/>
              <w:bottom w:w="100" w:type="dxa"/>
              <w:right w:w="110" w:type="dxa"/>
            </w:tcMar>
            <w:vAlign w:val="center"/>
          </w:tcPr>
          <w:p w14:paraId="0AAB3246" w14:textId="77777777" w:rsidR="0014233E" w:rsidRDefault="00000000">
            <w:pPr>
              <w:spacing w:after="0" w:line="240" w:lineRule="auto"/>
            </w:pPr>
            <w:r>
              <w:rPr>
                <w:b/>
                <w:color w:val="17365D"/>
                <w:sz w:val="14"/>
              </w:rPr>
              <w:t>Travel Rule/unhosted wallets</w:t>
            </w:r>
          </w:p>
        </w:tc>
        <w:tc>
          <w:tcPr>
            <w:tcW w:w="1944" w:type="dxa"/>
            <w:shd w:val="clear" w:color="auto" w:fill="FFF2CC"/>
            <w:tcMar>
              <w:top w:w="100" w:type="dxa"/>
              <w:left w:w="110" w:type="dxa"/>
              <w:bottom w:w="100" w:type="dxa"/>
              <w:right w:w="110" w:type="dxa"/>
            </w:tcMar>
            <w:vAlign w:val="center"/>
          </w:tcPr>
          <w:p w14:paraId="64B45549" w14:textId="77777777" w:rsidR="0014233E" w:rsidRDefault="00000000">
            <w:pPr>
              <w:spacing w:after="0" w:line="240" w:lineRule="auto"/>
            </w:pPr>
            <w:r>
              <w:rPr>
                <w:sz w:val="14"/>
              </w:rPr>
              <w:t>Not specified in BRD</w:t>
            </w:r>
          </w:p>
        </w:tc>
        <w:tc>
          <w:tcPr>
            <w:tcW w:w="1728" w:type="dxa"/>
            <w:shd w:val="clear" w:color="auto" w:fill="FFF2CC"/>
            <w:tcMar>
              <w:top w:w="100" w:type="dxa"/>
              <w:left w:w="110" w:type="dxa"/>
              <w:bottom w:w="100" w:type="dxa"/>
              <w:right w:w="110" w:type="dxa"/>
            </w:tcMar>
            <w:vAlign w:val="center"/>
          </w:tcPr>
          <w:p w14:paraId="7538B1A6" w14:textId="77777777" w:rsidR="0014233E" w:rsidRDefault="00000000">
            <w:pPr>
              <w:spacing w:after="0" w:line="240" w:lineRule="auto"/>
            </w:pPr>
            <w:r>
              <w:rPr>
                <w:sz w:val="14"/>
              </w:rPr>
              <w:t>Partner-dependent</w:t>
            </w:r>
          </w:p>
        </w:tc>
        <w:tc>
          <w:tcPr>
            <w:tcW w:w="1800" w:type="dxa"/>
            <w:shd w:val="clear" w:color="auto" w:fill="FFF2CC"/>
            <w:tcMar>
              <w:top w:w="100" w:type="dxa"/>
              <w:left w:w="110" w:type="dxa"/>
              <w:bottom w:w="100" w:type="dxa"/>
              <w:right w:w="110" w:type="dxa"/>
            </w:tcMar>
            <w:vAlign w:val="center"/>
          </w:tcPr>
          <w:p w14:paraId="1B042F3C" w14:textId="77777777" w:rsidR="0014233E" w:rsidRDefault="00000000">
            <w:pPr>
              <w:spacing w:after="0" w:line="240" w:lineRule="auto"/>
            </w:pPr>
            <w:r>
              <w:rPr>
                <w:sz w:val="14"/>
              </w:rPr>
              <w:t>Yes for relevant VARA transfers</w:t>
            </w:r>
          </w:p>
        </w:tc>
        <w:tc>
          <w:tcPr>
            <w:tcW w:w="2880" w:type="dxa"/>
            <w:shd w:val="clear" w:color="auto" w:fill="FFF2CC"/>
            <w:tcMar>
              <w:top w:w="100" w:type="dxa"/>
              <w:left w:w="110" w:type="dxa"/>
              <w:bottom w:w="100" w:type="dxa"/>
              <w:right w:w="110" w:type="dxa"/>
            </w:tcMar>
            <w:vAlign w:val="center"/>
          </w:tcPr>
          <w:p w14:paraId="0A94C314" w14:textId="77777777" w:rsidR="0014233E" w:rsidRDefault="00000000">
            <w:pPr>
              <w:spacing w:after="0" w:line="240" w:lineRule="auto"/>
            </w:pPr>
            <w:r>
              <w:rPr>
                <w:sz w:val="14"/>
              </w:rPr>
              <w:t>Originator/beneficiary data and counterparty-VASP controls</w:t>
            </w:r>
          </w:p>
        </w:tc>
      </w:tr>
      <w:tr w:rsidR="0014233E" w14:paraId="48C0D21F" w14:textId="77777777">
        <w:trPr>
          <w:cantSplit/>
          <w:jc w:val="center"/>
        </w:trPr>
        <w:tc>
          <w:tcPr>
            <w:tcW w:w="1944" w:type="dxa"/>
            <w:shd w:val="clear" w:color="auto" w:fill="FFF2CC"/>
            <w:tcMar>
              <w:top w:w="100" w:type="dxa"/>
              <w:left w:w="110" w:type="dxa"/>
              <w:bottom w:w="100" w:type="dxa"/>
              <w:right w:w="110" w:type="dxa"/>
            </w:tcMar>
            <w:vAlign w:val="center"/>
          </w:tcPr>
          <w:p w14:paraId="635DB795" w14:textId="77777777" w:rsidR="0014233E" w:rsidRDefault="00000000">
            <w:pPr>
              <w:spacing w:after="0" w:line="240" w:lineRule="auto"/>
            </w:pPr>
            <w:r>
              <w:rPr>
                <w:b/>
                <w:color w:val="17365D"/>
                <w:sz w:val="14"/>
              </w:rPr>
              <w:t>Safeguarding/reconciliation</w:t>
            </w:r>
          </w:p>
        </w:tc>
        <w:tc>
          <w:tcPr>
            <w:tcW w:w="1944" w:type="dxa"/>
            <w:shd w:val="clear" w:color="auto" w:fill="FFF2CC"/>
            <w:tcMar>
              <w:top w:w="100" w:type="dxa"/>
              <w:left w:w="110" w:type="dxa"/>
              <w:bottom w:w="100" w:type="dxa"/>
              <w:right w:w="110" w:type="dxa"/>
            </w:tcMar>
            <w:vAlign w:val="center"/>
          </w:tcPr>
          <w:p w14:paraId="1D58BDBA" w14:textId="77777777" w:rsidR="0014233E" w:rsidRDefault="00000000">
            <w:pPr>
              <w:spacing w:after="0" w:line="240" w:lineRule="auto"/>
            </w:pPr>
            <w:r>
              <w:rPr>
                <w:sz w:val="14"/>
              </w:rPr>
              <w:t>Direct smart contract described</w:t>
            </w:r>
          </w:p>
        </w:tc>
        <w:tc>
          <w:tcPr>
            <w:tcW w:w="1728" w:type="dxa"/>
            <w:shd w:val="clear" w:color="auto" w:fill="FFF2CC"/>
            <w:tcMar>
              <w:top w:w="100" w:type="dxa"/>
              <w:left w:w="110" w:type="dxa"/>
              <w:bottom w:w="100" w:type="dxa"/>
              <w:right w:w="110" w:type="dxa"/>
            </w:tcMar>
            <w:vAlign w:val="center"/>
          </w:tcPr>
          <w:p w14:paraId="70733FF1" w14:textId="77777777" w:rsidR="0014233E" w:rsidRDefault="00000000">
            <w:pPr>
              <w:spacing w:after="0" w:line="240" w:lineRule="auto"/>
            </w:pPr>
            <w:r>
              <w:rPr>
                <w:sz w:val="14"/>
              </w:rPr>
              <w:t>Yes, responsibility assigned</w:t>
            </w:r>
          </w:p>
        </w:tc>
        <w:tc>
          <w:tcPr>
            <w:tcW w:w="1800" w:type="dxa"/>
            <w:shd w:val="clear" w:color="auto" w:fill="FFF2CC"/>
            <w:tcMar>
              <w:top w:w="100" w:type="dxa"/>
              <w:left w:w="110" w:type="dxa"/>
              <w:bottom w:w="100" w:type="dxa"/>
              <w:right w:w="110" w:type="dxa"/>
            </w:tcMar>
            <w:vAlign w:val="center"/>
          </w:tcPr>
          <w:p w14:paraId="1068E34F" w14:textId="77777777" w:rsidR="0014233E" w:rsidRDefault="00000000">
            <w:pPr>
              <w:spacing w:after="0" w:line="240" w:lineRule="auto"/>
            </w:pPr>
            <w:r>
              <w:rPr>
                <w:sz w:val="14"/>
              </w:rPr>
              <w:t>Yes, activity-dependent</w:t>
            </w:r>
          </w:p>
        </w:tc>
        <w:tc>
          <w:tcPr>
            <w:tcW w:w="2880" w:type="dxa"/>
            <w:shd w:val="clear" w:color="auto" w:fill="FFF2CC"/>
            <w:tcMar>
              <w:top w:w="100" w:type="dxa"/>
              <w:left w:w="110" w:type="dxa"/>
              <w:bottom w:w="100" w:type="dxa"/>
              <w:right w:w="110" w:type="dxa"/>
            </w:tcMar>
            <w:vAlign w:val="center"/>
          </w:tcPr>
          <w:p w14:paraId="22E510C3" w14:textId="77777777" w:rsidR="0014233E" w:rsidRDefault="00000000">
            <w:pPr>
              <w:spacing w:after="0" w:line="240" w:lineRule="auto"/>
            </w:pPr>
            <w:r>
              <w:rPr>
                <w:sz w:val="14"/>
              </w:rPr>
              <w:t>Daily/transaction reconciliation and client-asset recovery plan</w:t>
            </w:r>
          </w:p>
        </w:tc>
      </w:tr>
    </w:tbl>
    <w:p w14:paraId="2849BB77" w14:textId="77777777" w:rsidR="0014233E" w:rsidRDefault="0014233E">
      <w:pPr>
        <w:spacing w:after="20"/>
      </w:pPr>
    </w:p>
    <w:p w14:paraId="2FA993A8" w14:textId="77777777" w:rsidR="0014233E" w:rsidRDefault="00000000">
      <w:pPr>
        <w:pStyle w:val="Heading1"/>
      </w:pPr>
      <w:r>
        <w:lastRenderedPageBreak/>
        <w:t>7. Financial-model implications</w:t>
      </w:r>
    </w:p>
    <w:p w14:paraId="17925C31" w14:textId="7F777B8E" w:rsidR="0014233E" w:rsidRDefault="00000000">
      <w:pPr>
        <w:keepLines/>
      </w:pPr>
      <w:r>
        <w:t xml:space="preserve">The accompanying </w:t>
      </w:r>
      <w:r w:rsidR="005506EA">
        <w:t xml:space="preserve">Financial Model </w:t>
      </w:r>
      <w:r>
        <w:t>workbook is framed as an indicative planning model rather than a regulatory filing. Its launch tab presents the parallel strategy through a concise set of timing, fee and capital assumptions. [2]</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376"/>
        <w:gridCol w:w="4320"/>
        <w:gridCol w:w="3024"/>
      </w:tblGrid>
      <w:tr w:rsidR="0014233E" w14:paraId="402E2FAC" w14:textId="77777777">
        <w:trPr>
          <w:cantSplit/>
          <w:tblHeader/>
          <w:jc w:val="center"/>
        </w:trPr>
        <w:tc>
          <w:tcPr>
            <w:tcW w:w="2376" w:type="dxa"/>
            <w:shd w:val="clear" w:color="auto" w:fill="17365D"/>
            <w:tcMar>
              <w:top w:w="100" w:type="dxa"/>
              <w:left w:w="110" w:type="dxa"/>
              <w:bottom w:w="100" w:type="dxa"/>
              <w:right w:w="110" w:type="dxa"/>
            </w:tcMar>
            <w:vAlign w:val="center"/>
          </w:tcPr>
          <w:p w14:paraId="64E77434" w14:textId="77777777" w:rsidR="0014233E" w:rsidRDefault="00000000">
            <w:pPr>
              <w:spacing w:after="0" w:line="240" w:lineRule="auto"/>
              <w:jc w:val="center"/>
            </w:pPr>
            <w:r>
              <w:rPr>
                <w:b/>
                <w:color w:val="FFFFFF"/>
                <w:sz w:val="15"/>
              </w:rPr>
              <w:t>Current model item</w:t>
            </w:r>
          </w:p>
        </w:tc>
        <w:tc>
          <w:tcPr>
            <w:tcW w:w="4320" w:type="dxa"/>
            <w:shd w:val="clear" w:color="auto" w:fill="17365D"/>
            <w:tcMar>
              <w:top w:w="100" w:type="dxa"/>
              <w:left w:w="110" w:type="dxa"/>
              <w:bottom w:w="100" w:type="dxa"/>
              <w:right w:w="110" w:type="dxa"/>
            </w:tcMar>
            <w:vAlign w:val="center"/>
          </w:tcPr>
          <w:p w14:paraId="1E61D5C5" w14:textId="77777777" w:rsidR="0014233E" w:rsidRDefault="00000000">
            <w:pPr>
              <w:spacing w:after="0" w:line="240" w:lineRule="auto"/>
              <w:jc w:val="center"/>
            </w:pPr>
            <w:r>
              <w:rPr>
                <w:b/>
                <w:color w:val="FFFFFF"/>
                <w:sz w:val="15"/>
              </w:rPr>
              <w:t>Recommended treatment</w:t>
            </w:r>
          </w:p>
        </w:tc>
        <w:tc>
          <w:tcPr>
            <w:tcW w:w="3024" w:type="dxa"/>
            <w:shd w:val="clear" w:color="auto" w:fill="17365D"/>
            <w:tcMar>
              <w:top w:w="100" w:type="dxa"/>
              <w:left w:w="110" w:type="dxa"/>
              <w:bottom w:w="100" w:type="dxa"/>
              <w:right w:w="110" w:type="dxa"/>
            </w:tcMar>
            <w:vAlign w:val="center"/>
          </w:tcPr>
          <w:p w14:paraId="2A52A91B" w14:textId="77777777" w:rsidR="0014233E" w:rsidRDefault="00000000">
            <w:pPr>
              <w:spacing w:after="0" w:line="240" w:lineRule="auto"/>
              <w:jc w:val="center"/>
            </w:pPr>
            <w:r>
              <w:rPr>
                <w:b/>
                <w:color w:val="FFFFFF"/>
                <w:sz w:val="15"/>
              </w:rPr>
              <w:t>Reason</w:t>
            </w:r>
          </w:p>
        </w:tc>
      </w:tr>
      <w:tr w:rsidR="0014233E" w14:paraId="0BB92D63" w14:textId="77777777">
        <w:trPr>
          <w:cantSplit/>
          <w:jc w:val="center"/>
        </w:trPr>
        <w:tc>
          <w:tcPr>
            <w:tcW w:w="2376" w:type="dxa"/>
            <w:tcMar>
              <w:top w:w="100" w:type="dxa"/>
              <w:left w:w="110" w:type="dxa"/>
              <w:bottom w:w="100" w:type="dxa"/>
              <w:right w:w="110" w:type="dxa"/>
            </w:tcMar>
            <w:vAlign w:val="center"/>
          </w:tcPr>
          <w:p w14:paraId="46E7C289" w14:textId="77777777" w:rsidR="0014233E" w:rsidRDefault="00000000">
            <w:pPr>
              <w:spacing w:after="0" w:line="240" w:lineRule="auto"/>
            </w:pPr>
            <w:r>
              <w:rPr>
                <w:b/>
                <w:color w:val="17365D"/>
                <w:sz w:val="15"/>
              </w:rPr>
              <w:t>Heading: “one sequential UAE route”</w:t>
            </w:r>
          </w:p>
        </w:tc>
        <w:tc>
          <w:tcPr>
            <w:tcW w:w="4320" w:type="dxa"/>
            <w:tcMar>
              <w:top w:w="100" w:type="dxa"/>
              <w:left w:w="110" w:type="dxa"/>
              <w:bottom w:w="100" w:type="dxa"/>
              <w:right w:w="110" w:type="dxa"/>
            </w:tcMar>
            <w:vAlign w:val="center"/>
          </w:tcPr>
          <w:p w14:paraId="441ECE92" w14:textId="77777777" w:rsidR="0014233E" w:rsidRDefault="00000000">
            <w:pPr>
              <w:spacing w:after="0" w:line="240" w:lineRule="auto"/>
            </w:pPr>
            <w:r>
              <w:rPr>
                <w:sz w:val="15"/>
              </w:rPr>
              <w:t>Replace with “parallel DIFC partner pilot and VARA licensing.”</w:t>
            </w:r>
          </w:p>
        </w:tc>
        <w:tc>
          <w:tcPr>
            <w:tcW w:w="3024" w:type="dxa"/>
            <w:tcMar>
              <w:top w:w="100" w:type="dxa"/>
              <w:left w:w="110" w:type="dxa"/>
              <w:bottom w:w="100" w:type="dxa"/>
              <w:right w:w="110" w:type="dxa"/>
            </w:tcMar>
            <w:vAlign w:val="center"/>
          </w:tcPr>
          <w:p w14:paraId="6CE797D8" w14:textId="77777777" w:rsidR="0014233E" w:rsidRDefault="00000000">
            <w:pPr>
              <w:spacing w:after="0" w:line="240" w:lineRule="auto"/>
            </w:pPr>
            <w:r>
              <w:rPr>
                <w:sz w:val="15"/>
              </w:rPr>
              <w:t>The workstreams start together and have separate operating gates.</w:t>
            </w:r>
          </w:p>
        </w:tc>
      </w:tr>
      <w:tr w:rsidR="0014233E" w14:paraId="2882EFCF" w14:textId="77777777">
        <w:trPr>
          <w:cantSplit/>
          <w:jc w:val="center"/>
        </w:trPr>
        <w:tc>
          <w:tcPr>
            <w:tcW w:w="2376" w:type="dxa"/>
            <w:tcMar>
              <w:top w:w="100" w:type="dxa"/>
              <w:left w:w="110" w:type="dxa"/>
              <w:bottom w:w="100" w:type="dxa"/>
              <w:right w:w="110" w:type="dxa"/>
            </w:tcMar>
            <w:vAlign w:val="center"/>
          </w:tcPr>
          <w:p w14:paraId="5A0EE270" w14:textId="77777777" w:rsidR="0014233E" w:rsidRDefault="00000000">
            <w:pPr>
              <w:spacing w:after="0" w:line="240" w:lineRule="auto"/>
            </w:pPr>
            <w:r>
              <w:rPr>
                <w:b/>
                <w:color w:val="17365D"/>
                <w:sz w:val="15"/>
              </w:rPr>
              <w:t>VARA application start M12/M18/M24</w:t>
            </w:r>
          </w:p>
        </w:tc>
        <w:tc>
          <w:tcPr>
            <w:tcW w:w="4320" w:type="dxa"/>
            <w:tcMar>
              <w:top w:w="100" w:type="dxa"/>
              <w:left w:w="110" w:type="dxa"/>
              <w:bottom w:w="100" w:type="dxa"/>
              <w:right w:w="110" w:type="dxa"/>
            </w:tcMar>
            <w:vAlign w:val="center"/>
          </w:tcPr>
          <w:p w14:paraId="0811DABA" w14:textId="77777777" w:rsidR="0014233E" w:rsidRDefault="00000000">
            <w:pPr>
              <w:spacing w:after="0" w:line="240" w:lineRule="auto"/>
            </w:pPr>
            <w:r>
              <w:rPr>
                <w:sz w:val="15"/>
              </w:rPr>
              <w:t>Set M1 in all three cases.</w:t>
            </w:r>
          </w:p>
        </w:tc>
        <w:tc>
          <w:tcPr>
            <w:tcW w:w="3024" w:type="dxa"/>
            <w:tcMar>
              <w:top w:w="100" w:type="dxa"/>
              <w:left w:w="110" w:type="dxa"/>
              <w:bottom w:w="100" w:type="dxa"/>
              <w:right w:w="110" w:type="dxa"/>
            </w:tcMar>
            <w:vAlign w:val="center"/>
          </w:tcPr>
          <w:p w14:paraId="3000C499" w14:textId="77777777" w:rsidR="0014233E" w:rsidRDefault="00000000">
            <w:pPr>
              <w:spacing w:after="0" w:line="240" w:lineRule="auto"/>
            </w:pPr>
            <w:r>
              <w:rPr>
                <w:sz w:val="15"/>
              </w:rPr>
              <w:t>Start pre-application, entity and perimeter work immediately.</w:t>
            </w:r>
          </w:p>
        </w:tc>
      </w:tr>
      <w:tr w:rsidR="0014233E" w14:paraId="26899FAD" w14:textId="77777777">
        <w:trPr>
          <w:cantSplit/>
          <w:jc w:val="center"/>
        </w:trPr>
        <w:tc>
          <w:tcPr>
            <w:tcW w:w="2376" w:type="dxa"/>
            <w:tcMar>
              <w:top w:w="100" w:type="dxa"/>
              <w:left w:w="110" w:type="dxa"/>
              <w:bottom w:w="100" w:type="dxa"/>
              <w:right w:w="110" w:type="dxa"/>
            </w:tcMar>
            <w:vAlign w:val="center"/>
          </w:tcPr>
          <w:p w14:paraId="4236A3F4" w14:textId="77777777" w:rsidR="0014233E" w:rsidRDefault="00000000">
            <w:pPr>
              <w:spacing w:after="0" w:line="240" w:lineRule="auto"/>
            </w:pPr>
            <w:r>
              <w:rPr>
                <w:b/>
                <w:color w:val="17365D"/>
                <w:sz w:val="15"/>
              </w:rPr>
              <w:t>VARA target M24/M30/M36</w:t>
            </w:r>
          </w:p>
        </w:tc>
        <w:tc>
          <w:tcPr>
            <w:tcW w:w="4320" w:type="dxa"/>
            <w:tcMar>
              <w:top w:w="100" w:type="dxa"/>
              <w:left w:w="110" w:type="dxa"/>
              <w:bottom w:w="100" w:type="dxa"/>
              <w:right w:w="110" w:type="dxa"/>
            </w:tcMar>
            <w:vAlign w:val="center"/>
          </w:tcPr>
          <w:p w14:paraId="453C939E" w14:textId="77777777" w:rsidR="0014233E" w:rsidRDefault="00000000">
            <w:pPr>
              <w:spacing w:after="0" w:line="240" w:lineRule="auto"/>
            </w:pPr>
            <w:r>
              <w:rPr>
                <w:sz w:val="15"/>
              </w:rPr>
              <w:t>Use M12/M18/M24.</w:t>
            </w:r>
          </w:p>
        </w:tc>
        <w:tc>
          <w:tcPr>
            <w:tcW w:w="3024" w:type="dxa"/>
            <w:tcMar>
              <w:top w:w="100" w:type="dxa"/>
              <w:left w:w="110" w:type="dxa"/>
              <w:bottom w:w="100" w:type="dxa"/>
              <w:right w:w="110" w:type="dxa"/>
            </w:tcMar>
            <w:vAlign w:val="center"/>
          </w:tcPr>
          <w:p w14:paraId="3FF7F548" w14:textId="77777777" w:rsidR="0014233E" w:rsidRDefault="00000000">
            <w:pPr>
              <w:spacing w:after="0" w:line="240" w:lineRule="auto"/>
            </w:pPr>
            <w:r>
              <w:rPr>
                <w:sz w:val="15"/>
              </w:rPr>
              <w:t>Reflect early/base/delayed full-licence outcomes from a Month-1 start.</w:t>
            </w:r>
          </w:p>
        </w:tc>
      </w:tr>
      <w:tr w:rsidR="0014233E" w14:paraId="28DAE0AF" w14:textId="77777777">
        <w:trPr>
          <w:cantSplit/>
          <w:jc w:val="center"/>
        </w:trPr>
        <w:tc>
          <w:tcPr>
            <w:tcW w:w="2376" w:type="dxa"/>
            <w:tcMar>
              <w:top w:w="100" w:type="dxa"/>
              <w:left w:w="110" w:type="dxa"/>
              <w:bottom w:w="100" w:type="dxa"/>
              <w:right w:w="110" w:type="dxa"/>
            </w:tcMar>
            <w:vAlign w:val="center"/>
          </w:tcPr>
          <w:p w14:paraId="08BF857F" w14:textId="77777777" w:rsidR="0014233E" w:rsidRDefault="00000000">
            <w:pPr>
              <w:spacing w:after="0" w:line="240" w:lineRule="auto"/>
            </w:pPr>
            <w:r>
              <w:rPr>
                <w:b/>
                <w:color w:val="17365D"/>
                <w:sz w:val="15"/>
              </w:rPr>
              <w:t>First paid pilot M9/M12/M18</w:t>
            </w:r>
          </w:p>
        </w:tc>
        <w:tc>
          <w:tcPr>
            <w:tcW w:w="4320" w:type="dxa"/>
            <w:tcMar>
              <w:top w:w="100" w:type="dxa"/>
              <w:left w:w="110" w:type="dxa"/>
              <w:bottom w:w="100" w:type="dxa"/>
              <w:right w:w="110" w:type="dxa"/>
            </w:tcMar>
            <w:vAlign w:val="center"/>
          </w:tcPr>
          <w:p w14:paraId="3670FDDA" w14:textId="77777777" w:rsidR="0014233E" w:rsidRDefault="00000000">
            <w:pPr>
              <w:spacing w:after="0" w:line="240" w:lineRule="auto"/>
            </w:pPr>
            <w:r>
              <w:rPr>
                <w:sz w:val="15"/>
              </w:rPr>
              <w:t>Retain these sensitivities.</w:t>
            </w:r>
          </w:p>
        </w:tc>
        <w:tc>
          <w:tcPr>
            <w:tcW w:w="3024" w:type="dxa"/>
            <w:tcMar>
              <w:top w:w="100" w:type="dxa"/>
              <w:left w:w="110" w:type="dxa"/>
              <w:bottom w:w="100" w:type="dxa"/>
              <w:right w:w="110" w:type="dxa"/>
            </w:tcMar>
            <w:vAlign w:val="center"/>
          </w:tcPr>
          <w:p w14:paraId="27C76E30" w14:textId="77777777" w:rsidR="0014233E" w:rsidRDefault="00000000">
            <w:pPr>
              <w:spacing w:after="0" w:line="240" w:lineRule="auto"/>
            </w:pPr>
            <w:r>
              <w:rPr>
                <w:sz w:val="15"/>
              </w:rPr>
              <w:t>Pilot timing remains driven by partner and production readiness, not VARA approval.</w:t>
            </w:r>
          </w:p>
        </w:tc>
      </w:tr>
      <w:tr w:rsidR="0014233E" w14:paraId="49BBB4E4" w14:textId="77777777">
        <w:trPr>
          <w:cantSplit/>
          <w:jc w:val="center"/>
        </w:trPr>
        <w:tc>
          <w:tcPr>
            <w:tcW w:w="2376" w:type="dxa"/>
            <w:tcMar>
              <w:top w:w="100" w:type="dxa"/>
              <w:left w:w="110" w:type="dxa"/>
              <w:bottom w:w="100" w:type="dxa"/>
              <w:right w:w="110" w:type="dxa"/>
            </w:tcMar>
            <w:vAlign w:val="center"/>
          </w:tcPr>
          <w:p w14:paraId="6FEA6AB8" w14:textId="77777777" w:rsidR="0014233E" w:rsidRDefault="00000000">
            <w:pPr>
              <w:spacing w:after="0" w:line="240" w:lineRule="auto"/>
            </w:pPr>
            <w:r>
              <w:rPr>
                <w:b/>
                <w:color w:val="17365D"/>
                <w:sz w:val="15"/>
              </w:rPr>
              <w:t>AED 200k application fee</w:t>
            </w:r>
          </w:p>
        </w:tc>
        <w:tc>
          <w:tcPr>
            <w:tcW w:w="4320" w:type="dxa"/>
            <w:tcMar>
              <w:top w:w="100" w:type="dxa"/>
              <w:left w:w="110" w:type="dxa"/>
              <w:bottom w:w="100" w:type="dxa"/>
              <w:right w:w="110" w:type="dxa"/>
            </w:tcMar>
            <w:vAlign w:val="center"/>
          </w:tcPr>
          <w:p w14:paraId="0F0D0A2F" w14:textId="77777777" w:rsidR="0014233E" w:rsidRDefault="00000000">
            <w:pPr>
              <w:spacing w:after="0" w:line="240" w:lineRule="auto"/>
            </w:pPr>
            <w:r>
              <w:rPr>
                <w:sz w:val="15"/>
              </w:rPr>
              <w:t>Keep as a rounded conservative placeholder; label “scope-dependent.”</w:t>
            </w:r>
          </w:p>
        </w:tc>
        <w:tc>
          <w:tcPr>
            <w:tcW w:w="3024" w:type="dxa"/>
            <w:tcMar>
              <w:top w:w="100" w:type="dxa"/>
              <w:left w:w="110" w:type="dxa"/>
              <w:bottom w:w="100" w:type="dxa"/>
              <w:right w:w="110" w:type="dxa"/>
            </w:tcMar>
            <w:vAlign w:val="center"/>
          </w:tcPr>
          <w:p w14:paraId="024C71F0" w14:textId="77777777" w:rsidR="0014233E" w:rsidRDefault="00000000">
            <w:pPr>
              <w:spacing w:after="0" w:line="240" w:lineRule="auto"/>
            </w:pPr>
            <w:r>
              <w:rPr>
                <w:sz w:val="15"/>
              </w:rPr>
              <w:t>Official illustrative fees range materially by activity; broad three-activity fees are approximately AED 170k before risk add-ons.</w:t>
            </w:r>
          </w:p>
        </w:tc>
      </w:tr>
      <w:tr w:rsidR="0014233E" w14:paraId="5CEC8244" w14:textId="77777777">
        <w:trPr>
          <w:cantSplit/>
          <w:jc w:val="center"/>
        </w:trPr>
        <w:tc>
          <w:tcPr>
            <w:tcW w:w="2376" w:type="dxa"/>
            <w:tcMar>
              <w:top w:w="100" w:type="dxa"/>
              <w:left w:w="110" w:type="dxa"/>
              <w:bottom w:w="100" w:type="dxa"/>
              <w:right w:w="110" w:type="dxa"/>
            </w:tcMar>
            <w:vAlign w:val="center"/>
          </w:tcPr>
          <w:p w14:paraId="41176B38" w14:textId="77777777" w:rsidR="0014233E" w:rsidRDefault="00000000">
            <w:pPr>
              <w:spacing w:after="0" w:line="240" w:lineRule="auto"/>
            </w:pPr>
            <w:r>
              <w:rPr>
                <w:b/>
                <w:color w:val="17365D"/>
                <w:sz w:val="15"/>
              </w:rPr>
              <w:t>AED 480k annual supervision</w:t>
            </w:r>
          </w:p>
        </w:tc>
        <w:tc>
          <w:tcPr>
            <w:tcW w:w="4320" w:type="dxa"/>
            <w:tcMar>
              <w:top w:w="100" w:type="dxa"/>
              <w:left w:w="110" w:type="dxa"/>
              <w:bottom w:w="100" w:type="dxa"/>
              <w:right w:w="110" w:type="dxa"/>
            </w:tcMar>
            <w:vAlign w:val="center"/>
          </w:tcPr>
          <w:p w14:paraId="3A790C66" w14:textId="77777777" w:rsidR="0014233E" w:rsidRDefault="00000000">
            <w:pPr>
              <w:spacing w:after="0" w:line="240" w:lineRule="auto"/>
            </w:pPr>
            <w:r>
              <w:rPr>
                <w:sz w:val="15"/>
              </w:rPr>
              <w:t>Apply only in the three-activity case.</w:t>
            </w:r>
          </w:p>
        </w:tc>
        <w:tc>
          <w:tcPr>
            <w:tcW w:w="3024" w:type="dxa"/>
            <w:tcMar>
              <w:top w:w="100" w:type="dxa"/>
              <w:left w:w="110" w:type="dxa"/>
              <w:bottom w:w="100" w:type="dxa"/>
              <w:right w:w="110" w:type="dxa"/>
            </w:tcMar>
            <w:vAlign w:val="center"/>
          </w:tcPr>
          <w:p w14:paraId="50DD82B7" w14:textId="77777777" w:rsidR="0014233E" w:rsidRDefault="00000000">
            <w:pPr>
              <w:spacing w:after="0" w:line="240" w:lineRule="auto"/>
            </w:pPr>
            <w:r>
              <w:rPr>
                <w:sz w:val="15"/>
              </w:rPr>
              <w:t>T&amp;S only is AED 80k; Custody + T&amp;S is AED 280k.</w:t>
            </w:r>
          </w:p>
        </w:tc>
      </w:tr>
      <w:tr w:rsidR="0014233E" w14:paraId="34A2CF2F" w14:textId="77777777">
        <w:trPr>
          <w:cantSplit/>
          <w:jc w:val="center"/>
        </w:trPr>
        <w:tc>
          <w:tcPr>
            <w:tcW w:w="2376" w:type="dxa"/>
            <w:tcMar>
              <w:top w:w="100" w:type="dxa"/>
              <w:left w:w="110" w:type="dxa"/>
              <w:bottom w:w="100" w:type="dxa"/>
              <w:right w:w="110" w:type="dxa"/>
            </w:tcMar>
            <w:vAlign w:val="center"/>
          </w:tcPr>
          <w:p w14:paraId="784E5818" w14:textId="77777777" w:rsidR="0014233E" w:rsidRDefault="00000000">
            <w:pPr>
              <w:spacing w:after="0" w:line="240" w:lineRule="auto"/>
            </w:pPr>
            <w:r>
              <w:rPr>
                <w:b/>
                <w:color w:val="17365D"/>
                <w:sz w:val="15"/>
              </w:rPr>
              <w:t>AED 1.5m restricted capital</w:t>
            </w:r>
          </w:p>
        </w:tc>
        <w:tc>
          <w:tcPr>
            <w:tcW w:w="4320" w:type="dxa"/>
            <w:tcMar>
              <w:top w:w="100" w:type="dxa"/>
              <w:left w:w="110" w:type="dxa"/>
              <w:bottom w:w="100" w:type="dxa"/>
              <w:right w:w="110" w:type="dxa"/>
            </w:tcMar>
            <w:vAlign w:val="center"/>
          </w:tcPr>
          <w:p w14:paraId="70969869" w14:textId="77777777" w:rsidR="0014233E" w:rsidRDefault="00000000">
            <w:pPr>
              <w:spacing w:after="0" w:line="240" w:lineRule="auto"/>
            </w:pPr>
            <w:r>
              <w:rPr>
                <w:sz w:val="15"/>
              </w:rPr>
              <w:t>Retain as a broad planning case, but add lower/narrower and overhead-driven scenarios.</w:t>
            </w:r>
          </w:p>
        </w:tc>
        <w:tc>
          <w:tcPr>
            <w:tcW w:w="3024" w:type="dxa"/>
            <w:tcMar>
              <w:top w:w="100" w:type="dxa"/>
              <w:left w:w="110" w:type="dxa"/>
              <w:bottom w:w="100" w:type="dxa"/>
              <w:right w:w="110" w:type="dxa"/>
            </w:tcMar>
            <w:vAlign w:val="center"/>
          </w:tcPr>
          <w:p w14:paraId="5C61F28C" w14:textId="77777777" w:rsidR="0014233E" w:rsidRDefault="00000000">
            <w:pPr>
              <w:spacing w:after="0" w:line="240" w:lineRule="auto"/>
            </w:pPr>
            <w:r>
              <w:rPr>
                <w:sz w:val="15"/>
              </w:rPr>
              <w:t>Capital is activity-specific, overhead-tested and structurally affected by custody segregation.</w:t>
            </w:r>
          </w:p>
        </w:tc>
      </w:tr>
      <w:tr w:rsidR="0014233E" w14:paraId="3E051904" w14:textId="77777777">
        <w:trPr>
          <w:cantSplit/>
          <w:jc w:val="center"/>
        </w:trPr>
        <w:tc>
          <w:tcPr>
            <w:tcW w:w="2376" w:type="dxa"/>
            <w:tcMar>
              <w:top w:w="100" w:type="dxa"/>
              <w:left w:w="110" w:type="dxa"/>
              <w:bottom w:w="100" w:type="dxa"/>
              <w:right w:w="110" w:type="dxa"/>
            </w:tcMar>
            <w:vAlign w:val="center"/>
          </w:tcPr>
          <w:p w14:paraId="64F30E3F" w14:textId="77777777" w:rsidR="0014233E" w:rsidRDefault="00000000">
            <w:pPr>
              <w:spacing w:after="0" w:line="240" w:lineRule="auto"/>
            </w:pPr>
            <w:r>
              <w:rPr>
                <w:b/>
                <w:color w:val="17365D"/>
                <w:sz w:val="15"/>
              </w:rPr>
              <w:t>VARA revenue start</w:t>
            </w:r>
          </w:p>
        </w:tc>
        <w:tc>
          <w:tcPr>
            <w:tcW w:w="4320" w:type="dxa"/>
            <w:tcMar>
              <w:top w:w="100" w:type="dxa"/>
              <w:left w:w="110" w:type="dxa"/>
              <w:bottom w:w="100" w:type="dxa"/>
              <w:right w:w="110" w:type="dxa"/>
            </w:tcMar>
            <w:vAlign w:val="center"/>
          </w:tcPr>
          <w:p w14:paraId="5B766E5D" w14:textId="77777777" w:rsidR="0014233E" w:rsidRDefault="00000000">
            <w:pPr>
              <w:spacing w:after="0" w:line="240" w:lineRule="auto"/>
            </w:pPr>
            <w:r>
              <w:rPr>
                <w:sz w:val="15"/>
              </w:rPr>
              <w:t>Start only from the full VASP licence date.</w:t>
            </w:r>
          </w:p>
        </w:tc>
        <w:tc>
          <w:tcPr>
            <w:tcW w:w="3024" w:type="dxa"/>
            <w:tcMar>
              <w:top w:w="100" w:type="dxa"/>
              <w:left w:w="110" w:type="dxa"/>
              <w:bottom w:w="100" w:type="dxa"/>
              <w:right w:w="110" w:type="dxa"/>
            </w:tcMar>
            <w:vAlign w:val="center"/>
          </w:tcPr>
          <w:p w14:paraId="6974B9B4" w14:textId="77777777" w:rsidR="0014233E" w:rsidRDefault="00000000">
            <w:pPr>
              <w:spacing w:after="0" w:line="240" w:lineRule="auto"/>
            </w:pPr>
            <w:r>
              <w:rPr>
                <w:sz w:val="15"/>
              </w:rPr>
              <w:t>ATI or IPA cannot be treated as permission to operate.</w:t>
            </w:r>
          </w:p>
        </w:tc>
      </w:tr>
      <w:tr w:rsidR="0014233E" w14:paraId="425C3685" w14:textId="77777777">
        <w:trPr>
          <w:cantSplit/>
          <w:jc w:val="center"/>
        </w:trPr>
        <w:tc>
          <w:tcPr>
            <w:tcW w:w="2376" w:type="dxa"/>
            <w:tcMar>
              <w:top w:w="100" w:type="dxa"/>
              <w:left w:w="110" w:type="dxa"/>
              <w:bottom w:w="100" w:type="dxa"/>
              <w:right w:w="110" w:type="dxa"/>
            </w:tcMar>
            <w:vAlign w:val="center"/>
          </w:tcPr>
          <w:p w14:paraId="649D7422" w14:textId="77777777" w:rsidR="0014233E" w:rsidRDefault="00000000">
            <w:pPr>
              <w:spacing w:after="0" w:line="240" w:lineRule="auto"/>
            </w:pPr>
            <w:r>
              <w:rPr>
                <w:b/>
                <w:color w:val="17365D"/>
                <w:sz w:val="15"/>
              </w:rPr>
              <w:t>Partner £60k setup / £67k annual</w:t>
            </w:r>
          </w:p>
        </w:tc>
        <w:tc>
          <w:tcPr>
            <w:tcW w:w="4320" w:type="dxa"/>
            <w:tcMar>
              <w:top w:w="100" w:type="dxa"/>
              <w:left w:w="110" w:type="dxa"/>
              <w:bottom w:w="100" w:type="dxa"/>
              <w:right w:w="110" w:type="dxa"/>
            </w:tcMar>
            <w:vAlign w:val="center"/>
          </w:tcPr>
          <w:p w14:paraId="077D39B6" w14:textId="77777777" w:rsidR="0014233E" w:rsidRDefault="00000000">
            <w:pPr>
              <w:spacing w:after="0" w:line="240" w:lineRule="auto"/>
            </w:pPr>
            <w:r>
              <w:rPr>
                <w:sz w:val="15"/>
              </w:rPr>
              <w:t>Keep as management estimates pending a term sheet.</w:t>
            </w:r>
          </w:p>
        </w:tc>
        <w:tc>
          <w:tcPr>
            <w:tcW w:w="3024" w:type="dxa"/>
            <w:tcMar>
              <w:top w:w="100" w:type="dxa"/>
              <w:left w:w="110" w:type="dxa"/>
              <w:bottom w:w="100" w:type="dxa"/>
              <w:right w:w="110" w:type="dxa"/>
            </w:tcMar>
            <w:vAlign w:val="center"/>
          </w:tcPr>
          <w:p w14:paraId="6A1BAA2B" w14:textId="77777777" w:rsidR="0014233E" w:rsidRDefault="00000000">
            <w:pPr>
              <w:spacing w:after="0" w:line="240" w:lineRule="auto"/>
            </w:pPr>
            <w:r>
              <w:rPr>
                <w:sz w:val="15"/>
              </w:rPr>
              <w:t>Public rules do not establish a standard partner price.</w:t>
            </w:r>
          </w:p>
        </w:tc>
      </w:tr>
      <w:tr w:rsidR="0014233E" w14:paraId="00F2CC3F" w14:textId="77777777">
        <w:trPr>
          <w:cantSplit/>
          <w:jc w:val="center"/>
        </w:trPr>
        <w:tc>
          <w:tcPr>
            <w:tcW w:w="2376" w:type="dxa"/>
            <w:tcMar>
              <w:top w:w="100" w:type="dxa"/>
              <w:left w:w="110" w:type="dxa"/>
              <w:bottom w:w="100" w:type="dxa"/>
              <w:right w:w="110" w:type="dxa"/>
            </w:tcMar>
            <w:vAlign w:val="center"/>
          </w:tcPr>
          <w:p w14:paraId="66A472AB" w14:textId="77777777" w:rsidR="0014233E" w:rsidRDefault="00000000">
            <w:pPr>
              <w:spacing w:after="0" w:line="240" w:lineRule="auto"/>
            </w:pPr>
            <w:r>
              <w:rPr>
                <w:b/>
                <w:color w:val="17365D"/>
                <w:sz w:val="15"/>
              </w:rPr>
              <w:t>CBUAE costs/timing</w:t>
            </w:r>
          </w:p>
        </w:tc>
        <w:tc>
          <w:tcPr>
            <w:tcW w:w="4320" w:type="dxa"/>
            <w:tcMar>
              <w:top w:w="100" w:type="dxa"/>
              <w:left w:w="110" w:type="dxa"/>
              <w:bottom w:w="100" w:type="dxa"/>
              <w:right w:w="110" w:type="dxa"/>
            </w:tcMar>
            <w:vAlign w:val="center"/>
          </w:tcPr>
          <w:p w14:paraId="4DCFE89B" w14:textId="77777777" w:rsidR="0014233E" w:rsidRDefault="00000000">
            <w:pPr>
              <w:spacing w:after="0" w:line="240" w:lineRule="auto"/>
            </w:pPr>
            <w:r>
              <w:rPr>
                <w:sz w:val="15"/>
              </w:rPr>
              <w:t>Add a qualitative gate or modest legal/advisory contingency; avoid false precision.</w:t>
            </w:r>
          </w:p>
        </w:tc>
        <w:tc>
          <w:tcPr>
            <w:tcW w:w="3024" w:type="dxa"/>
            <w:tcMar>
              <w:top w:w="100" w:type="dxa"/>
              <w:left w:w="110" w:type="dxa"/>
              <w:bottom w:w="100" w:type="dxa"/>
              <w:right w:w="110" w:type="dxa"/>
            </w:tcMar>
            <w:vAlign w:val="center"/>
          </w:tcPr>
          <w:p w14:paraId="3C1B5E05" w14:textId="77777777" w:rsidR="0014233E" w:rsidRDefault="00000000">
            <w:pPr>
              <w:spacing w:after="0" w:line="240" w:lineRule="auto"/>
            </w:pPr>
            <w:r>
              <w:rPr>
                <w:sz w:val="15"/>
              </w:rPr>
              <w:t>The applicable licence or non-objection route is unresolved.</w:t>
            </w:r>
          </w:p>
        </w:tc>
      </w:tr>
    </w:tbl>
    <w:p w14:paraId="7D924BF9" w14:textId="77777777" w:rsidR="0014233E" w:rsidRDefault="0014233E">
      <w:pPr>
        <w:spacing w:after="20"/>
      </w:pPr>
    </w:p>
    <w:tbl>
      <w:tblPr>
        <w:tblW w:w="0" w:type="auto"/>
        <w:jc w:val="center"/>
        <w:tblBorders>
          <w:top w:val="single" w:sz="8" w:space="0" w:color="70AD47"/>
          <w:left w:val="single" w:sz="8" w:space="0" w:color="70AD47"/>
          <w:bottom w:val="single" w:sz="8" w:space="0" w:color="70AD47"/>
          <w:right w:val="single" w:sz="8" w:space="0" w:color="70AD47"/>
        </w:tblBorders>
        <w:tblLayout w:type="fixed"/>
        <w:tblLook w:val="04A0" w:firstRow="1" w:lastRow="0" w:firstColumn="1" w:lastColumn="0" w:noHBand="0" w:noVBand="1"/>
      </w:tblPr>
      <w:tblGrid>
        <w:gridCol w:w="9864"/>
      </w:tblGrid>
      <w:tr w:rsidR="0014233E" w14:paraId="75EA40DF" w14:textId="77777777">
        <w:trPr>
          <w:jc w:val="center"/>
        </w:trPr>
        <w:tc>
          <w:tcPr>
            <w:tcW w:w="9864" w:type="dxa"/>
            <w:shd w:val="clear" w:color="auto" w:fill="E2F0D9"/>
            <w:tcMar>
              <w:top w:w="150" w:type="dxa"/>
              <w:left w:w="180" w:type="dxa"/>
              <w:bottom w:w="150" w:type="dxa"/>
              <w:right w:w="180" w:type="dxa"/>
            </w:tcMar>
          </w:tcPr>
          <w:p w14:paraId="70798D69" w14:textId="77777777" w:rsidR="0014233E" w:rsidRDefault="00000000">
            <w:pPr>
              <w:spacing w:after="60"/>
            </w:pPr>
            <w:r>
              <w:rPr>
                <w:rFonts w:ascii="Aptos Display" w:hAnsi="Aptos Display"/>
                <w:b/>
                <w:color w:val="17365D"/>
                <w:sz w:val="22"/>
              </w:rPr>
              <w:t>Model presentation</w:t>
            </w:r>
          </w:p>
          <w:p w14:paraId="0232E790" w14:textId="77777777" w:rsidR="0014233E" w:rsidRDefault="00000000">
            <w:pPr>
              <w:spacing w:after="0"/>
            </w:pPr>
            <w:r>
              <w:rPr>
                <w:sz w:val="19"/>
              </w:rPr>
              <w:t>The accompanying submission presents one base timeline and two sensitivities without unnecessary month-by-month regulatory micro-costing. Its principal outputs are the Month 12 paid pilot, Month 18 base VARA licence, the distinction between preliminary and full approval, and the activity-scope sensitivity for fees and capital.</w:t>
            </w:r>
          </w:p>
        </w:tc>
      </w:tr>
    </w:tbl>
    <w:p w14:paraId="36C7A8BF" w14:textId="77777777" w:rsidR="0014233E" w:rsidRDefault="0014233E">
      <w:pPr>
        <w:spacing w:after="20"/>
      </w:pPr>
    </w:p>
    <w:p w14:paraId="24A16A00" w14:textId="77777777" w:rsidR="0014233E" w:rsidRDefault="00000000">
      <w:pPr>
        <w:pStyle w:val="Heading1"/>
      </w:pPr>
      <w:r>
        <w:t>8. Open regulatory questions and validation priorities</w:t>
      </w:r>
    </w:p>
    <w:p w14:paraId="5F6C47D5" w14:textId="77777777" w:rsidR="0014233E" w:rsidRDefault="00000000">
      <w:pPr>
        <w:keepLines/>
      </w:pPr>
      <w:r>
        <w:t>Public rules define the framework but do not resolve Blockmediary’s exact classification. The following questions are therefore treated as open assumptions in this submission:</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792"/>
        <w:gridCol w:w="3456"/>
        <w:gridCol w:w="3168"/>
        <w:gridCol w:w="2376"/>
      </w:tblGrid>
      <w:tr w:rsidR="0014233E" w14:paraId="489BF6E6" w14:textId="77777777">
        <w:trPr>
          <w:cantSplit/>
          <w:tblHeader/>
          <w:jc w:val="center"/>
        </w:trPr>
        <w:tc>
          <w:tcPr>
            <w:tcW w:w="792" w:type="dxa"/>
            <w:shd w:val="clear" w:color="auto" w:fill="17365D"/>
            <w:tcMar>
              <w:top w:w="100" w:type="dxa"/>
              <w:left w:w="110" w:type="dxa"/>
              <w:bottom w:w="100" w:type="dxa"/>
              <w:right w:w="110" w:type="dxa"/>
            </w:tcMar>
            <w:vAlign w:val="center"/>
          </w:tcPr>
          <w:p w14:paraId="580C9B4E" w14:textId="77777777" w:rsidR="0014233E" w:rsidRDefault="00000000">
            <w:pPr>
              <w:spacing w:after="0" w:line="240" w:lineRule="auto"/>
              <w:jc w:val="center"/>
            </w:pPr>
            <w:r>
              <w:rPr>
                <w:b/>
                <w:color w:val="FFFFFF"/>
                <w:sz w:val="15"/>
              </w:rPr>
              <w:t>Priority</w:t>
            </w:r>
          </w:p>
        </w:tc>
        <w:tc>
          <w:tcPr>
            <w:tcW w:w="3456" w:type="dxa"/>
            <w:shd w:val="clear" w:color="auto" w:fill="17365D"/>
            <w:tcMar>
              <w:top w:w="100" w:type="dxa"/>
              <w:left w:w="110" w:type="dxa"/>
              <w:bottom w:w="100" w:type="dxa"/>
              <w:right w:w="110" w:type="dxa"/>
            </w:tcMar>
            <w:vAlign w:val="center"/>
          </w:tcPr>
          <w:p w14:paraId="76AEF2DF" w14:textId="77777777" w:rsidR="0014233E" w:rsidRDefault="00000000">
            <w:pPr>
              <w:spacing w:after="0" w:line="240" w:lineRule="auto"/>
              <w:jc w:val="center"/>
            </w:pPr>
            <w:r>
              <w:rPr>
                <w:b/>
                <w:color w:val="FFFFFF"/>
                <w:sz w:val="15"/>
              </w:rPr>
              <w:t>Question</w:t>
            </w:r>
          </w:p>
        </w:tc>
        <w:tc>
          <w:tcPr>
            <w:tcW w:w="3168" w:type="dxa"/>
            <w:shd w:val="clear" w:color="auto" w:fill="17365D"/>
            <w:tcMar>
              <w:top w:w="100" w:type="dxa"/>
              <w:left w:w="110" w:type="dxa"/>
              <w:bottom w:w="100" w:type="dxa"/>
              <w:right w:w="110" w:type="dxa"/>
            </w:tcMar>
            <w:vAlign w:val="center"/>
          </w:tcPr>
          <w:p w14:paraId="30A858A9" w14:textId="77777777" w:rsidR="0014233E" w:rsidRDefault="00000000">
            <w:pPr>
              <w:spacing w:after="0" w:line="240" w:lineRule="auto"/>
              <w:jc w:val="center"/>
            </w:pPr>
            <w:r>
              <w:rPr>
                <w:b/>
                <w:color w:val="FFFFFF"/>
                <w:sz w:val="15"/>
              </w:rPr>
              <w:t>Why it matters</w:t>
            </w:r>
          </w:p>
        </w:tc>
        <w:tc>
          <w:tcPr>
            <w:tcW w:w="2376" w:type="dxa"/>
            <w:shd w:val="clear" w:color="auto" w:fill="17365D"/>
            <w:tcMar>
              <w:top w:w="100" w:type="dxa"/>
              <w:left w:w="110" w:type="dxa"/>
              <w:bottom w:w="100" w:type="dxa"/>
              <w:right w:w="110" w:type="dxa"/>
            </w:tcMar>
            <w:vAlign w:val="center"/>
          </w:tcPr>
          <w:p w14:paraId="455E2AC7" w14:textId="77777777" w:rsidR="0014233E" w:rsidRDefault="00000000">
            <w:pPr>
              <w:spacing w:after="0" w:line="240" w:lineRule="auto"/>
              <w:jc w:val="center"/>
            </w:pPr>
            <w:r>
              <w:rPr>
                <w:b/>
                <w:color w:val="FFFFFF"/>
                <w:sz w:val="15"/>
              </w:rPr>
              <w:t>Best validation</w:t>
            </w:r>
          </w:p>
        </w:tc>
      </w:tr>
      <w:tr w:rsidR="0014233E" w14:paraId="2C70F689" w14:textId="77777777">
        <w:trPr>
          <w:cantSplit/>
          <w:jc w:val="center"/>
        </w:trPr>
        <w:tc>
          <w:tcPr>
            <w:tcW w:w="792" w:type="dxa"/>
            <w:shd w:val="clear" w:color="auto" w:fill="FCE4D6"/>
            <w:tcMar>
              <w:top w:w="100" w:type="dxa"/>
              <w:left w:w="110" w:type="dxa"/>
              <w:bottom w:w="100" w:type="dxa"/>
              <w:right w:w="110" w:type="dxa"/>
            </w:tcMar>
            <w:vAlign w:val="center"/>
          </w:tcPr>
          <w:p w14:paraId="225BB0E5" w14:textId="77777777" w:rsidR="0014233E" w:rsidRDefault="00000000">
            <w:pPr>
              <w:spacing w:after="0" w:line="240" w:lineRule="auto"/>
            </w:pPr>
            <w:r>
              <w:rPr>
                <w:b/>
                <w:color w:val="17365D"/>
                <w:sz w:val="15"/>
              </w:rPr>
              <w:t>1</w:t>
            </w:r>
          </w:p>
        </w:tc>
        <w:tc>
          <w:tcPr>
            <w:tcW w:w="3456" w:type="dxa"/>
            <w:shd w:val="clear" w:color="auto" w:fill="FCE4D6"/>
            <w:tcMar>
              <w:top w:w="100" w:type="dxa"/>
              <w:left w:w="110" w:type="dxa"/>
              <w:bottom w:w="100" w:type="dxa"/>
              <w:right w:w="110" w:type="dxa"/>
            </w:tcMar>
            <w:vAlign w:val="center"/>
          </w:tcPr>
          <w:p w14:paraId="329E04C7" w14:textId="77777777" w:rsidR="0014233E" w:rsidRDefault="00000000">
            <w:pPr>
              <w:spacing w:after="0" w:line="240" w:lineRule="auto"/>
            </w:pPr>
            <w:r>
              <w:rPr>
                <w:sz w:val="15"/>
              </w:rPr>
              <w:t>Does Blockmediary’s release key, smart-contract administration or recovery design constitute custody or control?</w:t>
            </w:r>
          </w:p>
        </w:tc>
        <w:tc>
          <w:tcPr>
            <w:tcW w:w="3168" w:type="dxa"/>
            <w:shd w:val="clear" w:color="auto" w:fill="FCE4D6"/>
            <w:tcMar>
              <w:top w:w="100" w:type="dxa"/>
              <w:left w:w="110" w:type="dxa"/>
              <w:bottom w:w="100" w:type="dxa"/>
              <w:right w:w="110" w:type="dxa"/>
            </w:tcMar>
            <w:vAlign w:val="center"/>
          </w:tcPr>
          <w:p w14:paraId="732A19FC" w14:textId="77777777" w:rsidR="0014233E" w:rsidRDefault="00000000">
            <w:pPr>
              <w:spacing w:after="0" w:line="240" w:lineRule="auto"/>
            </w:pPr>
            <w:r>
              <w:rPr>
                <w:sz w:val="15"/>
              </w:rPr>
              <w:t>Determines Custody permission, entity separation, capital and safeguarding.</w:t>
            </w:r>
          </w:p>
        </w:tc>
        <w:tc>
          <w:tcPr>
            <w:tcW w:w="2376" w:type="dxa"/>
            <w:shd w:val="clear" w:color="auto" w:fill="FCE4D6"/>
            <w:tcMar>
              <w:top w:w="100" w:type="dxa"/>
              <w:left w:w="110" w:type="dxa"/>
              <w:bottom w:w="100" w:type="dxa"/>
              <w:right w:w="110" w:type="dxa"/>
            </w:tcMar>
            <w:vAlign w:val="center"/>
          </w:tcPr>
          <w:p w14:paraId="3133D4A1" w14:textId="77777777" w:rsidR="0014233E" w:rsidRDefault="00000000">
            <w:pPr>
              <w:spacing w:after="0" w:line="240" w:lineRule="auto"/>
            </w:pPr>
            <w:r>
              <w:rPr>
                <w:sz w:val="15"/>
              </w:rPr>
              <w:t>Written UAE regulatory-perimeter opinion with architecture diagram</w:t>
            </w:r>
          </w:p>
        </w:tc>
      </w:tr>
      <w:tr w:rsidR="0014233E" w14:paraId="4449EA80" w14:textId="77777777">
        <w:trPr>
          <w:cantSplit/>
          <w:jc w:val="center"/>
        </w:trPr>
        <w:tc>
          <w:tcPr>
            <w:tcW w:w="792" w:type="dxa"/>
            <w:shd w:val="clear" w:color="auto" w:fill="FCE4D6"/>
            <w:tcMar>
              <w:top w:w="100" w:type="dxa"/>
              <w:left w:w="110" w:type="dxa"/>
              <w:bottom w:w="100" w:type="dxa"/>
              <w:right w:w="110" w:type="dxa"/>
            </w:tcMar>
            <w:vAlign w:val="center"/>
          </w:tcPr>
          <w:p w14:paraId="04AEBBA4" w14:textId="77777777" w:rsidR="0014233E" w:rsidRDefault="00000000">
            <w:pPr>
              <w:spacing w:after="0" w:line="240" w:lineRule="auto"/>
            </w:pPr>
            <w:r>
              <w:rPr>
                <w:b/>
                <w:color w:val="17365D"/>
                <w:sz w:val="15"/>
              </w:rPr>
              <w:t>2</w:t>
            </w:r>
          </w:p>
        </w:tc>
        <w:tc>
          <w:tcPr>
            <w:tcW w:w="3456" w:type="dxa"/>
            <w:shd w:val="clear" w:color="auto" w:fill="FCE4D6"/>
            <w:tcMar>
              <w:top w:w="100" w:type="dxa"/>
              <w:left w:w="110" w:type="dxa"/>
              <w:bottom w:w="100" w:type="dxa"/>
              <w:right w:w="110" w:type="dxa"/>
            </w:tcMar>
            <w:vAlign w:val="center"/>
          </w:tcPr>
          <w:p w14:paraId="3E613C33" w14:textId="77777777" w:rsidR="0014233E" w:rsidRDefault="00000000">
            <w:pPr>
              <w:spacing w:after="0" w:line="240" w:lineRule="auto"/>
            </w:pPr>
            <w:r>
              <w:rPr>
                <w:sz w:val="15"/>
              </w:rPr>
              <w:t>Is VA Transfer and Settlement the correct primary VARA activity?</w:t>
            </w:r>
          </w:p>
        </w:tc>
        <w:tc>
          <w:tcPr>
            <w:tcW w:w="3168" w:type="dxa"/>
            <w:shd w:val="clear" w:color="auto" w:fill="FCE4D6"/>
            <w:tcMar>
              <w:top w:w="100" w:type="dxa"/>
              <w:left w:w="110" w:type="dxa"/>
              <w:bottom w:w="100" w:type="dxa"/>
              <w:right w:w="110" w:type="dxa"/>
            </w:tcMar>
            <w:vAlign w:val="center"/>
          </w:tcPr>
          <w:p w14:paraId="334F3E27" w14:textId="77777777" w:rsidR="0014233E" w:rsidRDefault="00000000">
            <w:pPr>
              <w:spacing w:after="0" w:line="240" w:lineRule="auto"/>
            </w:pPr>
            <w:r>
              <w:rPr>
                <w:sz w:val="15"/>
              </w:rPr>
              <w:t>Sets the core application, policies, fees and capital.</w:t>
            </w:r>
          </w:p>
        </w:tc>
        <w:tc>
          <w:tcPr>
            <w:tcW w:w="2376" w:type="dxa"/>
            <w:shd w:val="clear" w:color="auto" w:fill="FCE4D6"/>
            <w:tcMar>
              <w:top w:w="100" w:type="dxa"/>
              <w:left w:w="110" w:type="dxa"/>
              <w:bottom w:w="100" w:type="dxa"/>
              <w:right w:w="110" w:type="dxa"/>
            </w:tcMar>
            <w:vAlign w:val="center"/>
          </w:tcPr>
          <w:p w14:paraId="02103EE8" w14:textId="77777777" w:rsidR="0014233E" w:rsidRDefault="00000000">
            <w:pPr>
              <w:spacing w:after="0" w:line="240" w:lineRule="auto"/>
            </w:pPr>
            <w:r>
              <w:rPr>
                <w:sz w:val="15"/>
              </w:rPr>
              <w:t>VARA pre-application discussion / counsel confirmation</w:t>
            </w:r>
          </w:p>
        </w:tc>
      </w:tr>
      <w:tr w:rsidR="0014233E" w14:paraId="6DF31CB7" w14:textId="77777777">
        <w:trPr>
          <w:cantSplit/>
          <w:jc w:val="center"/>
        </w:trPr>
        <w:tc>
          <w:tcPr>
            <w:tcW w:w="792" w:type="dxa"/>
            <w:shd w:val="clear" w:color="auto" w:fill="FFF2CC"/>
            <w:tcMar>
              <w:top w:w="100" w:type="dxa"/>
              <w:left w:w="110" w:type="dxa"/>
              <w:bottom w:w="100" w:type="dxa"/>
              <w:right w:w="110" w:type="dxa"/>
            </w:tcMar>
            <w:vAlign w:val="center"/>
          </w:tcPr>
          <w:p w14:paraId="62B60E63" w14:textId="77777777" w:rsidR="0014233E" w:rsidRDefault="00000000">
            <w:pPr>
              <w:spacing w:after="0" w:line="240" w:lineRule="auto"/>
            </w:pPr>
            <w:r>
              <w:rPr>
                <w:b/>
                <w:color w:val="17365D"/>
                <w:sz w:val="15"/>
              </w:rPr>
              <w:t>3</w:t>
            </w:r>
          </w:p>
        </w:tc>
        <w:tc>
          <w:tcPr>
            <w:tcW w:w="3456" w:type="dxa"/>
            <w:shd w:val="clear" w:color="auto" w:fill="FFF2CC"/>
            <w:tcMar>
              <w:top w:w="100" w:type="dxa"/>
              <w:left w:w="110" w:type="dxa"/>
              <w:bottom w:w="100" w:type="dxa"/>
              <w:right w:w="110" w:type="dxa"/>
            </w:tcMar>
            <w:vAlign w:val="center"/>
          </w:tcPr>
          <w:p w14:paraId="7D52CD4B" w14:textId="77777777" w:rsidR="0014233E" w:rsidRDefault="00000000">
            <w:pPr>
              <w:spacing w:after="0" w:line="240" w:lineRule="auto"/>
            </w:pPr>
            <w:r>
              <w:rPr>
                <w:sz w:val="15"/>
              </w:rPr>
              <w:t>Is Broker-Dealer permission required where Blockmediary settles a physical-goods trade but does not arrange token purchase or sale?</w:t>
            </w:r>
          </w:p>
        </w:tc>
        <w:tc>
          <w:tcPr>
            <w:tcW w:w="3168" w:type="dxa"/>
            <w:shd w:val="clear" w:color="auto" w:fill="FFF2CC"/>
            <w:tcMar>
              <w:top w:w="100" w:type="dxa"/>
              <w:left w:w="110" w:type="dxa"/>
              <w:bottom w:w="100" w:type="dxa"/>
              <w:right w:w="110" w:type="dxa"/>
            </w:tcMar>
            <w:vAlign w:val="center"/>
          </w:tcPr>
          <w:p w14:paraId="6C9AB493" w14:textId="77777777" w:rsidR="0014233E" w:rsidRDefault="00000000">
            <w:pPr>
              <w:spacing w:after="0" w:line="240" w:lineRule="auto"/>
            </w:pPr>
            <w:r>
              <w:rPr>
                <w:sz w:val="15"/>
              </w:rPr>
              <w:t>Could add fees, capital, staffing and a separate group structure.</w:t>
            </w:r>
          </w:p>
        </w:tc>
        <w:tc>
          <w:tcPr>
            <w:tcW w:w="2376" w:type="dxa"/>
            <w:shd w:val="clear" w:color="auto" w:fill="FFF2CC"/>
            <w:tcMar>
              <w:top w:w="100" w:type="dxa"/>
              <w:left w:w="110" w:type="dxa"/>
              <w:bottom w:w="100" w:type="dxa"/>
              <w:right w:w="110" w:type="dxa"/>
            </w:tcMar>
            <w:vAlign w:val="center"/>
          </w:tcPr>
          <w:p w14:paraId="060E4ED6" w14:textId="77777777" w:rsidR="0014233E" w:rsidRDefault="00000000">
            <w:pPr>
              <w:spacing w:after="0" w:line="240" w:lineRule="auto"/>
            </w:pPr>
            <w:r>
              <w:rPr>
                <w:sz w:val="15"/>
              </w:rPr>
              <w:t>Written activity analysis; do not assume</w:t>
            </w:r>
          </w:p>
        </w:tc>
      </w:tr>
      <w:tr w:rsidR="0014233E" w14:paraId="160F2263" w14:textId="77777777">
        <w:trPr>
          <w:cantSplit/>
          <w:jc w:val="center"/>
        </w:trPr>
        <w:tc>
          <w:tcPr>
            <w:tcW w:w="792" w:type="dxa"/>
            <w:shd w:val="clear" w:color="auto" w:fill="FCE4D6"/>
            <w:tcMar>
              <w:top w:w="100" w:type="dxa"/>
              <w:left w:w="110" w:type="dxa"/>
              <w:bottom w:w="100" w:type="dxa"/>
              <w:right w:w="110" w:type="dxa"/>
            </w:tcMar>
            <w:vAlign w:val="center"/>
          </w:tcPr>
          <w:p w14:paraId="22A1826E" w14:textId="77777777" w:rsidR="0014233E" w:rsidRDefault="00000000">
            <w:pPr>
              <w:spacing w:after="0" w:line="240" w:lineRule="auto"/>
            </w:pPr>
            <w:r>
              <w:rPr>
                <w:b/>
                <w:color w:val="17365D"/>
                <w:sz w:val="15"/>
              </w:rPr>
              <w:lastRenderedPageBreak/>
              <w:t>4</w:t>
            </w:r>
          </w:p>
        </w:tc>
        <w:tc>
          <w:tcPr>
            <w:tcW w:w="3456" w:type="dxa"/>
            <w:shd w:val="clear" w:color="auto" w:fill="FCE4D6"/>
            <w:tcMar>
              <w:top w:w="100" w:type="dxa"/>
              <w:left w:w="110" w:type="dxa"/>
              <w:bottom w:w="100" w:type="dxa"/>
              <w:right w:w="110" w:type="dxa"/>
            </w:tcMar>
            <w:vAlign w:val="center"/>
          </w:tcPr>
          <w:p w14:paraId="291589CF" w14:textId="77777777" w:rsidR="0014233E" w:rsidRDefault="00000000">
            <w:pPr>
              <w:spacing w:after="0" w:line="240" w:lineRule="auto"/>
            </w:pPr>
            <w:r>
              <w:rPr>
                <w:sz w:val="15"/>
              </w:rPr>
              <w:t>Can USDC/EURC be used in the proposed UAE physical-goods settlement flow?</w:t>
            </w:r>
          </w:p>
        </w:tc>
        <w:tc>
          <w:tcPr>
            <w:tcW w:w="3168" w:type="dxa"/>
            <w:shd w:val="clear" w:color="auto" w:fill="FCE4D6"/>
            <w:tcMar>
              <w:top w:w="100" w:type="dxa"/>
              <w:left w:w="110" w:type="dxa"/>
              <w:bottom w:w="100" w:type="dxa"/>
              <w:right w:w="110" w:type="dxa"/>
            </w:tcMar>
            <w:vAlign w:val="center"/>
          </w:tcPr>
          <w:p w14:paraId="3A54877E" w14:textId="77777777" w:rsidR="0014233E" w:rsidRDefault="00000000">
            <w:pPr>
              <w:spacing w:after="0" w:line="240" w:lineRule="auto"/>
            </w:pPr>
            <w:r>
              <w:rPr>
                <w:sz w:val="15"/>
              </w:rPr>
              <w:t>May trigger CBUAE restrictions, licensing or non-objection requirements.</w:t>
            </w:r>
          </w:p>
        </w:tc>
        <w:tc>
          <w:tcPr>
            <w:tcW w:w="2376" w:type="dxa"/>
            <w:shd w:val="clear" w:color="auto" w:fill="FCE4D6"/>
            <w:tcMar>
              <w:top w:w="100" w:type="dxa"/>
              <w:left w:w="110" w:type="dxa"/>
              <w:bottom w:w="100" w:type="dxa"/>
              <w:right w:w="110" w:type="dxa"/>
            </w:tcMar>
            <w:vAlign w:val="center"/>
          </w:tcPr>
          <w:p w14:paraId="57DEB694" w14:textId="77777777" w:rsidR="0014233E" w:rsidRDefault="00000000">
            <w:pPr>
              <w:spacing w:after="0" w:line="240" w:lineRule="auto"/>
            </w:pPr>
            <w:r>
              <w:rPr>
                <w:sz w:val="15"/>
              </w:rPr>
              <w:t>CBUAE-focused legal advice and partner confirmation</w:t>
            </w:r>
          </w:p>
        </w:tc>
      </w:tr>
      <w:tr w:rsidR="0014233E" w14:paraId="2A2C5C87" w14:textId="77777777">
        <w:trPr>
          <w:cantSplit/>
          <w:jc w:val="center"/>
        </w:trPr>
        <w:tc>
          <w:tcPr>
            <w:tcW w:w="792" w:type="dxa"/>
            <w:shd w:val="clear" w:color="auto" w:fill="FFF2CC"/>
            <w:tcMar>
              <w:top w:w="100" w:type="dxa"/>
              <w:left w:w="110" w:type="dxa"/>
              <w:bottom w:w="100" w:type="dxa"/>
              <w:right w:w="110" w:type="dxa"/>
            </w:tcMar>
            <w:vAlign w:val="center"/>
          </w:tcPr>
          <w:p w14:paraId="5DA6E28A" w14:textId="77777777" w:rsidR="0014233E" w:rsidRDefault="00000000">
            <w:pPr>
              <w:spacing w:after="0" w:line="240" w:lineRule="auto"/>
            </w:pPr>
            <w:r>
              <w:rPr>
                <w:b/>
                <w:color w:val="17365D"/>
                <w:sz w:val="15"/>
              </w:rPr>
              <w:t>5</w:t>
            </w:r>
          </w:p>
        </w:tc>
        <w:tc>
          <w:tcPr>
            <w:tcW w:w="3456" w:type="dxa"/>
            <w:shd w:val="clear" w:color="auto" w:fill="FFF2CC"/>
            <w:tcMar>
              <w:top w:w="100" w:type="dxa"/>
              <w:left w:w="110" w:type="dxa"/>
              <w:bottom w:w="100" w:type="dxa"/>
              <w:right w:w="110" w:type="dxa"/>
            </w:tcMar>
            <w:vAlign w:val="center"/>
          </w:tcPr>
          <w:p w14:paraId="664DB946" w14:textId="77777777" w:rsidR="0014233E" w:rsidRDefault="00000000">
            <w:pPr>
              <w:spacing w:after="0" w:line="240" w:lineRule="auto"/>
            </w:pPr>
            <w:r>
              <w:rPr>
                <w:sz w:val="15"/>
              </w:rPr>
              <w:t>Which entity is the customer-facing regulated principal in the DIFC pilot?</w:t>
            </w:r>
          </w:p>
        </w:tc>
        <w:tc>
          <w:tcPr>
            <w:tcW w:w="3168" w:type="dxa"/>
            <w:shd w:val="clear" w:color="auto" w:fill="FFF2CC"/>
            <w:tcMar>
              <w:top w:w="100" w:type="dxa"/>
              <w:left w:w="110" w:type="dxa"/>
              <w:bottom w:w="100" w:type="dxa"/>
              <w:right w:w="110" w:type="dxa"/>
            </w:tcMar>
            <w:vAlign w:val="center"/>
          </w:tcPr>
          <w:p w14:paraId="4EC996E8" w14:textId="77777777" w:rsidR="0014233E" w:rsidRDefault="00000000">
            <w:pPr>
              <w:spacing w:after="0" w:line="240" w:lineRule="auto"/>
            </w:pPr>
            <w:r>
              <w:rPr>
                <w:sz w:val="15"/>
              </w:rPr>
              <w:t>Determines contracts, AML, complaints, client assets and liability.</w:t>
            </w:r>
          </w:p>
        </w:tc>
        <w:tc>
          <w:tcPr>
            <w:tcW w:w="2376" w:type="dxa"/>
            <w:shd w:val="clear" w:color="auto" w:fill="FFF2CC"/>
            <w:tcMar>
              <w:top w:w="100" w:type="dxa"/>
              <w:left w:w="110" w:type="dxa"/>
              <w:bottom w:w="100" w:type="dxa"/>
              <w:right w:w="110" w:type="dxa"/>
            </w:tcMar>
            <w:vAlign w:val="center"/>
          </w:tcPr>
          <w:p w14:paraId="26AF3260" w14:textId="77777777" w:rsidR="0014233E" w:rsidRDefault="00000000">
            <w:pPr>
              <w:spacing w:after="0" w:line="240" w:lineRule="auto"/>
            </w:pPr>
            <w:r>
              <w:rPr>
                <w:sz w:val="15"/>
              </w:rPr>
              <w:t>Executed partner responsibility matrix and outsourcing agreement</w:t>
            </w:r>
          </w:p>
        </w:tc>
      </w:tr>
      <w:tr w:rsidR="0014233E" w14:paraId="58665D71" w14:textId="77777777">
        <w:trPr>
          <w:cantSplit/>
          <w:jc w:val="center"/>
        </w:trPr>
        <w:tc>
          <w:tcPr>
            <w:tcW w:w="792" w:type="dxa"/>
            <w:shd w:val="clear" w:color="auto" w:fill="FFF2CC"/>
            <w:tcMar>
              <w:top w:w="100" w:type="dxa"/>
              <w:left w:w="110" w:type="dxa"/>
              <w:bottom w:w="100" w:type="dxa"/>
              <w:right w:w="110" w:type="dxa"/>
            </w:tcMar>
            <w:vAlign w:val="center"/>
          </w:tcPr>
          <w:p w14:paraId="02E65DBF" w14:textId="77777777" w:rsidR="0014233E" w:rsidRDefault="00000000">
            <w:pPr>
              <w:spacing w:after="0" w:line="240" w:lineRule="auto"/>
            </w:pPr>
            <w:r>
              <w:rPr>
                <w:b/>
                <w:color w:val="17365D"/>
                <w:sz w:val="15"/>
              </w:rPr>
              <w:t>6</w:t>
            </w:r>
          </w:p>
        </w:tc>
        <w:tc>
          <w:tcPr>
            <w:tcW w:w="3456" w:type="dxa"/>
            <w:shd w:val="clear" w:color="auto" w:fill="FFF2CC"/>
            <w:tcMar>
              <w:top w:w="100" w:type="dxa"/>
              <w:left w:w="110" w:type="dxa"/>
              <w:bottom w:w="100" w:type="dxa"/>
              <w:right w:w="110" w:type="dxa"/>
            </w:tcMar>
            <w:vAlign w:val="center"/>
          </w:tcPr>
          <w:p w14:paraId="5AA70C6D" w14:textId="77777777" w:rsidR="0014233E" w:rsidRDefault="00000000">
            <w:pPr>
              <w:spacing w:after="0" w:line="240" w:lineRule="auto"/>
            </w:pPr>
            <w:r>
              <w:rPr>
                <w:sz w:val="15"/>
              </w:rPr>
              <w:t>Can the partner’s existing permissions and systems support the specific escrow/release architecture?</w:t>
            </w:r>
          </w:p>
        </w:tc>
        <w:tc>
          <w:tcPr>
            <w:tcW w:w="3168" w:type="dxa"/>
            <w:shd w:val="clear" w:color="auto" w:fill="FFF2CC"/>
            <w:tcMar>
              <w:top w:w="100" w:type="dxa"/>
              <w:left w:w="110" w:type="dxa"/>
              <w:bottom w:w="100" w:type="dxa"/>
              <w:right w:w="110" w:type="dxa"/>
            </w:tcMar>
            <w:vAlign w:val="center"/>
          </w:tcPr>
          <w:p w14:paraId="55949999" w14:textId="77777777" w:rsidR="0014233E" w:rsidRDefault="00000000">
            <w:pPr>
              <w:spacing w:after="0" w:line="240" w:lineRule="auto"/>
            </w:pPr>
            <w:r>
              <w:rPr>
                <w:sz w:val="15"/>
              </w:rPr>
              <w:t>A generic payments or custody licence may not cover the actual workflow.</w:t>
            </w:r>
          </w:p>
        </w:tc>
        <w:tc>
          <w:tcPr>
            <w:tcW w:w="2376" w:type="dxa"/>
            <w:shd w:val="clear" w:color="auto" w:fill="FFF2CC"/>
            <w:tcMar>
              <w:top w:w="100" w:type="dxa"/>
              <w:left w:w="110" w:type="dxa"/>
              <w:bottom w:w="100" w:type="dxa"/>
              <w:right w:w="110" w:type="dxa"/>
            </w:tcMar>
            <w:vAlign w:val="center"/>
          </w:tcPr>
          <w:p w14:paraId="40D577EC" w14:textId="77777777" w:rsidR="0014233E" w:rsidRDefault="00000000">
            <w:pPr>
              <w:spacing w:after="0" w:line="240" w:lineRule="auto"/>
            </w:pPr>
            <w:r>
              <w:rPr>
                <w:sz w:val="15"/>
              </w:rPr>
              <w:t>Partner compliance sign-off and DFSA notification/engagement if material</w:t>
            </w:r>
          </w:p>
        </w:tc>
      </w:tr>
      <w:tr w:rsidR="0014233E" w14:paraId="629C477A" w14:textId="77777777">
        <w:trPr>
          <w:cantSplit/>
          <w:jc w:val="center"/>
        </w:trPr>
        <w:tc>
          <w:tcPr>
            <w:tcW w:w="792" w:type="dxa"/>
            <w:shd w:val="clear" w:color="auto" w:fill="FFF2CC"/>
            <w:tcMar>
              <w:top w:w="100" w:type="dxa"/>
              <w:left w:w="110" w:type="dxa"/>
              <w:bottom w:w="100" w:type="dxa"/>
              <w:right w:w="110" w:type="dxa"/>
            </w:tcMar>
            <w:vAlign w:val="center"/>
          </w:tcPr>
          <w:p w14:paraId="6A1BA78B" w14:textId="77777777" w:rsidR="0014233E" w:rsidRDefault="00000000">
            <w:pPr>
              <w:spacing w:after="0" w:line="240" w:lineRule="auto"/>
            </w:pPr>
            <w:r>
              <w:rPr>
                <w:b/>
                <w:color w:val="17365D"/>
                <w:sz w:val="15"/>
              </w:rPr>
              <w:t>7</w:t>
            </w:r>
          </w:p>
        </w:tc>
        <w:tc>
          <w:tcPr>
            <w:tcW w:w="3456" w:type="dxa"/>
            <w:shd w:val="clear" w:color="auto" w:fill="FFF2CC"/>
            <w:tcMar>
              <w:top w:w="100" w:type="dxa"/>
              <w:left w:w="110" w:type="dxa"/>
              <w:bottom w:w="100" w:type="dxa"/>
              <w:right w:w="110" w:type="dxa"/>
            </w:tcMar>
            <w:vAlign w:val="center"/>
          </w:tcPr>
          <w:p w14:paraId="41F76420" w14:textId="77777777" w:rsidR="0014233E" w:rsidRDefault="00000000">
            <w:pPr>
              <w:spacing w:after="0" w:line="240" w:lineRule="auto"/>
            </w:pPr>
            <w:r>
              <w:rPr>
                <w:sz w:val="15"/>
              </w:rPr>
              <w:t>What evidence and staffing will VARA expect for a Month-12 application?</w:t>
            </w:r>
          </w:p>
        </w:tc>
        <w:tc>
          <w:tcPr>
            <w:tcW w:w="3168" w:type="dxa"/>
            <w:shd w:val="clear" w:color="auto" w:fill="FFF2CC"/>
            <w:tcMar>
              <w:top w:w="100" w:type="dxa"/>
              <w:left w:w="110" w:type="dxa"/>
              <w:bottom w:w="100" w:type="dxa"/>
              <w:right w:w="110" w:type="dxa"/>
            </w:tcMar>
            <w:vAlign w:val="center"/>
          </w:tcPr>
          <w:p w14:paraId="4AC8F74A" w14:textId="77777777" w:rsidR="0014233E" w:rsidRDefault="00000000">
            <w:pPr>
              <w:spacing w:after="0" w:line="240" w:lineRule="auto"/>
            </w:pPr>
            <w:r>
              <w:rPr>
                <w:sz w:val="15"/>
              </w:rPr>
              <w:t>Controls whether the early case is genuinely achievable.</w:t>
            </w:r>
          </w:p>
        </w:tc>
        <w:tc>
          <w:tcPr>
            <w:tcW w:w="2376" w:type="dxa"/>
            <w:shd w:val="clear" w:color="auto" w:fill="FFF2CC"/>
            <w:tcMar>
              <w:top w:w="100" w:type="dxa"/>
              <w:left w:w="110" w:type="dxa"/>
              <w:bottom w:w="100" w:type="dxa"/>
              <w:right w:w="110" w:type="dxa"/>
            </w:tcMar>
            <w:vAlign w:val="center"/>
          </w:tcPr>
          <w:p w14:paraId="1AC3BFA8" w14:textId="77777777" w:rsidR="0014233E" w:rsidRDefault="00000000">
            <w:pPr>
              <w:spacing w:after="0" w:line="240" w:lineRule="auto"/>
            </w:pPr>
            <w:r>
              <w:rPr>
                <w:sz w:val="15"/>
              </w:rPr>
              <w:t>Initial Disclosure Questionnaire feedback and adviser readiness review</w:t>
            </w:r>
          </w:p>
        </w:tc>
      </w:tr>
    </w:tbl>
    <w:p w14:paraId="206EFD0C" w14:textId="77777777" w:rsidR="0014233E" w:rsidRDefault="0014233E">
      <w:pPr>
        <w:spacing w:after="20"/>
      </w:pPr>
    </w:p>
    <w:p w14:paraId="5CEE7426" w14:textId="77777777" w:rsidR="0014233E" w:rsidRDefault="00000000">
      <w:pPr>
        <w:pStyle w:val="Heading2"/>
      </w:pPr>
      <w:r>
        <w:t>Single most valuable next step</w:t>
      </w:r>
    </w:p>
    <w:tbl>
      <w:tblPr>
        <w:tblW w:w="0" w:type="auto"/>
        <w:jc w:val="center"/>
        <w:tblBorders>
          <w:top w:val="single" w:sz="8" w:space="0" w:color="70AD47"/>
          <w:left w:val="single" w:sz="8" w:space="0" w:color="70AD47"/>
          <w:bottom w:val="single" w:sz="8" w:space="0" w:color="70AD47"/>
          <w:right w:val="single" w:sz="8" w:space="0" w:color="70AD47"/>
        </w:tblBorders>
        <w:tblLayout w:type="fixed"/>
        <w:tblLook w:val="04A0" w:firstRow="1" w:lastRow="0" w:firstColumn="1" w:lastColumn="0" w:noHBand="0" w:noVBand="1"/>
      </w:tblPr>
      <w:tblGrid>
        <w:gridCol w:w="9864"/>
      </w:tblGrid>
      <w:tr w:rsidR="0014233E" w14:paraId="4B21C666" w14:textId="77777777">
        <w:trPr>
          <w:jc w:val="center"/>
        </w:trPr>
        <w:tc>
          <w:tcPr>
            <w:tcW w:w="9864" w:type="dxa"/>
            <w:shd w:val="clear" w:color="auto" w:fill="E2F0D9"/>
            <w:tcMar>
              <w:top w:w="150" w:type="dxa"/>
              <w:left w:w="180" w:type="dxa"/>
              <w:bottom w:w="150" w:type="dxa"/>
              <w:right w:w="180" w:type="dxa"/>
            </w:tcMar>
          </w:tcPr>
          <w:p w14:paraId="42EAB7E3" w14:textId="77777777" w:rsidR="0014233E" w:rsidRDefault="00000000">
            <w:pPr>
              <w:spacing w:after="60"/>
            </w:pPr>
            <w:r>
              <w:rPr>
                <w:rFonts w:ascii="Aptos Display" w:hAnsi="Aptos Display"/>
                <w:b/>
                <w:color w:val="17365D"/>
                <w:sz w:val="22"/>
              </w:rPr>
              <w:t>Commission one integrated UAE perimeter memorandum</w:t>
            </w:r>
          </w:p>
          <w:p w14:paraId="419D5063" w14:textId="77777777" w:rsidR="0014233E" w:rsidRDefault="00000000">
            <w:pPr>
              <w:spacing w:after="0"/>
            </w:pPr>
            <w:r>
              <w:rPr>
                <w:sz w:val="19"/>
              </w:rPr>
              <w:t>The highest-value next step is to provide counsel with the BRD, a smart-contract control/key diagram, the proposed DIFC partner responsibility matrix, the exact USDC/EURC customer flow and the intended VARA entity. The resulting memorandum should map activities across DFSA, VARA and CBUAE and recommend a pre-application engagement plan, resolving the assumptions with the largest effect on timing, capital and launch legality.</w:t>
            </w:r>
          </w:p>
        </w:tc>
      </w:tr>
    </w:tbl>
    <w:p w14:paraId="69C50820" w14:textId="77777777" w:rsidR="0014233E" w:rsidRDefault="0014233E">
      <w:pPr>
        <w:spacing w:after="20"/>
      </w:pPr>
    </w:p>
    <w:p w14:paraId="46D5A1FF" w14:textId="77777777" w:rsidR="0014233E" w:rsidRDefault="00000000">
      <w:pPr>
        <w:pStyle w:val="Heading1"/>
      </w:pPr>
      <w:r>
        <w:t>9. Conclusion</w:t>
      </w:r>
    </w:p>
    <w:p w14:paraId="0CB47C78" w14:textId="77777777" w:rsidR="0014233E" w:rsidRDefault="00000000">
      <w:pPr>
        <w:keepLines/>
      </w:pPr>
      <w:r>
        <w:t>The recommended strategy begins both routes at inception. The DIFC track provides a controlled route to customer validation through an authorised partner, while the VARA track builds Blockmediary’s own platform for wider Dubai scale. The two tracks remain legally and operationally separated: the partner is responsible for the regulated pilot functions, and the VARA applicant is established outside DIFC.</w:t>
      </w:r>
    </w:p>
    <w:p w14:paraId="0317D05A" w14:textId="77777777" w:rsidR="0014233E" w:rsidRDefault="00000000">
      <w:pPr>
        <w:keepLines/>
      </w:pPr>
      <w:r>
        <w:t>For the academic financial model, Month 18 is the strongest base-case full-licence assumption. Month 12 remains a credible early case only with fast perimeter resolution, early entity and personnel readiness, a substantially complete application within the first half-year, and limited regulatory remediation. Month 24 provides a reasonable delayed case.</w:t>
      </w:r>
    </w:p>
    <w:p w14:paraId="43A0CE7C" w14:textId="77777777" w:rsidR="0014233E" w:rsidRDefault="00000000">
      <w:pPr>
        <w:keepLines/>
      </w:pPr>
      <w:r>
        <w:t>The report’s central caveat is that the exact VARA activity set and CBUAE treatment are not yet settled. Transfer and Settlement appears most closely aligned; Custody depends on actual control; Broker-Dealer is not demonstrated by the current physical-goods business model. The financial model represents this uncertainty through clear scenarios rather than one apparently precise cost figure.</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951"/>
        <w:gridCol w:w="4824"/>
        <w:gridCol w:w="1944"/>
      </w:tblGrid>
      <w:tr w:rsidR="0014233E" w14:paraId="6FD49287" w14:textId="77777777">
        <w:trPr>
          <w:cantSplit/>
          <w:tblHeader/>
          <w:jc w:val="center"/>
        </w:trPr>
        <w:tc>
          <w:tcPr>
            <w:tcW w:w="2951" w:type="dxa"/>
            <w:shd w:val="clear" w:color="auto" w:fill="17365D"/>
            <w:tcMar>
              <w:top w:w="100" w:type="dxa"/>
              <w:left w:w="110" w:type="dxa"/>
              <w:bottom w:w="100" w:type="dxa"/>
              <w:right w:w="110" w:type="dxa"/>
            </w:tcMar>
            <w:vAlign w:val="center"/>
          </w:tcPr>
          <w:p w14:paraId="0B1E30F6" w14:textId="77777777" w:rsidR="0014233E" w:rsidRDefault="00000000">
            <w:pPr>
              <w:spacing w:after="0" w:line="240" w:lineRule="auto"/>
              <w:jc w:val="center"/>
            </w:pPr>
            <w:r>
              <w:rPr>
                <w:b/>
                <w:color w:val="FFFFFF"/>
                <w:sz w:val="16"/>
              </w:rPr>
              <w:t>Decision</w:t>
            </w:r>
          </w:p>
        </w:tc>
        <w:tc>
          <w:tcPr>
            <w:tcW w:w="4824" w:type="dxa"/>
            <w:shd w:val="clear" w:color="auto" w:fill="17365D"/>
            <w:tcMar>
              <w:top w:w="100" w:type="dxa"/>
              <w:left w:w="110" w:type="dxa"/>
              <w:bottom w:w="100" w:type="dxa"/>
              <w:right w:w="110" w:type="dxa"/>
            </w:tcMar>
            <w:vAlign w:val="center"/>
          </w:tcPr>
          <w:p w14:paraId="2049038B" w14:textId="77777777" w:rsidR="0014233E" w:rsidRDefault="00000000">
            <w:pPr>
              <w:spacing w:after="0" w:line="240" w:lineRule="auto"/>
              <w:jc w:val="center"/>
            </w:pPr>
            <w:r>
              <w:rPr>
                <w:b/>
                <w:color w:val="FFFFFF"/>
                <w:sz w:val="16"/>
              </w:rPr>
              <w:t>Recommended assumption</w:t>
            </w:r>
          </w:p>
        </w:tc>
        <w:tc>
          <w:tcPr>
            <w:tcW w:w="1944" w:type="dxa"/>
            <w:shd w:val="clear" w:color="auto" w:fill="17365D"/>
            <w:tcMar>
              <w:top w:w="100" w:type="dxa"/>
              <w:left w:w="110" w:type="dxa"/>
              <w:bottom w:w="100" w:type="dxa"/>
              <w:right w:w="110" w:type="dxa"/>
            </w:tcMar>
            <w:vAlign w:val="center"/>
          </w:tcPr>
          <w:p w14:paraId="2C19AB7D" w14:textId="77777777" w:rsidR="0014233E" w:rsidRDefault="00000000">
            <w:pPr>
              <w:spacing w:after="0" w:line="240" w:lineRule="auto"/>
              <w:jc w:val="center"/>
            </w:pPr>
            <w:r>
              <w:rPr>
                <w:b/>
                <w:color w:val="FFFFFF"/>
                <w:sz w:val="16"/>
              </w:rPr>
              <w:t>Confidence</w:t>
            </w:r>
          </w:p>
        </w:tc>
      </w:tr>
      <w:tr w:rsidR="0014233E" w14:paraId="02C6A2E7" w14:textId="77777777">
        <w:trPr>
          <w:cantSplit/>
          <w:jc w:val="center"/>
        </w:trPr>
        <w:tc>
          <w:tcPr>
            <w:tcW w:w="2951" w:type="dxa"/>
            <w:shd w:val="clear" w:color="auto" w:fill="E2F0D9"/>
            <w:tcMar>
              <w:top w:w="100" w:type="dxa"/>
              <w:left w:w="110" w:type="dxa"/>
              <w:bottom w:w="100" w:type="dxa"/>
              <w:right w:w="110" w:type="dxa"/>
            </w:tcMar>
            <w:vAlign w:val="center"/>
          </w:tcPr>
          <w:p w14:paraId="4906471E" w14:textId="77777777" w:rsidR="0014233E" w:rsidRDefault="00000000">
            <w:pPr>
              <w:spacing w:after="0" w:line="240" w:lineRule="auto"/>
            </w:pPr>
            <w:r>
              <w:rPr>
                <w:b/>
                <w:color w:val="17365D"/>
                <w:sz w:val="16"/>
              </w:rPr>
              <w:t>Start both workstreams</w:t>
            </w:r>
          </w:p>
        </w:tc>
        <w:tc>
          <w:tcPr>
            <w:tcW w:w="4824" w:type="dxa"/>
            <w:shd w:val="clear" w:color="auto" w:fill="E2F0D9"/>
            <w:tcMar>
              <w:top w:w="100" w:type="dxa"/>
              <w:left w:w="110" w:type="dxa"/>
              <w:bottom w:w="100" w:type="dxa"/>
              <w:right w:w="110" w:type="dxa"/>
            </w:tcMar>
            <w:vAlign w:val="center"/>
          </w:tcPr>
          <w:p w14:paraId="10E33054" w14:textId="77777777" w:rsidR="0014233E" w:rsidRDefault="00000000">
            <w:pPr>
              <w:spacing w:after="0" w:line="240" w:lineRule="auto"/>
            </w:pPr>
            <w:r>
              <w:rPr>
                <w:sz w:val="16"/>
              </w:rPr>
              <w:t>Month 1</w:t>
            </w:r>
          </w:p>
        </w:tc>
        <w:tc>
          <w:tcPr>
            <w:tcW w:w="1944" w:type="dxa"/>
            <w:shd w:val="clear" w:color="auto" w:fill="E2F0D9"/>
            <w:tcMar>
              <w:top w:w="100" w:type="dxa"/>
              <w:left w:w="110" w:type="dxa"/>
              <w:bottom w:w="100" w:type="dxa"/>
              <w:right w:w="110" w:type="dxa"/>
            </w:tcMar>
            <w:vAlign w:val="center"/>
          </w:tcPr>
          <w:p w14:paraId="76C1C59A" w14:textId="77777777" w:rsidR="0014233E" w:rsidRDefault="00000000">
            <w:pPr>
              <w:spacing w:after="0" w:line="240" w:lineRule="auto"/>
            </w:pPr>
            <w:r>
              <w:rPr>
                <w:sz w:val="16"/>
              </w:rPr>
              <w:t>High</w:t>
            </w:r>
          </w:p>
        </w:tc>
      </w:tr>
      <w:tr w:rsidR="0014233E" w14:paraId="5898F826" w14:textId="77777777">
        <w:trPr>
          <w:cantSplit/>
          <w:jc w:val="center"/>
        </w:trPr>
        <w:tc>
          <w:tcPr>
            <w:tcW w:w="2951" w:type="dxa"/>
            <w:shd w:val="clear" w:color="auto" w:fill="E2F0D9"/>
            <w:tcMar>
              <w:top w:w="100" w:type="dxa"/>
              <w:left w:w="110" w:type="dxa"/>
              <w:bottom w:w="100" w:type="dxa"/>
              <w:right w:w="110" w:type="dxa"/>
            </w:tcMar>
            <w:vAlign w:val="center"/>
          </w:tcPr>
          <w:p w14:paraId="1964386F" w14:textId="77777777" w:rsidR="0014233E" w:rsidRDefault="00000000">
            <w:pPr>
              <w:spacing w:after="0" w:line="240" w:lineRule="auto"/>
            </w:pPr>
            <w:r>
              <w:rPr>
                <w:b/>
                <w:color w:val="17365D"/>
                <w:sz w:val="16"/>
              </w:rPr>
              <w:t>First paid partner-led pilot</w:t>
            </w:r>
          </w:p>
        </w:tc>
        <w:tc>
          <w:tcPr>
            <w:tcW w:w="4824" w:type="dxa"/>
            <w:shd w:val="clear" w:color="auto" w:fill="E2F0D9"/>
            <w:tcMar>
              <w:top w:w="100" w:type="dxa"/>
              <w:left w:w="110" w:type="dxa"/>
              <w:bottom w:w="100" w:type="dxa"/>
              <w:right w:w="110" w:type="dxa"/>
            </w:tcMar>
            <w:vAlign w:val="center"/>
          </w:tcPr>
          <w:p w14:paraId="34D5BCDD" w14:textId="77777777" w:rsidR="0014233E" w:rsidRDefault="00000000">
            <w:pPr>
              <w:spacing w:after="0" w:line="240" w:lineRule="auto"/>
            </w:pPr>
            <w:r>
              <w:rPr>
                <w:sz w:val="16"/>
              </w:rPr>
              <w:t>Month 12 base</w:t>
            </w:r>
          </w:p>
        </w:tc>
        <w:tc>
          <w:tcPr>
            <w:tcW w:w="1944" w:type="dxa"/>
            <w:shd w:val="clear" w:color="auto" w:fill="E2F0D9"/>
            <w:tcMar>
              <w:top w:w="100" w:type="dxa"/>
              <w:left w:w="110" w:type="dxa"/>
              <w:bottom w:w="100" w:type="dxa"/>
              <w:right w:w="110" w:type="dxa"/>
            </w:tcMar>
            <w:vAlign w:val="center"/>
          </w:tcPr>
          <w:p w14:paraId="06BB4028" w14:textId="77777777" w:rsidR="0014233E" w:rsidRDefault="00000000">
            <w:pPr>
              <w:spacing w:after="0" w:line="240" w:lineRule="auto"/>
            </w:pPr>
            <w:r>
              <w:rPr>
                <w:sz w:val="16"/>
              </w:rPr>
              <w:t>Medium</w:t>
            </w:r>
          </w:p>
        </w:tc>
      </w:tr>
      <w:tr w:rsidR="0014233E" w14:paraId="0F588C76" w14:textId="77777777">
        <w:trPr>
          <w:cantSplit/>
          <w:jc w:val="center"/>
        </w:trPr>
        <w:tc>
          <w:tcPr>
            <w:tcW w:w="2951" w:type="dxa"/>
            <w:shd w:val="clear" w:color="auto" w:fill="E2F0D9"/>
            <w:tcMar>
              <w:top w:w="100" w:type="dxa"/>
              <w:left w:w="110" w:type="dxa"/>
              <w:bottom w:w="100" w:type="dxa"/>
              <w:right w:w="110" w:type="dxa"/>
            </w:tcMar>
            <w:vAlign w:val="center"/>
          </w:tcPr>
          <w:p w14:paraId="7F74BDCA" w14:textId="77777777" w:rsidR="0014233E" w:rsidRDefault="00000000">
            <w:pPr>
              <w:spacing w:after="0" w:line="240" w:lineRule="auto"/>
            </w:pPr>
            <w:r>
              <w:rPr>
                <w:b/>
                <w:color w:val="17365D"/>
                <w:sz w:val="16"/>
              </w:rPr>
              <w:t>Full VARA licence</w:t>
            </w:r>
          </w:p>
        </w:tc>
        <w:tc>
          <w:tcPr>
            <w:tcW w:w="4824" w:type="dxa"/>
            <w:shd w:val="clear" w:color="auto" w:fill="E2F0D9"/>
            <w:tcMar>
              <w:top w:w="100" w:type="dxa"/>
              <w:left w:w="110" w:type="dxa"/>
              <w:bottom w:w="100" w:type="dxa"/>
              <w:right w:w="110" w:type="dxa"/>
            </w:tcMar>
            <w:vAlign w:val="center"/>
          </w:tcPr>
          <w:p w14:paraId="3CA1F57B" w14:textId="77777777" w:rsidR="0014233E" w:rsidRDefault="00000000">
            <w:pPr>
              <w:spacing w:after="0" w:line="240" w:lineRule="auto"/>
            </w:pPr>
            <w:r>
              <w:rPr>
                <w:sz w:val="16"/>
              </w:rPr>
              <w:t>Month 18 base; M12 early; M24 delayed</w:t>
            </w:r>
          </w:p>
        </w:tc>
        <w:tc>
          <w:tcPr>
            <w:tcW w:w="1944" w:type="dxa"/>
            <w:shd w:val="clear" w:color="auto" w:fill="E2F0D9"/>
            <w:tcMar>
              <w:top w:w="100" w:type="dxa"/>
              <w:left w:w="110" w:type="dxa"/>
              <w:bottom w:w="100" w:type="dxa"/>
              <w:right w:w="110" w:type="dxa"/>
            </w:tcMar>
            <w:vAlign w:val="center"/>
          </w:tcPr>
          <w:p w14:paraId="2C533658" w14:textId="77777777" w:rsidR="0014233E" w:rsidRDefault="00000000">
            <w:pPr>
              <w:spacing w:after="0" w:line="240" w:lineRule="auto"/>
            </w:pPr>
            <w:r>
              <w:rPr>
                <w:sz w:val="16"/>
              </w:rPr>
              <w:t>Medium</w:t>
            </w:r>
          </w:p>
        </w:tc>
      </w:tr>
      <w:tr w:rsidR="0014233E" w14:paraId="29468603" w14:textId="77777777">
        <w:trPr>
          <w:cantSplit/>
          <w:jc w:val="center"/>
        </w:trPr>
        <w:tc>
          <w:tcPr>
            <w:tcW w:w="2951" w:type="dxa"/>
            <w:shd w:val="clear" w:color="auto" w:fill="FFF2CC"/>
            <w:tcMar>
              <w:top w:w="100" w:type="dxa"/>
              <w:left w:w="110" w:type="dxa"/>
              <w:bottom w:w="100" w:type="dxa"/>
              <w:right w:w="110" w:type="dxa"/>
            </w:tcMar>
            <w:vAlign w:val="center"/>
          </w:tcPr>
          <w:p w14:paraId="53115113" w14:textId="77777777" w:rsidR="0014233E" w:rsidRDefault="00000000">
            <w:pPr>
              <w:spacing w:after="0" w:line="240" w:lineRule="auto"/>
            </w:pPr>
            <w:r>
              <w:rPr>
                <w:b/>
                <w:color w:val="17365D"/>
                <w:sz w:val="16"/>
              </w:rPr>
              <w:t>Primary VARA activity</w:t>
            </w:r>
          </w:p>
        </w:tc>
        <w:tc>
          <w:tcPr>
            <w:tcW w:w="4824" w:type="dxa"/>
            <w:shd w:val="clear" w:color="auto" w:fill="FFF2CC"/>
            <w:tcMar>
              <w:top w:w="100" w:type="dxa"/>
              <w:left w:w="110" w:type="dxa"/>
              <w:bottom w:w="100" w:type="dxa"/>
              <w:right w:w="110" w:type="dxa"/>
            </w:tcMar>
            <w:vAlign w:val="center"/>
          </w:tcPr>
          <w:p w14:paraId="5A60274F" w14:textId="77777777" w:rsidR="0014233E" w:rsidRDefault="00000000">
            <w:pPr>
              <w:spacing w:after="0" w:line="240" w:lineRule="auto"/>
            </w:pPr>
            <w:r>
              <w:rPr>
                <w:sz w:val="16"/>
              </w:rPr>
              <w:t>Transfer and Settlement — subject to confirmation</w:t>
            </w:r>
          </w:p>
        </w:tc>
        <w:tc>
          <w:tcPr>
            <w:tcW w:w="1944" w:type="dxa"/>
            <w:shd w:val="clear" w:color="auto" w:fill="FFF2CC"/>
            <w:tcMar>
              <w:top w:w="100" w:type="dxa"/>
              <w:left w:w="110" w:type="dxa"/>
              <w:bottom w:w="100" w:type="dxa"/>
              <w:right w:w="110" w:type="dxa"/>
            </w:tcMar>
            <w:vAlign w:val="center"/>
          </w:tcPr>
          <w:p w14:paraId="35D0E0A2" w14:textId="77777777" w:rsidR="0014233E" w:rsidRDefault="00000000">
            <w:pPr>
              <w:spacing w:after="0" w:line="240" w:lineRule="auto"/>
            </w:pPr>
            <w:r>
              <w:rPr>
                <w:sz w:val="16"/>
              </w:rPr>
              <w:t>Medium-low</w:t>
            </w:r>
          </w:p>
        </w:tc>
      </w:tr>
      <w:tr w:rsidR="0014233E" w14:paraId="0DE65167" w14:textId="77777777">
        <w:trPr>
          <w:cantSplit/>
          <w:jc w:val="center"/>
        </w:trPr>
        <w:tc>
          <w:tcPr>
            <w:tcW w:w="2951" w:type="dxa"/>
            <w:shd w:val="clear" w:color="auto" w:fill="FCE4D6"/>
            <w:tcMar>
              <w:top w:w="100" w:type="dxa"/>
              <w:left w:w="110" w:type="dxa"/>
              <w:bottom w:w="100" w:type="dxa"/>
              <w:right w:w="110" w:type="dxa"/>
            </w:tcMar>
            <w:vAlign w:val="center"/>
          </w:tcPr>
          <w:p w14:paraId="118FEECB" w14:textId="77777777" w:rsidR="0014233E" w:rsidRDefault="00000000">
            <w:pPr>
              <w:spacing w:after="0" w:line="240" w:lineRule="auto"/>
            </w:pPr>
            <w:r>
              <w:rPr>
                <w:b/>
                <w:color w:val="17365D"/>
                <w:sz w:val="16"/>
              </w:rPr>
              <w:t>Custody permission</w:t>
            </w:r>
          </w:p>
        </w:tc>
        <w:tc>
          <w:tcPr>
            <w:tcW w:w="4824" w:type="dxa"/>
            <w:shd w:val="clear" w:color="auto" w:fill="FCE4D6"/>
            <w:tcMar>
              <w:top w:w="100" w:type="dxa"/>
              <w:left w:w="110" w:type="dxa"/>
              <w:bottom w:w="100" w:type="dxa"/>
              <w:right w:w="110" w:type="dxa"/>
            </w:tcMar>
            <w:vAlign w:val="center"/>
          </w:tcPr>
          <w:p w14:paraId="59C8A315" w14:textId="77777777" w:rsidR="0014233E" w:rsidRDefault="00000000">
            <w:pPr>
              <w:spacing w:after="0" w:line="240" w:lineRule="auto"/>
            </w:pPr>
            <w:r>
              <w:rPr>
                <w:sz w:val="16"/>
              </w:rPr>
              <w:t>Conditional on control analysis</w:t>
            </w:r>
          </w:p>
        </w:tc>
        <w:tc>
          <w:tcPr>
            <w:tcW w:w="1944" w:type="dxa"/>
            <w:shd w:val="clear" w:color="auto" w:fill="FCE4D6"/>
            <w:tcMar>
              <w:top w:w="100" w:type="dxa"/>
              <w:left w:w="110" w:type="dxa"/>
              <w:bottom w:w="100" w:type="dxa"/>
              <w:right w:w="110" w:type="dxa"/>
            </w:tcMar>
            <w:vAlign w:val="center"/>
          </w:tcPr>
          <w:p w14:paraId="01254575" w14:textId="77777777" w:rsidR="0014233E" w:rsidRDefault="00000000">
            <w:pPr>
              <w:spacing w:after="0" w:line="240" w:lineRule="auto"/>
            </w:pPr>
            <w:r>
              <w:rPr>
                <w:sz w:val="16"/>
              </w:rPr>
              <w:t>Low until opinion</w:t>
            </w:r>
          </w:p>
        </w:tc>
      </w:tr>
      <w:tr w:rsidR="0014233E" w14:paraId="6D7AD5AA" w14:textId="77777777">
        <w:trPr>
          <w:cantSplit/>
          <w:jc w:val="center"/>
        </w:trPr>
        <w:tc>
          <w:tcPr>
            <w:tcW w:w="2951" w:type="dxa"/>
            <w:shd w:val="clear" w:color="auto" w:fill="FFF2CC"/>
            <w:tcMar>
              <w:top w:w="100" w:type="dxa"/>
              <w:left w:w="110" w:type="dxa"/>
              <w:bottom w:w="100" w:type="dxa"/>
              <w:right w:w="110" w:type="dxa"/>
            </w:tcMar>
            <w:vAlign w:val="center"/>
          </w:tcPr>
          <w:p w14:paraId="57CDA33A" w14:textId="77777777" w:rsidR="0014233E" w:rsidRDefault="00000000">
            <w:pPr>
              <w:spacing w:after="0" w:line="240" w:lineRule="auto"/>
            </w:pPr>
            <w:r>
              <w:rPr>
                <w:b/>
                <w:color w:val="17365D"/>
                <w:sz w:val="16"/>
              </w:rPr>
              <w:t>Broker-Dealer permission</w:t>
            </w:r>
          </w:p>
        </w:tc>
        <w:tc>
          <w:tcPr>
            <w:tcW w:w="4824" w:type="dxa"/>
            <w:shd w:val="clear" w:color="auto" w:fill="FFF2CC"/>
            <w:tcMar>
              <w:top w:w="100" w:type="dxa"/>
              <w:left w:w="110" w:type="dxa"/>
              <w:bottom w:w="100" w:type="dxa"/>
              <w:right w:w="110" w:type="dxa"/>
            </w:tcMar>
            <w:vAlign w:val="center"/>
          </w:tcPr>
          <w:p w14:paraId="06FBC001" w14:textId="77777777" w:rsidR="0014233E" w:rsidRDefault="00000000">
            <w:pPr>
              <w:spacing w:after="0" w:line="240" w:lineRule="auto"/>
            </w:pPr>
            <w:r>
              <w:rPr>
                <w:sz w:val="16"/>
              </w:rPr>
              <w:t>Do not assume required</w:t>
            </w:r>
          </w:p>
        </w:tc>
        <w:tc>
          <w:tcPr>
            <w:tcW w:w="1944" w:type="dxa"/>
            <w:shd w:val="clear" w:color="auto" w:fill="FFF2CC"/>
            <w:tcMar>
              <w:top w:w="100" w:type="dxa"/>
              <w:left w:w="110" w:type="dxa"/>
              <w:bottom w:w="100" w:type="dxa"/>
              <w:right w:w="110" w:type="dxa"/>
            </w:tcMar>
            <w:vAlign w:val="center"/>
          </w:tcPr>
          <w:p w14:paraId="03018C95" w14:textId="77777777" w:rsidR="0014233E" w:rsidRDefault="00000000">
            <w:pPr>
              <w:spacing w:after="0" w:line="240" w:lineRule="auto"/>
            </w:pPr>
            <w:r>
              <w:rPr>
                <w:sz w:val="16"/>
              </w:rPr>
              <w:t>Medium-low</w:t>
            </w:r>
          </w:p>
        </w:tc>
      </w:tr>
      <w:tr w:rsidR="0014233E" w14:paraId="17F668EF" w14:textId="77777777">
        <w:trPr>
          <w:cantSplit/>
          <w:jc w:val="center"/>
        </w:trPr>
        <w:tc>
          <w:tcPr>
            <w:tcW w:w="2951" w:type="dxa"/>
            <w:shd w:val="clear" w:color="auto" w:fill="FCE4D6"/>
            <w:tcMar>
              <w:top w:w="100" w:type="dxa"/>
              <w:left w:w="110" w:type="dxa"/>
              <w:bottom w:w="100" w:type="dxa"/>
              <w:right w:w="110" w:type="dxa"/>
            </w:tcMar>
            <w:vAlign w:val="center"/>
          </w:tcPr>
          <w:p w14:paraId="1C63DB0A" w14:textId="77777777" w:rsidR="0014233E" w:rsidRDefault="00000000">
            <w:pPr>
              <w:spacing w:after="0" w:line="240" w:lineRule="auto"/>
            </w:pPr>
            <w:r>
              <w:rPr>
                <w:b/>
                <w:color w:val="17365D"/>
                <w:sz w:val="16"/>
              </w:rPr>
              <w:t>CBUAE treatment</w:t>
            </w:r>
          </w:p>
        </w:tc>
        <w:tc>
          <w:tcPr>
            <w:tcW w:w="4824" w:type="dxa"/>
            <w:shd w:val="clear" w:color="auto" w:fill="FCE4D6"/>
            <w:tcMar>
              <w:top w:w="100" w:type="dxa"/>
              <w:left w:w="110" w:type="dxa"/>
              <w:bottom w:w="100" w:type="dxa"/>
              <w:right w:w="110" w:type="dxa"/>
            </w:tcMar>
            <w:vAlign w:val="center"/>
          </w:tcPr>
          <w:p w14:paraId="3DD6D7FD" w14:textId="77777777" w:rsidR="0014233E" w:rsidRDefault="00000000">
            <w:pPr>
              <w:spacing w:after="0" w:line="240" w:lineRule="auto"/>
            </w:pPr>
            <w:r>
              <w:rPr>
                <w:sz w:val="16"/>
              </w:rPr>
              <w:t>Hard legal gate before live UAE stablecoin settlement</w:t>
            </w:r>
          </w:p>
        </w:tc>
        <w:tc>
          <w:tcPr>
            <w:tcW w:w="1944" w:type="dxa"/>
            <w:shd w:val="clear" w:color="auto" w:fill="FCE4D6"/>
            <w:tcMar>
              <w:top w:w="100" w:type="dxa"/>
              <w:left w:w="110" w:type="dxa"/>
              <w:bottom w:w="100" w:type="dxa"/>
              <w:right w:w="110" w:type="dxa"/>
            </w:tcMar>
            <w:vAlign w:val="center"/>
          </w:tcPr>
          <w:p w14:paraId="7628D814" w14:textId="77777777" w:rsidR="0014233E" w:rsidRDefault="00000000">
            <w:pPr>
              <w:spacing w:after="0" w:line="240" w:lineRule="auto"/>
            </w:pPr>
            <w:r>
              <w:rPr>
                <w:sz w:val="16"/>
              </w:rPr>
              <w:t>Low until opinion</w:t>
            </w:r>
          </w:p>
        </w:tc>
      </w:tr>
    </w:tbl>
    <w:p w14:paraId="6324616E" w14:textId="77777777" w:rsidR="0014233E" w:rsidRDefault="0014233E">
      <w:pPr>
        <w:spacing w:after="20"/>
      </w:pPr>
    </w:p>
    <w:p w14:paraId="05BA932E" w14:textId="77777777" w:rsidR="0014233E" w:rsidRDefault="00000000">
      <w:pPr>
        <w:pStyle w:val="Heading1"/>
      </w:pPr>
      <w:r>
        <w:t>References</w:t>
      </w:r>
    </w:p>
    <w:p w14:paraId="61ACF37F" w14:textId="77777777" w:rsidR="0014233E" w:rsidRDefault="00000000">
      <w:pPr>
        <w:keepLines/>
      </w:pPr>
      <w:r>
        <w:t>Official sources were prioritised. All web sources were accessed on 12 August 2026. Internal materials are cited as planning sources, not as legal authorities.</w:t>
      </w:r>
    </w:p>
    <w:p w14:paraId="43063A49" w14:textId="77777777" w:rsidR="0014233E" w:rsidRDefault="00000000">
      <w:pPr>
        <w:spacing w:after="80"/>
        <w:ind w:left="259" w:hanging="259"/>
      </w:pPr>
      <w:r>
        <w:rPr>
          <w:b/>
          <w:color w:val="17365D"/>
        </w:rPr>
        <w:t>[1] Blockmediary / Transakt. Business Requirements Document — Blockmediary, version 1.0, 9 August 2026. Internal project source.</w:t>
      </w:r>
    </w:p>
    <w:p w14:paraId="60F6D29E" w14:textId="77777777" w:rsidR="0014233E" w:rsidRDefault="00000000">
      <w:pPr>
        <w:spacing w:after="80"/>
        <w:ind w:left="259" w:hanging="259"/>
      </w:pPr>
      <w:r>
        <w:rPr>
          <w:b/>
          <w:color w:val="17365D"/>
        </w:rPr>
        <w:t>[2] Blockmediary / Transakt. Blockmediary Financial Model — Launch Readiness tab, 12 August 2026. Internal project planning workbook.</w:t>
      </w:r>
    </w:p>
    <w:p w14:paraId="77FAD7E7" w14:textId="77777777" w:rsidR="0014233E" w:rsidRDefault="00000000">
      <w:pPr>
        <w:spacing w:after="80"/>
        <w:ind w:left="259" w:hanging="259"/>
      </w:pPr>
      <w:r>
        <w:rPr>
          <w:b/>
          <w:color w:val="17365D"/>
        </w:rPr>
        <w:t xml:space="preserve">[3] </w:t>
      </w:r>
      <w:r>
        <w:t xml:space="preserve">Dubai International Financial Centre. Innovation Licence. </w:t>
      </w:r>
      <w:hyperlink r:id="rId8">
        <w:r>
          <w:rPr>
            <w:color w:val="0563C1"/>
            <w:u w:val="single"/>
          </w:rPr>
          <w:t>https://www.difc.com/business/establish-a-business/innovation-licence</w:t>
        </w:r>
      </w:hyperlink>
    </w:p>
    <w:p w14:paraId="6D39B752" w14:textId="77777777" w:rsidR="0014233E" w:rsidRDefault="00000000">
      <w:pPr>
        <w:spacing w:after="80"/>
        <w:ind w:left="259" w:hanging="259"/>
      </w:pPr>
      <w:r>
        <w:rPr>
          <w:b/>
          <w:color w:val="17365D"/>
        </w:rPr>
        <w:t xml:space="preserve">[4] </w:t>
      </w:r>
      <w:r>
        <w:t xml:space="preserve">Dubai International Financial Centre. Registrar of Companies — Commercial Licence. </w:t>
      </w:r>
      <w:hyperlink r:id="rId9">
        <w:r>
          <w:rPr>
            <w:color w:val="0563C1"/>
            <w:u w:val="single"/>
          </w:rPr>
          <w:t>https://www.difc.com/business/registrars-and-commissioners/registrar-of-companies</w:t>
        </w:r>
      </w:hyperlink>
    </w:p>
    <w:p w14:paraId="5A3AAF1C" w14:textId="77777777" w:rsidR="0014233E" w:rsidRDefault="00000000">
      <w:pPr>
        <w:spacing w:after="80"/>
        <w:ind w:left="259" w:hanging="259"/>
      </w:pPr>
      <w:r>
        <w:rPr>
          <w:b/>
          <w:color w:val="17365D"/>
        </w:rPr>
        <w:t xml:space="preserve">[5] </w:t>
      </w:r>
      <w:r>
        <w:t xml:space="preserve">Dubai Financial Services Authority. Authorisation Services: Overview. </w:t>
      </w:r>
      <w:hyperlink r:id="rId10">
        <w:r>
          <w:rPr>
            <w:color w:val="0563C1"/>
            <w:u w:val="single"/>
          </w:rPr>
          <w:t>https://www.dfsa.ae/what-we-do/authorisation-services/overview</w:t>
        </w:r>
      </w:hyperlink>
    </w:p>
    <w:p w14:paraId="185CBBC9" w14:textId="77777777" w:rsidR="0014233E" w:rsidRDefault="00000000">
      <w:pPr>
        <w:spacing w:after="80"/>
        <w:ind w:left="259" w:hanging="259"/>
      </w:pPr>
      <w:r>
        <w:rPr>
          <w:b/>
          <w:color w:val="17365D"/>
        </w:rPr>
        <w:t xml:space="preserve">[6] </w:t>
      </w:r>
      <w:r>
        <w:t xml:space="preserve">Dubai Financial Services Authority Rulebook. GEN 5.3.21–5.3.22: Outsourcing. </w:t>
      </w:r>
      <w:hyperlink r:id="rId11">
        <w:r>
          <w:rPr>
            <w:color w:val="0563C1"/>
            <w:u w:val="single"/>
          </w:rPr>
          <w:t>https://dfsaen.thomsonreuters.com/entiresection/2033</w:t>
        </w:r>
      </w:hyperlink>
    </w:p>
    <w:p w14:paraId="389CD61A" w14:textId="77777777" w:rsidR="0014233E" w:rsidRDefault="00000000">
      <w:pPr>
        <w:spacing w:after="80"/>
        <w:ind w:left="259" w:hanging="259"/>
      </w:pPr>
      <w:r>
        <w:rPr>
          <w:b/>
          <w:color w:val="17365D"/>
        </w:rPr>
        <w:t xml:space="preserve">[7] </w:t>
      </w:r>
      <w:r>
        <w:t xml:space="preserve">Dubai Financial Services Authority. Crypto Token Regulation — Applying for Authorisation. </w:t>
      </w:r>
      <w:hyperlink r:id="rId12">
        <w:r>
          <w:rPr>
            <w:color w:val="0563C1"/>
            <w:u w:val="single"/>
          </w:rPr>
          <w:t>https://www.dfsa.ae/crypto</w:t>
        </w:r>
      </w:hyperlink>
    </w:p>
    <w:p w14:paraId="73CE733E" w14:textId="77777777" w:rsidR="0014233E" w:rsidRDefault="00000000">
      <w:pPr>
        <w:spacing w:after="80"/>
        <w:ind w:left="259" w:hanging="259"/>
      </w:pPr>
      <w:r>
        <w:rPr>
          <w:b/>
          <w:color w:val="17365D"/>
        </w:rPr>
        <w:t xml:space="preserve">[8] </w:t>
      </w:r>
      <w:r>
        <w:t xml:space="preserve">Dubai International Financial Centre. Data Protection Law No. 5 of 2020 and notification requirements. </w:t>
      </w:r>
      <w:hyperlink r:id="rId13">
        <w:r>
          <w:rPr>
            <w:color w:val="0563C1"/>
            <w:u w:val="single"/>
          </w:rPr>
          <w:t>https://www.difc.com/business/laws-and-regulations/legal-database/difc-laws/data-protection-law-difc-law-no-5-2020</w:t>
        </w:r>
      </w:hyperlink>
    </w:p>
    <w:p w14:paraId="5227FC85" w14:textId="77777777" w:rsidR="0014233E" w:rsidRDefault="00000000">
      <w:pPr>
        <w:spacing w:after="80"/>
        <w:ind w:left="259" w:hanging="259"/>
      </w:pPr>
      <w:r>
        <w:rPr>
          <w:b/>
          <w:color w:val="17365D"/>
        </w:rPr>
        <w:t xml:space="preserve">[9] </w:t>
      </w:r>
      <w:r>
        <w:t xml:space="preserve">Virtual Assets Regulatory Authority. Licence Applications. </w:t>
      </w:r>
      <w:hyperlink r:id="rId14">
        <w:r>
          <w:rPr>
            <w:color w:val="0563C1"/>
            <w:u w:val="single"/>
          </w:rPr>
          <w:t>https://www.vara.ae/en/licenses-and-register/licence-applications/</w:t>
        </w:r>
      </w:hyperlink>
    </w:p>
    <w:p w14:paraId="630F62D7" w14:textId="77777777" w:rsidR="0014233E" w:rsidRDefault="00000000">
      <w:pPr>
        <w:spacing w:after="80"/>
        <w:ind w:left="259" w:hanging="259"/>
      </w:pPr>
      <w:r>
        <w:rPr>
          <w:b/>
          <w:color w:val="17365D"/>
        </w:rPr>
        <w:t xml:space="preserve">[10] </w:t>
      </w:r>
      <w:r>
        <w:t xml:space="preserve">Virtual Assets Regulatory Authority. Licensed Activities and FAQs. </w:t>
      </w:r>
      <w:hyperlink r:id="rId15">
        <w:r>
          <w:rPr>
            <w:color w:val="0563C1"/>
            <w:u w:val="single"/>
          </w:rPr>
          <w:t>https://www.vara.ae/en/faq/</w:t>
        </w:r>
      </w:hyperlink>
    </w:p>
    <w:p w14:paraId="604FBADB" w14:textId="77777777" w:rsidR="0014233E" w:rsidRDefault="00000000">
      <w:pPr>
        <w:spacing w:after="80"/>
        <w:ind w:left="259" w:hanging="259"/>
      </w:pPr>
      <w:r>
        <w:rPr>
          <w:b/>
          <w:color w:val="17365D"/>
        </w:rPr>
        <w:t xml:space="preserve">[11] </w:t>
      </w:r>
      <w:r>
        <w:t xml:space="preserve">Virtual Assets Regulatory Authority Rulebook. Schedule 1 — VA Activities. </w:t>
      </w:r>
      <w:hyperlink r:id="rId16">
        <w:r>
          <w:rPr>
            <w:color w:val="0563C1"/>
            <w:u w:val="single"/>
          </w:rPr>
          <w:t>https://rulebooks.vara.ae/rulebook/schedule-1-va-activities</w:t>
        </w:r>
      </w:hyperlink>
    </w:p>
    <w:p w14:paraId="6DC03AD9" w14:textId="77777777" w:rsidR="0014233E" w:rsidRDefault="00000000">
      <w:pPr>
        <w:spacing w:after="80"/>
        <w:ind w:left="259" w:hanging="259"/>
      </w:pPr>
      <w:r>
        <w:rPr>
          <w:b/>
          <w:color w:val="17365D"/>
        </w:rPr>
        <w:t xml:space="preserve">[12] </w:t>
      </w:r>
      <w:r>
        <w:t xml:space="preserve">Virtual Assets Regulatory Authority Rulebook. Schedule 2 — Supervision and Authorisation Fees. </w:t>
      </w:r>
      <w:hyperlink r:id="rId17">
        <w:r>
          <w:rPr>
            <w:color w:val="0563C1"/>
            <w:u w:val="single"/>
          </w:rPr>
          <w:t>https://rulebooks.vara.ae/rulebook/schedule-2-supervision-and-authorisation-fees</w:t>
        </w:r>
      </w:hyperlink>
    </w:p>
    <w:p w14:paraId="029E8821" w14:textId="77777777" w:rsidR="0014233E" w:rsidRDefault="00000000">
      <w:pPr>
        <w:spacing w:after="80"/>
        <w:ind w:left="259" w:hanging="259"/>
      </w:pPr>
      <w:r>
        <w:rPr>
          <w:b/>
          <w:color w:val="17365D"/>
        </w:rPr>
        <w:t xml:space="preserve">[13] </w:t>
      </w:r>
      <w:r>
        <w:t xml:space="preserve">Virtual Assets Regulatory Authority Rulebook. Company Rulebook: Paid-Up Capital and Responsible Individuals. Responsible Individual requirements are also at https://rulebooks.vara.ae/rulebook/c-responsible-individuals. </w:t>
      </w:r>
      <w:hyperlink r:id="rId18">
        <w:r>
          <w:rPr>
            <w:color w:val="0563C1"/>
            <w:u w:val="single"/>
          </w:rPr>
          <w:t>https://rulebooks.vara.ae/rulebook/b-paid-capital</w:t>
        </w:r>
      </w:hyperlink>
    </w:p>
    <w:p w14:paraId="16D8FFAE" w14:textId="77777777" w:rsidR="0014233E" w:rsidRDefault="00000000">
      <w:pPr>
        <w:spacing w:after="80"/>
        <w:ind w:left="259" w:hanging="259"/>
      </w:pPr>
      <w:r>
        <w:rPr>
          <w:b/>
          <w:color w:val="17365D"/>
        </w:rPr>
        <w:t xml:space="preserve">[14] </w:t>
      </w:r>
      <w:r>
        <w:t xml:space="preserve">Virtual Assets Regulatory Authority Rulebook. Custody Services Rulebook: Segregation and Control. </w:t>
      </w:r>
      <w:hyperlink r:id="rId19">
        <w:r>
          <w:rPr>
            <w:color w:val="0563C1"/>
            <w:u w:val="single"/>
          </w:rPr>
          <w:t>https://rulebooks.vara.ae/rulebook/b-segregation-and-control</w:t>
        </w:r>
      </w:hyperlink>
    </w:p>
    <w:p w14:paraId="1DD577B4" w14:textId="77777777" w:rsidR="0014233E" w:rsidRDefault="00000000">
      <w:pPr>
        <w:spacing w:after="80"/>
        <w:ind w:left="259" w:hanging="259"/>
      </w:pPr>
      <w:r>
        <w:rPr>
          <w:b/>
          <w:color w:val="17365D"/>
        </w:rPr>
        <w:t xml:space="preserve">[15] </w:t>
      </w:r>
      <w:r>
        <w:t xml:space="preserve">Virtual Assets Regulatory Authority Rulebook. Technology and Information Rulebook. </w:t>
      </w:r>
      <w:hyperlink r:id="rId20">
        <w:r>
          <w:rPr>
            <w:color w:val="0563C1"/>
            <w:u w:val="single"/>
          </w:rPr>
          <w:t>https://rulebooks.vara.ae/entiresection/189</w:t>
        </w:r>
      </w:hyperlink>
    </w:p>
    <w:p w14:paraId="215DF56E" w14:textId="77777777" w:rsidR="0014233E" w:rsidRDefault="00000000">
      <w:pPr>
        <w:spacing w:after="80"/>
        <w:ind w:left="259" w:hanging="259"/>
      </w:pPr>
      <w:r>
        <w:rPr>
          <w:b/>
          <w:color w:val="17365D"/>
        </w:rPr>
        <w:t xml:space="preserve">[16] </w:t>
      </w:r>
      <w:r>
        <w:t xml:space="preserve">Virtual Assets Regulatory Authority Rulebook. FATF Travel Rule. </w:t>
      </w:r>
      <w:hyperlink r:id="rId21">
        <w:r>
          <w:rPr>
            <w:color w:val="0563C1"/>
            <w:u w:val="single"/>
          </w:rPr>
          <w:t>https://rulebooks.vara.ae/rulebook/g-fatf-travel-rule</w:t>
        </w:r>
      </w:hyperlink>
    </w:p>
    <w:p w14:paraId="2C9D49EA" w14:textId="77777777" w:rsidR="0014233E" w:rsidRDefault="00000000">
      <w:pPr>
        <w:spacing w:after="80"/>
        <w:ind w:left="259" w:hanging="259"/>
      </w:pPr>
      <w:r>
        <w:rPr>
          <w:b/>
          <w:color w:val="17365D"/>
        </w:rPr>
        <w:t xml:space="preserve">[17] </w:t>
      </w:r>
      <w:r>
        <w:t xml:space="preserve">Virtual Assets Regulatory Authority Rulebook. Transfer and Settlement Services Rulebook: General Requirements. </w:t>
      </w:r>
      <w:hyperlink r:id="rId22">
        <w:r>
          <w:rPr>
            <w:color w:val="0563C1"/>
            <w:u w:val="single"/>
          </w:rPr>
          <w:t>https://rulebooks.vara.ae/rulebook/general-requirements</w:t>
        </w:r>
      </w:hyperlink>
    </w:p>
    <w:p w14:paraId="29295E64" w14:textId="77777777" w:rsidR="0014233E" w:rsidRDefault="00000000">
      <w:pPr>
        <w:spacing w:after="80"/>
        <w:ind w:left="259" w:hanging="259"/>
      </w:pPr>
      <w:r>
        <w:rPr>
          <w:b/>
          <w:color w:val="17365D"/>
        </w:rPr>
        <w:t xml:space="preserve">[18] </w:t>
      </w:r>
      <w:r>
        <w:t xml:space="preserve">Central Bank of the UAE Rulebook. Payment Token Services Regulation. </w:t>
      </w:r>
      <w:hyperlink r:id="rId23">
        <w:r>
          <w:rPr>
            <w:color w:val="0563C1"/>
            <w:u w:val="single"/>
          </w:rPr>
          <w:t>https://rulebook.centralbank.ae/en/rulebook/payment-token-services-regulation</w:t>
        </w:r>
      </w:hyperlink>
    </w:p>
    <w:p w14:paraId="3316E7A3" w14:textId="77777777" w:rsidR="0014233E" w:rsidRDefault="00000000">
      <w:pPr>
        <w:spacing w:after="80"/>
        <w:ind w:left="259" w:hanging="259"/>
      </w:pPr>
      <w:r>
        <w:rPr>
          <w:b/>
          <w:color w:val="17365D"/>
        </w:rPr>
        <w:t xml:space="preserve">[19] </w:t>
      </w:r>
      <w:r>
        <w:t xml:space="preserve">Central Bank of the UAE Rulebook. Article 2: Prohibitions on Activities and Promotions. </w:t>
      </w:r>
      <w:hyperlink r:id="rId24">
        <w:r>
          <w:rPr>
            <w:color w:val="0563C1"/>
            <w:u w:val="single"/>
          </w:rPr>
          <w:t>https://rulebook.centralbank.ae/en/rulebook/article-2-prohibitions-activities-and-promotions</w:t>
        </w:r>
      </w:hyperlink>
    </w:p>
    <w:p w14:paraId="10C132BB" w14:textId="77777777" w:rsidR="0014233E" w:rsidRDefault="00000000">
      <w:pPr>
        <w:spacing w:after="80"/>
        <w:ind w:left="259" w:hanging="259"/>
      </w:pPr>
      <w:r>
        <w:rPr>
          <w:b/>
          <w:color w:val="17365D"/>
        </w:rPr>
        <w:lastRenderedPageBreak/>
        <w:t xml:space="preserve">[20] </w:t>
      </w:r>
      <w:r>
        <w:t xml:space="preserve">Central Bank of the UAE Rulebook. Article 8: Non-Objection for Foreign Payment Token Custody and Transfer. </w:t>
      </w:r>
      <w:hyperlink r:id="rId25">
        <w:r>
          <w:rPr>
            <w:color w:val="0563C1"/>
            <w:u w:val="single"/>
          </w:rPr>
          <w:t>https://rulebook.centralbank.ae/en/rulebook/article-8-application-non-objection-perform-payment-token-conversion-or-foreign-payment</w:t>
        </w:r>
      </w:hyperlink>
    </w:p>
    <w:p w14:paraId="5EC3F398" w14:textId="77777777" w:rsidR="0014233E" w:rsidRDefault="00000000">
      <w:pPr>
        <w:spacing w:after="80"/>
        <w:ind w:left="259" w:hanging="259"/>
      </w:pPr>
      <w:r>
        <w:rPr>
          <w:b/>
          <w:color w:val="17365D"/>
        </w:rPr>
        <w:t xml:space="preserve">[21] </w:t>
      </w:r>
      <w:r>
        <w:t xml:space="preserve">Central Bank of the UAE Rulebook. Article 14: Regulatory Capital for Payment Token Custodians and Transferors. </w:t>
      </w:r>
      <w:hyperlink r:id="rId26">
        <w:r>
          <w:rPr>
            <w:color w:val="0563C1"/>
            <w:u w:val="single"/>
          </w:rPr>
          <w:t>https://rulebook.centralbank.ae/en/rulebook/article-14-regulatory-capital-requirement-licensed-payment-token-custodians-and</w:t>
        </w:r>
      </w:hyperlink>
    </w:p>
    <w:p w14:paraId="1E64E8E2" w14:textId="77777777" w:rsidR="0014233E" w:rsidRDefault="00000000">
      <w:pPr>
        <w:spacing w:after="80"/>
        <w:ind w:left="259" w:hanging="259"/>
      </w:pPr>
      <w:r>
        <w:rPr>
          <w:b/>
          <w:color w:val="17365D"/>
        </w:rPr>
        <w:t>[22] Blockmediary / Transakt. Dubai Fintech License Requirements. Internal project planning note used to identify assumptions for verification; official sources supersede it where inconsistent.</w:t>
      </w:r>
    </w:p>
    <w:p w14:paraId="2046F7B3" w14:textId="77777777" w:rsidR="0014233E" w:rsidRDefault="00000000">
      <w:r>
        <w:br w:type="page"/>
      </w:r>
    </w:p>
    <w:p w14:paraId="5D996072" w14:textId="77777777" w:rsidR="0014233E" w:rsidRDefault="00000000">
      <w:pPr>
        <w:pStyle w:val="Heading1"/>
      </w:pPr>
      <w:r>
        <w:lastRenderedPageBreak/>
        <w:t>Appendix A — concise launch-readiness checklist</w:t>
      </w:r>
    </w:p>
    <w:tbl>
      <w:tblPr>
        <w:tblStyle w:val="TableGrid"/>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2880"/>
        <w:gridCol w:w="6840"/>
      </w:tblGrid>
      <w:tr w:rsidR="0014233E" w14:paraId="40C8AEDD" w14:textId="77777777">
        <w:trPr>
          <w:cantSplit/>
          <w:tblHeader/>
          <w:jc w:val="center"/>
        </w:trPr>
        <w:tc>
          <w:tcPr>
            <w:tcW w:w="2880" w:type="dxa"/>
            <w:shd w:val="clear" w:color="auto" w:fill="17365D"/>
            <w:tcMar>
              <w:top w:w="100" w:type="dxa"/>
              <w:left w:w="110" w:type="dxa"/>
              <w:bottom w:w="100" w:type="dxa"/>
              <w:right w:w="110" w:type="dxa"/>
            </w:tcMar>
            <w:vAlign w:val="center"/>
          </w:tcPr>
          <w:p w14:paraId="6015EE1F" w14:textId="77777777" w:rsidR="0014233E" w:rsidRDefault="00000000">
            <w:pPr>
              <w:spacing w:after="0" w:line="240" w:lineRule="auto"/>
              <w:jc w:val="center"/>
            </w:pPr>
            <w:r>
              <w:rPr>
                <w:b/>
                <w:color w:val="FFFFFF"/>
                <w:sz w:val="16"/>
              </w:rPr>
              <w:t>Workstream</w:t>
            </w:r>
          </w:p>
        </w:tc>
        <w:tc>
          <w:tcPr>
            <w:tcW w:w="6840" w:type="dxa"/>
            <w:shd w:val="clear" w:color="auto" w:fill="17365D"/>
            <w:tcMar>
              <w:top w:w="100" w:type="dxa"/>
              <w:left w:w="110" w:type="dxa"/>
              <w:bottom w:w="100" w:type="dxa"/>
              <w:right w:w="110" w:type="dxa"/>
            </w:tcMar>
            <w:vAlign w:val="center"/>
          </w:tcPr>
          <w:p w14:paraId="445D0D01" w14:textId="77777777" w:rsidR="0014233E" w:rsidRDefault="00000000">
            <w:pPr>
              <w:spacing w:after="0" w:line="240" w:lineRule="auto"/>
              <w:jc w:val="center"/>
            </w:pPr>
            <w:r>
              <w:rPr>
                <w:b/>
                <w:color w:val="FFFFFF"/>
                <w:sz w:val="16"/>
              </w:rPr>
              <w:t>Evidence required before launch</w:t>
            </w:r>
          </w:p>
        </w:tc>
      </w:tr>
      <w:tr w:rsidR="0014233E" w14:paraId="39823DB6" w14:textId="77777777">
        <w:trPr>
          <w:cantSplit/>
          <w:jc w:val="center"/>
        </w:trPr>
        <w:tc>
          <w:tcPr>
            <w:tcW w:w="2880" w:type="dxa"/>
            <w:shd w:val="clear" w:color="auto" w:fill="EFF4FA"/>
            <w:tcMar>
              <w:top w:w="100" w:type="dxa"/>
              <w:left w:w="110" w:type="dxa"/>
              <w:bottom w:w="100" w:type="dxa"/>
              <w:right w:w="110" w:type="dxa"/>
            </w:tcMar>
            <w:vAlign w:val="center"/>
          </w:tcPr>
          <w:p w14:paraId="6DE92368" w14:textId="77777777" w:rsidR="0014233E" w:rsidRDefault="00000000">
            <w:pPr>
              <w:spacing w:after="0" w:line="240" w:lineRule="auto"/>
            </w:pPr>
            <w:r>
              <w:rPr>
                <w:b/>
                <w:color w:val="17365D"/>
                <w:sz w:val="16"/>
              </w:rPr>
              <w:t>Regulatory perimeter</w:t>
            </w:r>
          </w:p>
        </w:tc>
        <w:tc>
          <w:tcPr>
            <w:tcW w:w="6840" w:type="dxa"/>
            <w:shd w:val="clear" w:color="auto" w:fill="EFF4FA"/>
            <w:tcMar>
              <w:top w:w="100" w:type="dxa"/>
              <w:left w:w="110" w:type="dxa"/>
              <w:bottom w:w="100" w:type="dxa"/>
              <w:right w:w="110" w:type="dxa"/>
            </w:tcMar>
            <w:vAlign w:val="center"/>
          </w:tcPr>
          <w:p w14:paraId="240045CB" w14:textId="77777777" w:rsidR="0014233E" w:rsidRDefault="00000000">
            <w:pPr>
              <w:spacing w:after="0" w:line="240" w:lineRule="auto"/>
            </w:pPr>
            <w:r>
              <w:rPr>
                <w:sz w:val="16"/>
              </w:rPr>
              <w:t>Written DFSA/VARA/CBUAE activity map signed off</w:t>
            </w:r>
          </w:p>
        </w:tc>
      </w:tr>
      <w:tr w:rsidR="0014233E" w14:paraId="68081936" w14:textId="77777777">
        <w:trPr>
          <w:cantSplit/>
          <w:jc w:val="center"/>
        </w:trPr>
        <w:tc>
          <w:tcPr>
            <w:tcW w:w="2880" w:type="dxa"/>
            <w:tcMar>
              <w:top w:w="100" w:type="dxa"/>
              <w:left w:w="110" w:type="dxa"/>
              <w:bottom w:w="100" w:type="dxa"/>
              <w:right w:w="110" w:type="dxa"/>
            </w:tcMar>
            <w:vAlign w:val="center"/>
          </w:tcPr>
          <w:p w14:paraId="54863519" w14:textId="77777777" w:rsidR="0014233E" w:rsidRDefault="00000000">
            <w:pPr>
              <w:spacing w:after="0" w:line="240" w:lineRule="auto"/>
            </w:pPr>
            <w:r>
              <w:rPr>
                <w:b/>
                <w:color w:val="17365D"/>
                <w:sz w:val="16"/>
              </w:rPr>
              <w:t>DIFC partner</w:t>
            </w:r>
          </w:p>
        </w:tc>
        <w:tc>
          <w:tcPr>
            <w:tcW w:w="6840" w:type="dxa"/>
            <w:tcMar>
              <w:top w:w="100" w:type="dxa"/>
              <w:left w:w="110" w:type="dxa"/>
              <w:bottom w:w="100" w:type="dxa"/>
              <w:right w:w="110" w:type="dxa"/>
            </w:tcMar>
            <w:vAlign w:val="center"/>
          </w:tcPr>
          <w:p w14:paraId="3BAFF2F3" w14:textId="77777777" w:rsidR="0014233E" w:rsidRDefault="00000000">
            <w:pPr>
              <w:spacing w:after="0" w:line="240" w:lineRule="auto"/>
            </w:pPr>
            <w:r>
              <w:rPr>
                <w:sz w:val="16"/>
              </w:rPr>
              <w:t>Authorisation verified; term sheet and outsourcing agreement executed</w:t>
            </w:r>
          </w:p>
        </w:tc>
      </w:tr>
      <w:tr w:rsidR="0014233E" w14:paraId="14EC299E" w14:textId="77777777">
        <w:trPr>
          <w:cantSplit/>
          <w:jc w:val="center"/>
        </w:trPr>
        <w:tc>
          <w:tcPr>
            <w:tcW w:w="2880" w:type="dxa"/>
            <w:shd w:val="clear" w:color="auto" w:fill="EFF4FA"/>
            <w:tcMar>
              <w:top w:w="100" w:type="dxa"/>
              <w:left w:w="110" w:type="dxa"/>
              <w:bottom w:w="100" w:type="dxa"/>
              <w:right w:w="110" w:type="dxa"/>
            </w:tcMar>
            <w:vAlign w:val="center"/>
          </w:tcPr>
          <w:p w14:paraId="19BC0AA8" w14:textId="77777777" w:rsidR="0014233E" w:rsidRDefault="00000000">
            <w:pPr>
              <w:spacing w:after="0" w:line="240" w:lineRule="auto"/>
            </w:pPr>
            <w:r>
              <w:rPr>
                <w:b/>
                <w:color w:val="17365D"/>
                <w:sz w:val="16"/>
              </w:rPr>
              <w:t>Responsibility matrix</w:t>
            </w:r>
          </w:p>
        </w:tc>
        <w:tc>
          <w:tcPr>
            <w:tcW w:w="6840" w:type="dxa"/>
            <w:shd w:val="clear" w:color="auto" w:fill="EFF4FA"/>
            <w:tcMar>
              <w:top w:w="100" w:type="dxa"/>
              <w:left w:w="110" w:type="dxa"/>
              <w:bottom w:w="100" w:type="dxa"/>
              <w:right w:w="110" w:type="dxa"/>
            </w:tcMar>
            <w:vAlign w:val="center"/>
          </w:tcPr>
          <w:p w14:paraId="5DF180EF" w14:textId="77777777" w:rsidR="0014233E" w:rsidRDefault="00000000">
            <w:pPr>
              <w:spacing w:after="0" w:line="240" w:lineRule="auto"/>
            </w:pPr>
            <w:r>
              <w:rPr>
                <w:sz w:val="16"/>
              </w:rPr>
              <w:t>Customer, custody, release, AML, complaints, reporting and liability assigned</w:t>
            </w:r>
          </w:p>
        </w:tc>
      </w:tr>
      <w:tr w:rsidR="0014233E" w14:paraId="34107E15" w14:textId="77777777">
        <w:trPr>
          <w:cantSplit/>
          <w:jc w:val="center"/>
        </w:trPr>
        <w:tc>
          <w:tcPr>
            <w:tcW w:w="2880" w:type="dxa"/>
            <w:tcMar>
              <w:top w:w="100" w:type="dxa"/>
              <w:left w:w="110" w:type="dxa"/>
              <w:bottom w:w="100" w:type="dxa"/>
              <w:right w:w="110" w:type="dxa"/>
            </w:tcMar>
            <w:vAlign w:val="center"/>
          </w:tcPr>
          <w:p w14:paraId="43054F3E" w14:textId="77777777" w:rsidR="0014233E" w:rsidRDefault="00000000">
            <w:pPr>
              <w:spacing w:after="0" w:line="240" w:lineRule="auto"/>
            </w:pPr>
            <w:r>
              <w:rPr>
                <w:b/>
                <w:color w:val="17365D"/>
                <w:sz w:val="16"/>
              </w:rPr>
              <w:t>Customer documents</w:t>
            </w:r>
          </w:p>
        </w:tc>
        <w:tc>
          <w:tcPr>
            <w:tcW w:w="6840" w:type="dxa"/>
            <w:tcMar>
              <w:top w:w="100" w:type="dxa"/>
              <w:left w:w="110" w:type="dxa"/>
              <w:bottom w:w="100" w:type="dxa"/>
              <w:right w:w="110" w:type="dxa"/>
            </w:tcMar>
            <w:vAlign w:val="center"/>
          </w:tcPr>
          <w:p w14:paraId="3DBDC3E2" w14:textId="77777777" w:rsidR="0014233E" w:rsidRDefault="00000000">
            <w:pPr>
              <w:spacing w:after="0" w:line="240" w:lineRule="auto"/>
            </w:pPr>
            <w:r>
              <w:rPr>
                <w:sz w:val="16"/>
              </w:rPr>
              <w:t>Trade Escrow Agreement, risk disclosures and privacy notices approved</w:t>
            </w:r>
          </w:p>
        </w:tc>
      </w:tr>
      <w:tr w:rsidR="0014233E" w14:paraId="00BCD0B0" w14:textId="77777777">
        <w:trPr>
          <w:cantSplit/>
          <w:jc w:val="center"/>
        </w:trPr>
        <w:tc>
          <w:tcPr>
            <w:tcW w:w="2880" w:type="dxa"/>
            <w:shd w:val="clear" w:color="auto" w:fill="EFF4FA"/>
            <w:tcMar>
              <w:top w:w="100" w:type="dxa"/>
              <w:left w:w="110" w:type="dxa"/>
              <w:bottom w:w="100" w:type="dxa"/>
              <w:right w:w="110" w:type="dxa"/>
            </w:tcMar>
            <w:vAlign w:val="center"/>
          </w:tcPr>
          <w:p w14:paraId="77C1C251" w14:textId="77777777" w:rsidR="0014233E" w:rsidRDefault="00000000">
            <w:pPr>
              <w:spacing w:after="0" w:line="240" w:lineRule="auto"/>
            </w:pPr>
            <w:r>
              <w:rPr>
                <w:b/>
                <w:color w:val="17365D"/>
                <w:sz w:val="16"/>
              </w:rPr>
              <w:t>Financial crime</w:t>
            </w:r>
          </w:p>
        </w:tc>
        <w:tc>
          <w:tcPr>
            <w:tcW w:w="6840" w:type="dxa"/>
            <w:shd w:val="clear" w:color="auto" w:fill="EFF4FA"/>
            <w:tcMar>
              <w:top w:w="100" w:type="dxa"/>
              <w:left w:w="110" w:type="dxa"/>
              <w:bottom w:w="100" w:type="dxa"/>
              <w:right w:w="110" w:type="dxa"/>
            </w:tcMar>
            <w:vAlign w:val="center"/>
          </w:tcPr>
          <w:p w14:paraId="5F48A3B2" w14:textId="77777777" w:rsidR="0014233E" w:rsidRDefault="00000000">
            <w:pPr>
              <w:spacing w:after="0" w:line="240" w:lineRule="auto"/>
            </w:pPr>
            <w:r>
              <w:rPr>
                <w:sz w:val="16"/>
              </w:rPr>
              <w:t>KYB/UBO, sanctions, wallet screening, monitoring and escalation live</w:t>
            </w:r>
          </w:p>
        </w:tc>
      </w:tr>
      <w:tr w:rsidR="0014233E" w14:paraId="578CF67E" w14:textId="77777777">
        <w:trPr>
          <w:cantSplit/>
          <w:jc w:val="center"/>
        </w:trPr>
        <w:tc>
          <w:tcPr>
            <w:tcW w:w="2880" w:type="dxa"/>
            <w:tcMar>
              <w:top w:w="100" w:type="dxa"/>
              <w:left w:w="110" w:type="dxa"/>
              <w:bottom w:w="100" w:type="dxa"/>
              <w:right w:w="110" w:type="dxa"/>
            </w:tcMar>
            <w:vAlign w:val="center"/>
          </w:tcPr>
          <w:p w14:paraId="669EAE6D" w14:textId="77777777" w:rsidR="0014233E" w:rsidRDefault="00000000">
            <w:pPr>
              <w:spacing w:after="0" w:line="240" w:lineRule="auto"/>
            </w:pPr>
            <w:r>
              <w:rPr>
                <w:b/>
                <w:color w:val="17365D"/>
                <w:sz w:val="16"/>
              </w:rPr>
              <w:t>Technology</w:t>
            </w:r>
          </w:p>
        </w:tc>
        <w:tc>
          <w:tcPr>
            <w:tcW w:w="6840" w:type="dxa"/>
            <w:tcMar>
              <w:top w:w="100" w:type="dxa"/>
              <w:left w:w="110" w:type="dxa"/>
              <w:bottom w:w="100" w:type="dxa"/>
              <w:right w:w="110" w:type="dxa"/>
            </w:tcMar>
            <w:vAlign w:val="center"/>
          </w:tcPr>
          <w:p w14:paraId="7096782B" w14:textId="77777777" w:rsidR="0014233E" w:rsidRDefault="00000000">
            <w:pPr>
              <w:spacing w:after="0" w:line="240" w:lineRule="auto"/>
            </w:pPr>
            <w:r>
              <w:rPr>
                <w:sz w:val="16"/>
              </w:rPr>
              <w:t>Production contract audited; keys, roles, multisig, monitoring and emergency controls tested</w:t>
            </w:r>
          </w:p>
        </w:tc>
      </w:tr>
      <w:tr w:rsidR="0014233E" w14:paraId="53E1DA4C" w14:textId="77777777">
        <w:trPr>
          <w:cantSplit/>
          <w:jc w:val="center"/>
        </w:trPr>
        <w:tc>
          <w:tcPr>
            <w:tcW w:w="2880" w:type="dxa"/>
            <w:shd w:val="clear" w:color="auto" w:fill="EFF4FA"/>
            <w:tcMar>
              <w:top w:w="100" w:type="dxa"/>
              <w:left w:w="110" w:type="dxa"/>
              <w:bottom w:w="100" w:type="dxa"/>
              <w:right w:w="110" w:type="dxa"/>
            </w:tcMar>
            <w:vAlign w:val="center"/>
          </w:tcPr>
          <w:p w14:paraId="55D916C4" w14:textId="77777777" w:rsidR="0014233E" w:rsidRDefault="00000000">
            <w:pPr>
              <w:spacing w:after="0" w:line="240" w:lineRule="auto"/>
            </w:pPr>
            <w:r>
              <w:rPr>
                <w:b/>
                <w:color w:val="17365D"/>
                <w:sz w:val="16"/>
              </w:rPr>
              <w:t>Operations</w:t>
            </w:r>
          </w:p>
        </w:tc>
        <w:tc>
          <w:tcPr>
            <w:tcW w:w="6840" w:type="dxa"/>
            <w:shd w:val="clear" w:color="auto" w:fill="EFF4FA"/>
            <w:tcMar>
              <w:top w:w="100" w:type="dxa"/>
              <w:left w:w="110" w:type="dxa"/>
              <w:bottom w:w="100" w:type="dxa"/>
              <w:right w:w="110" w:type="dxa"/>
            </w:tcMar>
            <w:vAlign w:val="center"/>
          </w:tcPr>
          <w:p w14:paraId="044B32A0" w14:textId="77777777" w:rsidR="0014233E" w:rsidRDefault="00000000">
            <w:pPr>
              <w:spacing w:after="0" w:line="240" w:lineRule="auto"/>
            </w:pPr>
            <w:r>
              <w:rPr>
                <w:sz w:val="16"/>
              </w:rPr>
              <w:t>Document review, £50k escalation, objections, refunds, incidents and QA tested</w:t>
            </w:r>
          </w:p>
        </w:tc>
      </w:tr>
      <w:tr w:rsidR="0014233E" w14:paraId="4CB008E8" w14:textId="77777777">
        <w:trPr>
          <w:cantSplit/>
          <w:jc w:val="center"/>
        </w:trPr>
        <w:tc>
          <w:tcPr>
            <w:tcW w:w="2880" w:type="dxa"/>
            <w:tcMar>
              <w:top w:w="100" w:type="dxa"/>
              <w:left w:w="110" w:type="dxa"/>
              <w:bottom w:w="100" w:type="dxa"/>
              <w:right w:w="110" w:type="dxa"/>
            </w:tcMar>
            <w:vAlign w:val="center"/>
          </w:tcPr>
          <w:p w14:paraId="1A807BF7" w14:textId="77777777" w:rsidR="0014233E" w:rsidRDefault="00000000">
            <w:pPr>
              <w:spacing w:after="0" w:line="240" w:lineRule="auto"/>
            </w:pPr>
            <w:r>
              <w:rPr>
                <w:b/>
                <w:color w:val="17365D"/>
                <w:sz w:val="16"/>
              </w:rPr>
              <w:t>Data protection</w:t>
            </w:r>
          </w:p>
        </w:tc>
        <w:tc>
          <w:tcPr>
            <w:tcW w:w="6840" w:type="dxa"/>
            <w:tcMar>
              <w:top w:w="100" w:type="dxa"/>
              <w:left w:w="110" w:type="dxa"/>
              <w:bottom w:w="100" w:type="dxa"/>
              <w:right w:w="110" w:type="dxa"/>
            </w:tcMar>
            <w:vAlign w:val="center"/>
          </w:tcPr>
          <w:p w14:paraId="4E206ADA" w14:textId="77777777" w:rsidR="0014233E" w:rsidRDefault="00000000">
            <w:pPr>
              <w:spacing w:after="0" w:line="240" w:lineRule="auto"/>
            </w:pPr>
            <w:r>
              <w:rPr>
                <w:sz w:val="16"/>
              </w:rPr>
              <w:t>Controller/processor roles, data processing, retention and breach controls complete</w:t>
            </w:r>
          </w:p>
        </w:tc>
      </w:tr>
      <w:tr w:rsidR="0014233E" w14:paraId="65FB3BD8" w14:textId="77777777">
        <w:trPr>
          <w:cantSplit/>
          <w:jc w:val="center"/>
        </w:trPr>
        <w:tc>
          <w:tcPr>
            <w:tcW w:w="2880" w:type="dxa"/>
            <w:shd w:val="clear" w:color="auto" w:fill="EFF4FA"/>
            <w:tcMar>
              <w:top w:w="100" w:type="dxa"/>
              <w:left w:w="110" w:type="dxa"/>
              <w:bottom w:w="100" w:type="dxa"/>
              <w:right w:w="110" w:type="dxa"/>
            </w:tcMar>
            <w:vAlign w:val="center"/>
          </w:tcPr>
          <w:p w14:paraId="185292B6" w14:textId="77777777" w:rsidR="0014233E" w:rsidRDefault="00000000">
            <w:pPr>
              <w:spacing w:after="0" w:line="240" w:lineRule="auto"/>
            </w:pPr>
            <w:r>
              <w:rPr>
                <w:b/>
                <w:color w:val="17365D"/>
                <w:sz w:val="16"/>
              </w:rPr>
              <w:t>VARA applicant</w:t>
            </w:r>
          </w:p>
        </w:tc>
        <w:tc>
          <w:tcPr>
            <w:tcW w:w="6840" w:type="dxa"/>
            <w:shd w:val="clear" w:color="auto" w:fill="EFF4FA"/>
            <w:tcMar>
              <w:top w:w="100" w:type="dxa"/>
              <w:left w:w="110" w:type="dxa"/>
              <w:bottom w:w="100" w:type="dxa"/>
              <w:right w:w="110" w:type="dxa"/>
            </w:tcMar>
            <w:vAlign w:val="center"/>
          </w:tcPr>
          <w:p w14:paraId="32D30F35" w14:textId="77777777" w:rsidR="0014233E" w:rsidRDefault="00000000">
            <w:pPr>
              <w:spacing w:after="0" w:line="240" w:lineRule="auto"/>
            </w:pPr>
            <w:r>
              <w:rPr>
                <w:sz w:val="16"/>
              </w:rPr>
              <w:t>Non-DIFC entity, office, two RIs, senior management and funding in place</w:t>
            </w:r>
          </w:p>
        </w:tc>
      </w:tr>
      <w:tr w:rsidR="0014233E" w14:paraId="076ECC11" w14:textId="77777777">
        <w:trPr>
          <w:cantSplit/>
          <w:jc w:val="center"/>
        </w:trPr>
        <w:tc>
          <w:tcPr>
            <w:tcW w:w="2880" w:type="dxa"/>
            <w:tcMar>
              <w:top w:w="100" w:type="dxa"/>
              <w:left w:w="110" w:type="dxa"/>
              <w:bottom w:w="100" w:type="dxa"/>
              <w:right w:w="110" w:type="dxa"/>
            </w:tcMar>
            <w:vAlign w:val="center"/>
          </w:tcPr>
          <w:p w14:paraId="7233B445" w14:textId="77777777" w:rsidR="0014233E" w:rsidRDefault="00000000">
            <w:pPr>
              <w:spacing w:after="0" w:line="240" w:lineRule="auto"/>
            </w:pPr>
            <w:r>
              <w:rPr>
                <w:b/>
                <w:color w:val="17365D"/>
                <w:sz w:val="16"/>
              </w:rPr>
              <w:t>VARA submission</w:t>
            </w:r>
          </w:p>
        </w:tc>
        <w:tc>
          <w:tcPr>
            <w:tcW w:w="6840" w:type="dxa"/>
            <w:tcMar>
              <w:top w:w="100" w:type="dxa"/>
              <w:left w:w="110" w:type="dxa"/>
              <w:bottom w:w="100" w:type="dxa"/>
              <w:right w:w="110" w:type="dxa"/>
            </w:tcMar>
            <w:vAlign w:val="center"/>
          </w:tcPr>
          <w:p w14:paraId="44979CFF" w14:textId="77777777" w:rsidR="0014233E" w:rsidRDefault="00000000">
            <w:pPr>
              <w:spacing w:after="0" w:line="240" w:lineRule="auto"/>
            </w:pPr>
            <w:r>
              <w:rPr>
                <w:sz w:val="16"/>
              </w:rPr>
              <w:t>IDQ/ATI and full application package submitted; capital and fees funded</w:t>
            </w:r>
          </w:p>
        </w:tc>
      </w:tr>
      <w:tr w:rsidR="0014233E" w14:paraId="3D256429" w14:textId="77777777">
        <w:trPr>
          <w:cantSplit/>
          <w:jc w:val="center"/>
        </w:trPr>
        <w:tc>
          <w:tcPr>
            <w:tcW w:w="2880" w:type="dxa"/>
            <w:shd w:val="clear" w:color="auto" w:fill="EFF4FA"/>
            <w:tcMar>
              <w:top w:w="100" w:type="dxa"/>
              <w:left w:w="110" w:type="dxa"/>
              <w:bottom w:w="100" w:type="dxa"/>
              <w:right w:w="110" w:type="dxa"/>
            </w:tcMar>
            <w:vAlign w:val="center"/>
          </w:tcPr>
          <w:p w14:paraId="40974B18" w14:textId="77777777" w:rsidR="0014233E" w:rsidRDefault="00000000">
            <w:pPr>
              <w:spacing w:after="0" w:line="240" w:lineRule="auto"/>
            </w:pPr>
            <w:r>
              <w:rPr>
                <w:b/>
                <w:color w:val="17365D"/>
                <w:sz w:val="16"/>
              </w:rPr>
              <w:t>CBUAE overlay</w:t>
            </w:r>
          </w:p>
        </w:tc>
        <w:tc>
          <w:tcPr>
            <w:tcW w:w="6840" w:type="dxa"/>
            <w:shd w:val="clear" w:color="auto" w:fill="EFF4FA"/>
            <w:tcMar>
              <w:top w:w="100" w:type="dxa"/>
              <w:left w:w="110" w:type="dxa"/>
              <w:bottom w:w="100" w:type="dxa"/>
              <w:right w:w="110" w:type="dxa"/>
            </w:tcMar>
            <w:vAlign w:val="center"/>
          </w:tcPr>
          <w:p w14:paraId="0728A3ED" w14:textId="77777777" w:rsidR="0014233E" w:rsidRDefault="00000000">
            <w:pPr>
              <w:spacing w:after="0" w:line="240" w:lineRule="auto"/>
            </w:pPr>
            <w:r>
              <w:rPr>
                <w:sz w:val="16"/>
              </w:rPr>
              <w:t>USDC/EURC physical-goods settlement route confirmed</w:t>
            </w:r>
          </w:p>
        </w:tc>
      </w:tr>
      <w:tr w:rsidR="0014233E" w14:paraId="0304B04A" w14:textId="77777777">
        <w:trPr>
          <w:cantSplit/>
          <w:jc w:val="center"/>
        </w:trPr>
        <w:tc>
          <w:tcPr>
            <w:tcW w:w="2880" w:type="dxa"/>
            <w:tcMar>
              <w:top w:w="100" w:type="dxa"/>
              <w:left w:w="110" w:type="dxa"/>
              <w:bottom w:w="100" w:type="dxa"/>
              <w:right w:w="110" w:type="dxa"/>
            </w:tcMar>
            <w:vAlign w:val="center"/>
          </w:tcPr>
          <w:p w14:paraId="5E80410D" w14:textId="77777777" w:rsidR="0014233E" w:rsidRDefault="00000000">
            <w:pPr>
              <w:spacing w:after="0" w:line="240" w:lineRule="auto"/>
            </w:pPr>
            <w:r>
              <w:rPr>
                <w:b/>
                <w:color w:val="17365D"/>
                <w:sz w:val="16"/>
              </w:rPr>
              <w:t>Go-live gate</w:t>
            </w:r>
          </w:p>
        </w:tc>
        <w:tc>
          <w:tcPr>
            <w:tcW w:w="6840" w:type="dxa"/>
            <w:tcMar>
              <w:top w:w="100" w:type="dxa"/>
              <w:left w:w="110" w:type="dxa"/>
              <w:bottom w:w="100" w:type="dxa"/>
              <w:right w:w="110" w:type="dxa"/>
            </w:tcMar>
            <w:vAlign w:val="center"/>
          </w:tcPr>
          <w:p w14:paraId="794C667D" w14:textId="77777777" w:rsidR="0014233E" w:rsidRDefault="00000000">
            <w:pPr>
              <w:spacing w:after="0" w:line="240" w:lineRule="auto"/>
            </w:pPr>
            <w:r>
              <w:rPr>
                <w:sz w:val="16"/>
              </w:rPr>
              <w:t>Pilot begins only under partner approval; scale begins only on full VARA licence</w:t>
            </w:r>
          </w:p>
        </w:tc>
      </w:tr>
    </w:tbl>
    <w:p w14:paraId="65EBC97E" w14:textId="77777777" w:rsidR="0014233E" w:rsidRDefault="0014233E">
      <w:pPr>
        <w:spacing w:after="20"/>
      </w:pPr>
    </w:p>
    <w:sectPr w:rsidR="0014233E" w:rsidSect="00034616">
      <w:headerReference w:type="default" r:id="rId27"/>
      <w:footerReference w:type="default" r:id="rId28"/>
      <w:pgSz w:w="12240" w:h="15840"/>
      <w:pgMar w:top="965"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3B94" w14:textId="77777777" w:rsidR="00422986" w:rsidRDefault="00422986">
      <w:pPr>
        <w:spacing w:after="0" w:line="240" w:lineRule="auto"/>
      </w:pPr>
      <w:r>
        <w:separator/>
      </w:r>
    </w:p>
  </w:endnote>
  <w:endnote w:type="continuationSeparator" w:id="0">
    <w:p w14:paraId="253B6545" w14:textId="77777777" w:rsidR="00422986" w:rsidRDefault="00422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76E1" w14:textId="77777777" w:rsidR="0014233E" w:rsidRDefault="00000000">
    <w:pPr>
      <w:pStyle w:val="Footer"/>
      <w:jc w:val="center"/>
    </w:pPr>
    <w:r>
      <w:rPr>
        <w:color w:val="595959"/>
        <w:sz w:val="16"/>
      </w:rPr>
      <w:fldChar w:fldCharType="begin"/>
    </w:r>
    <w:r>
      <w:rPr>
        <w:color w:val="595959"/>
        <w:sz w:val="16"/>
      </w:rPr>
      <w:instrText xml:space="preserve"> PAGE </w:instrText>
    </w:r>
    <w:r w:rsidR="00E82518">
      <w:rPr>
        <w:color w:val="595959"/>
        <w:sz w:val="16"/>
      </w:rPr>
      <w:fldChar w:fldCharType="separate"/>
    </w:r>
    <w:r w:rsidR="00E82518">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E5CF2" w14:textId="77777777" w:rsidR="00422986" w:rsidRDefault="00422986">
      <w:pPr>
        <w:spacing w:after="0" w:line="240" w:lineRule="auto"/>
      </w:pPr>
      <w:r>
        <w:separator/>
      </w:r>
    </w:p>
  </w:footnote>
  <w:footnote w:type="continuationSeparator" w:id="0">
    <w:p w14:paraId="48199137" w14:textId="77777777" w:rsidR="00422986" w:rsidRDefault="00422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3DE5" w14:textId="77777777" w:rsidR="0014233E" w:rsidRDefault="00000000">
    <w:pPr>
      <w:pStyle w:val="Header"/>
      <w:jc w:val="right"/>
    </w:pPr>
    <w:r>
      <w:rPr>
        <w:b/>
        <w:color w:val="2F5597"/>
        <w:sz w:val="15"/>
      </w:rPr>
      <w:t>BLOCKMEDIARY  |  REGULATORY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086326">
    <w:abstractNumId w:val="8"/>
  </w:num>
  <w:num w:numId="2" w16cid:durableId="273942301">
    <w:abstractNumId w:val="6"/>
  </w:num>
  <w:num w:numId="3" w16cid:durableId="376586654">
    <w:abstractNumId w:val="5"/>
  </w:num>
  <w:num w:numId="4" w16cid:durableId="1491871619">
    <w:abstractNumId w:val="4"/>
  </w:num>
  <w:num w:numId="5" w16cid:durableId="1409961546">
    <w:abstractNumId w:val="7"/>
  </w:num>
  <w:num w:numId="6" w16cid:durableId="64230160">
    <w:abstractNumId w:val="3"/>
  </w:num>
  <w:num w:numId="7" w16cid:durableId="617832118">
    <w:abstractNumId w:val="2"/>
  </w:num>
  <w:num w:numId="8" w16cid:durableId="1819422996">
    <w:abstractNumId w:val="1"/>
  </w:num>
  <w:num w:numId="9" w16cid:durableId="141134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33E"/>
    <w:rsid w:val="0015074B"/>
    <w:rsid w:val="0029639D"/>
    <w:rsid w:val="00296BF5"/>
    <w:rsid w:val="00326F90"/>
    <w:rsid w:val="00422986"/>
    <w:rsid w:val="005506EA"/>
    <w:rsid w:val="00AA1D8D"/>
    <w:rsid w:val="00B47730"/>
    <w:rsid w:val="00CB0664"/>
    <w:rsid w:val="00E825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70FE9"/>
  <w14:defaultImageDpi w14:val="300"/>
  <w15:docId w15:val="{715C6620-5042-45AB-821B-B0BE0731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fc.com/business/establish-a-business/innovation-licence" TargetMode="External"/><Relationship Id="rId13" Type="http://schemas.openxmlformats.org/officeDocument/2006/relationships/hyperlink" Target="https://www.difc.com/business/laws-and-regulations/legal-database/difc-laws/data-protection-law-difc-law-no-5-2020" TargetMode="External"/><Relationship Id="rId18" Type="http://schemas.openxmlformats.org/officeDocument/2006/relationships/hyperlink" Target="https://rulebooks.vara.ae/rulebook/b-paid-capital" TargetMode="External"/><Relationship Id="rId26" Type="http://schemas.openxmlformats.org/officeDocument/2006/relationships/hyperlink" Target="https://rulebook.centralbank.ae/en/rulebook/article-14-regulatory-capital-requirement-licensed-payment-token-custodians-and" TargetMode="External"/><Relationship Id="rId3" Type="http://schemas.openxmlformats.org/officeDocument/2006/relationships/styles" Target="styles.xml"/><Relationship Id="rId21" Type="http://schemas.openxmlformats.org/officeDocument/2006/relationships/hyperlink" Target="https://rulebooks.vara.ae/rulebook/g-fatf-travel-rule" TargetMode="External"/><Relationship Id="rId7" Type="http://schemas.openxmlformats.org/officeDocument/2006/relationships/endnotes" Target="endnotes.xml"/><Relationship Id="rId12" Type="http://schemas.openxmlformats.org/officeDocument/2006/relationships/hyperlink" Target="https://www.dfsa.ae/crypto" TargetMode="External"/><Relationship Id="rId17" Type="http://schemas.openxmlformats.org/officeDocument/2006/relationships/hyperlink" Target="https://rulebooks.vara.ae/rulebook/schedule-2-supervision-and-authorisation-fees" TargetMode="External"/><Relationship Id="rId25" Type="http://schemas.openxmlformats.org/officeDocument/2006/relationships/hyperlink" Target="https://rulebook.centralbank.ae/en/rulebook/article-8-application-non-objection-perform-payment-token-conversion-or-foreign-payment" TargetMode="External"/><Relationship Id="rId2" Type="http://schemas.openxmlformats.org/officeDocument/2006/relationships/numbering" Target="numbering.xml"/><Relationship Id="rId16" Type="http://schemas.openxmlformats.org/officeDocument/2006/relationships/hyperlink" Target="https://rulebooks.vara.ae/rulebook/schedule-1-va-activities" TargetMode="External"/><Relationship Id="rId20" Type="http://schemas.openxmlformats.org/officeDocument/2006/relationships/hyperlink" Target="https://rulebooks.vara.ae/entiresection/18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fsaen.thomsonreuters.com/entiresection/2033" TargetMode="External"/><Relationship Id="rId24" Type="http://schemas.openxmlformats.org/officeDocument/2006/relationships/hyperlink" Target="https://rulebook.centralbank.ae/en/rulebook/article-2-prohibitions-activities-and-promotions" TargetMode="External"/><Relationship Id="rId5" Type="http://schemas.openxmlformats.org/officeDocument/2006/relationships/webSettings" Target="webSettings.xml"/><Relationship Id="rId15" Type="http://schemas.openxmlformats.org/officeDocument/2006/relationships/hyperlink" Target="https://www.vara.ae/en/faq/" TargetMode="External"/><Relationship Id="rId23" Type="http://schemas.openxmlformats.org/officeDocument/2006/relationships/hyperlink" Target="https://rulebook.centralbank.ae/en/rulebook/payment-token-services-regulation" TargetMode="External"/><Relationship Id="rId28" Type="http://schemas.openxmlformats.org/officeDocument/2006/relationships/footer" Target="footer1.xml"/><Relationship Id="rId10" Type="http://schemas.openxmlformats.org/officeDocument/2006/relationships/hyperlink" Target="https://www.dfsa.ae/what-we-do/authorisation-services/overview" TargetMode="External"/><Relationship Id="rId19" Type="http://schemas.openxmlformats.org/officeDocument/2006/relationships/hyperlink" Target="https://rulebooks.vara.ae/rulebook/b-segregation-and-control" TargetMode="External"/><Relationship Id="rId4" Type="http://schemas.openxmlformats.org/officeDocument/2006/relationships/settings" Target="settings.xml"/><Relationship Id="rId9" Type="http://schemas.openxmlformats.org/officeDocument/2006/relationships/hyperlink" Target="https://www.difc.com/business/registrars-and-commissioners/registrar-of-companies" TargetMode="External"/><Relationship Id="rId14" Type="http://schemas.openxmlformats.org/officeDocument/2006/relationships/hyperlink" Target="https://www.vara.ae/en/licenses-and-register/licence-applications/" TargetMode="External"/><Relationship Id="rId22" Type="http://schemas.openxmlformats.org/officeDocument/2006/relationships/hyperlink" Target="https://rulebooks.vara.ae/rulebook/general-requirements"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5452</Words>
  <Characters>31078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Blockmediary DIFC Partner-Led Pilot and VARA Scale Readiness Report</dc:title>
  <dc:subject>Regulatory requirements and launch timeline for Blockmediary</dc:subject>
  <dc:creator>Transakt (Blockmediary project team)</dc:creator>
  <cp:keywords>Blockmediary, DIFC, DFSA, VARA, CBUAE, stablecoin escrow, regulatory readiness</cp:keywords>
  <dc:description>Prepared by Transakt for academic and investor review.</dc:description>
  <cp:lastModifiedBy>Beckman, Conrad</cp:lastModifiedBy>
  <cp:revision>3</cp:revision>
  <dcterms:created xsi:type="dcterms:W3CDTF">2013-12-23T23:15:00Z</dcterms:created>
  <dcterms:modified xsi:type="dcterms:W3CDTF">2026-08-12T16:12:00Z</dcterms:modified>
  <cp:category/>
</cp:coreProperties>
</file>