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CF23205" w14:textId="28778C88" w:rsidR="00000000" w:rsidRDefault="00000000">
      <w:pPr>
        <w:pStyle w:val="Heading1"/>
        <w:shd w:val="clear" w:color="auto" w:fill="F8F9FA"/>
        <w:jc w:val="center"/>
        <w:divId w:val="866721896"/>
        <w:rPr>
          <w:rFonts w:ascii="Calibri" w:eastAsia="Times New Roman" w:hAnsi="Calibri" w:cs="Calibri"/>
          <w:lang w:val="en"/>
        </w:rPr>
      </w:pPr>
      <w:r>
        <w:rPr>
          <w:rFonts w:ascii="Calibri" w:eastAsia="Times New Roman" w:hAnsi="Calibri" w:cs="Calibri"/>
          <w:lang w:val="en"/>
        </w:rPr>
        <w:t xml:space="preserve">Tech Cargo </w:t>
      </w:r>
      <w:r w:rsidR="00315684">
        <w:rPr>
          <w:rFonts w:ascii="Calibri" w:eastAsia="Times New Roman" w:hAnsi="Calibri" w:cs="Calibri"/>
          <w:lang w:val="en"/>
        </w:rPr>
        <w:t>Financial</w:t>
      </w:r>
      <w:r>
        <w:rPr>
          <w:rFonts w:ascii="Calibri" w:eastAsia="Times New Roman" w:hAnsi="Calibri" w:cs="Calibri"/>
          <w:lang w:val="en"/>
        </w:rPr>
        <w:t xml:space="preserve"> Risk Assessment</w:t>
      </w:r>
    </w:p>
    <w:p w14:paraId="2275D2F1" w14:textId="77777777" w:rsidR="00000000" w:rsidRDefault="00000000">
      <w:pPr>
        <w:shd w:val="clear" w:color="auto" w:fill="F8F9FA"/>
        <w:jc w:val="center"/>
        <w:divId w:val="714885904"/>
        <w:rPr>
          <w:rFonts w:ascii="Calibri" w:eastAsia="Times New Roman" w:hAnsi="Calibri" w:cs="Calibri"/>
          <w:b/>
          <w:bCs/>
          <w:color w:val="6C757D"/>
          <w:lang w:val="en"/>
        </w:rPr>
      </w:pPr>
      <w:r>
        <w:rPr>
          <w:rFonts w:ascii="Calibri" w:eastAsia="Times New Roman" w:hAnsi="Calibri" w:cs="Calibri"/>
          <w:b/>
          <w:bCs/>
          <w:color w:val="6C757D"/>
          <w:lang w:val="en"/>
        </w:rPr>
        <w:t>Analysis Date: July 2025</w:t>
      </w:r>
    </w:p>
    <w:p w14:paraId="1D2A3B66" w14:textId="57AEB465" w:rsidR="00000000" w:rsidRDefault="00000000">
      <w:pPr>
        <w:shd w:val="clear" w:color="auto" w:fill="F8F9FA"/>
        <w:jc w:val="center"/>
        <w:divId w:val="1259868863"/>
        <w:rPr>
          <w:rFonts w:ascii="Calibri" w:eastAsia="Times New Roman" w:hAnsi="Calibri" w:cs="Calibri"/>
          <w:b/>
          <w:bCs/>
          <w:color w:val="6C757D"/>
          <w:lang w:val="en"/>
        </w:rPr>
      </w:pPr>
      <w:r>
        <w:rPr>
          <w:rFonts w:ascii="Calibri" w:eastAsia="Times New Roman" w:hAnsi="Calibri" w:cs="Calibri"/>
          <w:b/>
          <w:bCs/>
          <w:color w:val="6C757D"/>
          <w:lang w:val="en"/>
        </w:rPr>
        <w:t xml:space="preserve">Review Period: </w:t>
      </w:r>
      <w:r w:rsidR="00315684">
        <w:rPr>
          <w:rFonts w:ascii="Calibri" w:eastAsia="Times New Roman" w:hAnsi="Calibri" w:cs="Calibri"/>
          <w:b/>
          <w:bCs/>
          <w:color w:val="6C757D"/>
          <w:lang w:val="en"/>
        </w:rPr>
        <w:t xml:space="preserve">January </w:t>
      </w:r>
      <w:r>
        <w:rPr>
          <w:rFonts w:ascii="Calibri" w:eastAsia="Times New Roman" w:hAnsi="Calibri" w:cs="Calibri"/>
          <w:b/>
          <w:bCs/>
          <w:color w:val="6C757D"/>
          <w:lang w:val="en"/>
        </w:rPr>
        <w:t>2024 to May 2025</w:t>
      </w:r>
    </w:p>
    <w:p w14:paraId="78357558" w14:textId="77777777" w:rsidR="00000000" w:rsidRDefault="00000000">
      <w:pPr>
        <w:pStyle w:val="Heading2"/>
        <w:shd w:val="clear" w:color="auto" w:fill="E7F3FF"/>
        <w:divId w:val="1403917230"/>
        <w:rPr>
          <w:rFonts w:ascii="Calibri" w:eastAsia="Times New Roman" w:hAnsi="Calibri" w:cs="Calibri"/>
          <w:lang w:val="en"/>
        </w:rPr>
      </w:pPr>
      <w:r>
        <w:rPr>
          <w:rFonts w:ascii="Calibri" w:eastAsia="Times New Roman" w:hAnsi="Calibri" w:cs="Calibri"/>
          <w:lang w:val="en"/>
        </w:rPr>
        <w:t>Executive Summary</w:t>
      </w:r>
    </w:p>
    <w:p w14:paraId="35E3A123" w14:textId="4BA3A70D" w:rsidR="00000000" w:rsidRDefault="00000000">
      <w:pPr>
        <w:pStyle w:val="NormalWeb"/>
        <w:shd w:val="clear" w:color="auto" w:fill="E7F3FF"/>
        <w:divId w:val="1403917230"/>
        <w:rPr>
          <w:rFonts w:ascii="Calibri" w:hAnsi="Calibri" w:cs="Calibri"/>
          <w:color w:val="333333"/>
          <w:lang w:val="en"/>
        </w:rPr>
      </w:pPr>
      <w:r>
        <w:rPr>
          <w:rFonts w:ascii="Calibri" w:hAnsi="Calibri" w:cs="Calibri"/>
          <w:color w:val="333333"/>
          <w:lang w:val="en"/>
        </w:rPr>
        <w:t xml:space="preserve">This comprehensive financial risk assessment examines Tech Cargo's financial position and operational performance from </w:t>
      </w:r>
      <w:r w:rsidR="00315684">
        <w:rPr>
          <w:rFonts w:ascii="Calibri" w:hAnsi="Calibri" w:cs="Calibri"/>
          <w:color w:val="333333"/>
          <w:lang w:val="en"/>
        </w:rPr>
        <w:t>January</w:t>
      </w:r>
      <w:r>
        <w:rPr>
          <w:rFonts w:ascii="Calibri" w:hAnsi="Calibri" w:cs="Calibri"/>
          <w:color w:val="333333"/>
          <w:lang w:val="en"/>
        </w:rPr>
        <w:t xml:space="preserve"> 2024 through May 2025. The analysis encompasses financial ratios, cash conversion cycles, liability structure, working capital management, and cash flow patterns.</w:t>
      </w:r>
    </w:p>
    <w:p w14:paraId="78A99267" w14:textId="77777777" w:rsidR="00000000" w:rsidRDefault="00000000">
      <w:pPr>
        <w:pStyle w:val="Heading4"/>
        <w:shd w:val="clear" w:color="auto" w:fill="E7F3FF"/>
        <w:divId w:val="1403917230"/>
        <w:rPr>
          <w:rFonts w:ascii="Calibri" w:eastAsia="Times New Roman" w:hAnsi="Calibri" w:cs="Calibri"/>
          <w:lang w:val="en"/>
        </w:rPr>
      </w:pPr>
      <w:r>
        <w:rPr>
          <w:rFonts w:ascii="Calibri" w:eastAsia="Times New Roman" w:hAnsi="Calibri" w:cs="Calibri"/>
          <w:lang w:val="en"/>
        </w:rPr>
        <w:t>Key Report Sections:</w:t>
      </w:r>
    </w:p>
    <w:p w14:paraId="1C627FB1" w14:textId="77777777" w:rsidR="00000000" w:rsidRDefault="00000000">
      <w:pPr>
        <w:numPr>
          <w:ilvl w:val="0"/>
          <w:numId w:val="1"/>
        </w:numPr>
        <w:shd w:val="clear" w:color="auto" w:fill="E7F3FF"/>
        <w:spacing w:before="120" w:after="120"/>
        <w:divId w:val="1403917230"/>
        <w:rPr>
          <w:rFonts w:ascii="Calibri" w:eastAsia="Times New Roman" w:hAnsi="Calibri" w:cs="Calibri"/>
          <w:color w:val="333333"/>
          <w:lang w:val="en"/>
        </w:rPr>
      </w:pPr>
      <w:r>
        <w:rPr>
          <w:rFonts w:ascii="Calibri" w:eastAsia="Times New Roman" w:hAnsi="Calibri" w:cs="Calibri"/>
          <w:color w:val="333333"/>
          <w:lang w:val="en"/>
        </w:rPr>
        <w:t>Financial Ratios Analysis with Commentary</w:t>
      </w:r>
    </w:p>
    <w:p w14:paraId="09C96FF6" w14:textId="77777777" w:rsidR="00000000" w:rsidRDefault="00000000">
      <w:pPr>
        <w:numPr>
          <w:ilvl w:val="0"/>
          <w:numId w:val="1"/>
        </w:numPr>
        <w:shd w:val="clear" w:color="auto" w:fill="E7F3FF"/>
        <w:spacing w:before="120" w:after="120"/>
        <w:divId w:val="1403917230"/>
        <w:rPr>
          <w:rFonts w:ascii="Calibri" w:eastAsia="Times New Roman" w:hAnsi="Calibri" w:cs="Calibri"/>
          <w:color w:val="333333"/>
          <w:lang w:val="en"/>
        </w:rPr>
      </w:pPr>
      <w:r>
        <w:rPr>
          <w:rFonts w:ascii="Calibri" w:eastAsia="Times New Roman" w:hAnsi="Calibri" w:cs="Calibri"/>
          <w:color w:val="333333"/>
          <w:lang w:val="en"/>
        </w:rPr>
        <w:t>Cash Conversion Cycle Analysis</w:t>
      </w:r>
    </w:p>
    <w:p w14:paraId="0FD8EEDC" w14:textId="77777777" w:rsidR="00000000" w:rsidRDefault="00000000">
      <w:pPr>
        <w:numPr>
          <w:ilvl w:val="0"/>
          <w:numId w:val="1"/>
        </w:numPr>
        <w:shd w:val="clear" w:color="auto" w:fill="E7F3FF"/>
        <w:spacing w:before="120" w:after="120"/>
        <w:divId w:val="1403917230"/>
        <w:rPr>
          <w:rFonts w:ascii="Calibri" w:eastAsia="Times New Roman" w:hAnsi="Calibri" w:cs="Calibri"/>
          <w:color w:val="333333"/>
          <w:lang w:val="en"/>
        </w:rPr>
      </w:pPr>
      <w:r>
        <w:rPr>
          <w:rFonts w:ascii="Calibri" w:eastAsia="Times New Roman" w:hAnsi="Calibri" w:cs="Calibri"/>
          <w:color w:val="333333"/>
          <w:lang w:val="en"/>
        </w:rPr>
        <w:t>Liability Structure Assessment</w:t>
      </w:r>
    </w:p>
    <w:p w14:paraId="10503422" w14:textId="77777777" w:rsidR="00000000" w:rsidRDefault="00000000">
      <w:pPr>
        <w:numPr>
          <w:ilvl w:val="0"/>
          <w:numId w:val="1"/>
        </w:numPr>
        <w:shd w:val="clear" w:color="auto" w:fill="E7F3FF"/>
        <w:spacing w:before="120" w:after="120"/>
        <w:divId w:val="1403917230"/>
        <w:rPr>
          <w:rFonts w:ascii="Calibri" w:eastAsia="Times New Roman" w:hAnsi="Calibri" w:cs="Calibri"/>
          <w:color w:val="333333"/>
          <w:lang w:val="en"/>
        </w:rPr>
      </w:pPr>
      <w:r>
        <w:rPr>
          <w:rFonts w:ascii="Calibri" w:eastAsia="Times New Roman" w:hAnsi="Calibri" w:cs="Calibri"/>
          <w:color w:val="333333"/>
          <w:lang w:val="en"/>
        </w:rPr>
        <w:t>Working Capital Evaluation</w:t>
      </w:r>
    </w:p>
    <w:p w14:paraId="6FECB764" w14:textId="77777777" w:rsidR="00000000" w:rsidRDefault="00000000">
      <w:pPr>
        <w:numPr>
          <w:ilvl w:val="0"/>
          <w:numId w:val="1"/>
        </w:numPr>
        <w:shd w:val="clear" w:color="auto" w:fill="E7F3FF"/>
        <w:spacing w:before="120" w:after="120"/>
        <w:divId w:val="1403917230"/>
        <w:rPr>
          <w:rFonts w:ascii="Calibri" w:eastAsia="Times New Roman" w:hAnsi="Calibri" w:cs="Calibri"/>
          <w:color w:val="333333"/>
          <w:lang w:val="en"/>
        </w:rPr>
      </w:pPr>
      <w:r>
        <w:rPr>
          <w:rFonts w:ascii="Calibri" w:eastAsia="Times New Roman" w:hAnsi="Calibri" w:cs="Calibri"/>
          <w:color w:val="333333"/>
          <w:lang w:val="en"/>
        </w:rPr>
        <w:t>Monthly Cash Flow Analysis</w:t>
      </w:r>
    </w:p>
    <w:p w14:paraId="67447CA0" w14:textId="77777777" w:rsidR="00000000" w:rsidRDefault="00000000">
      <w:pPr>
        <w:pStyle w:val="Heading2"/>
        <w:rPr>
          <w:rFonts w:ascii="Calibri" w:eastAsia="Times New Roman" w:hAnsi="Calibri" w:cs="Calibri"/>
          <w:lang w:val="en"/>
        </w:rPr>
      </w:pPr>
      <w:r>
        <w:rPr>
          <w:rFonts w:ascii="Calibri" w:eastAsia="Times New Roman" w:hAnsi="Calibri" w:cs="Calibri"/>
          <w:lang w:val="en"/>
        </w:rPr>
        <w:t>1. Financial Ratios Analysis</w:t>
      </w:r>
    </w:p>
    <w:p w14:paraId="496DE55C" w14:textId="77777777" w:rsidR="00000000" w:rsidRDefault="00000000">
      <w:pPr>
        <w:pStyle w:val="Heading3"/>
        <w:rPr>
          <w:rFonts w:ascii="Calibri" w:eastAsia="Times New Roman" w:hAnsi="Calibri" w:cs="Calibri"/>
          <w:lang w:val="en"/>
        </w:rPr>
      </w:pPr>
      <w:r>
        <w:rPr>
          <w:rFonts w:ascii="Calibri" w:eastAsia="Times New Roman" w:hAnsi="Calibri" w:cs="Calibri"/>
          <w:lang w:val="en"/>
        </w:rPr>
        <w:t>Company Overview</w:t>
      </w:r>
    </w:p>
    <w:p w14:paraId="1804CF18" w14:textId="77777777" w:rsidR="00000000" w:rsidRDefault="00000000">
      <w:pPr>
        <w:pStyle w:val="NormalWeb"/>
        <w:rPr>
          <w:rFonts w:ascii="Calibri" w:hAnsi="Calibri" w:cs="Calibri"/>
          <w:color w:val="333333"/>
          <w:lang w:val="en"/>
        </w:rPr>
      </w:pPr>
      <w:r>
        <w:rPr>
          <w:rFonts w:ascii="Calibri" w:hAnsi="Calibri" w:cs="Calibri"/>
          <w:color w:val="333333"/>
          <w:lang w:val="en"/>
        </w:rPr>
        <w:t>Tech Cargo operates in the logistics and freight services industry, a sector inherently exposed to economic cycles, supply chain disruptions, and cost volatility. Based on a financial risk review of 2024 full-year data and preliminary data through May 2025, the company shows stable revenue generation but faces rising liquidity and leverage risks. A critical investment thesis centers around the firm's growing working capital strain and slim profitability, making cash flow management and operational efficiency vital to its long-term viability.</w:t>
      </w:r>
    </w:p>
    <w:p w14:paraId="39FEE100" w14:textId="77777777" w:rsidR="00315684" w:rsidRDefault="00315684">
      <w:pPr>
        <w:pStyle w:val="NormalWeb"/>
        <w:rPr>
          <w:rFonts w:ascii="Calibri" w:hAnsi="Calibri" w:cs="Calibri"/>
          <w:color w:val="333333"/>
          <w:lang w:val="en"/>
        </w:rPr>
      </w:pPr>
    </w:p>
    <w:p w14:paraId="6A2CF494" w14:textId="77777777" w:rsidR="00315684" w:rsidRDefault="00315684">
      <w:pPr>
        <w:pStyle w:val="NormalWeb"/>
        <w:rPr>
          <w:rFonts w:ascii="Calibri" w:hAnsi="Calibri" w:cs="Calibri"/>
          <w:color w:val="333333"/>
          <w:lang w:val="en"/>
        </w:rPr>
      </w:pPr>
    </w:p>
    <w:p w14:paraId="46EC38BA" w14:textId="77777777" w:rsidR="00315684" w:rsidRDefault="00315684">
      <w:pPr>
        <w:pStyle w:val="NormalWeb"/>
        <w:rPr>
          <w:rFonts w:ascii="Calibri" w:hAnsi="Calibri" w:cs="Calibri"/>
          <w:color w:val="333333"/>
          <w:lang w:val="en"/>
        </w:rPr>
      </w:pPr>
    </w:p>
    <w:p w14:paraId="0B8988F0" w14:textId="1A2AF02F" w:rsidR="00000000" w:rsidRDefault="00000000" w:rsidP="00315684">
      <w:pPr>
        <w:pStyle w:val="Heading3"/>
        <w:numPr>
          <w:ilvl w:val="1"/>
          <w:numId w:val="14"/>
        </w:numPr>
        <w:rPr>
          <w:rFonts w:ascii="Calibri" w:eastAsia="Times New Roman" w:hAnsi="Calibri" w:cs="Calibri"/>
          <w:lang w:val="en"/>
        </w:rPr>
      </w:pPr>
      <w:r>
        <w:rPr>
          <w:rFonts w:ascii="Calibri" w:eastAsia="Times New Roman" w:hAnsi="Calibri" w:cs="Calibri"/>
          <w:lang w:val="en"/>
        </w:rPr>
        <w:lastRenderedPageBreak/>
        <w:t>Liquidity Ratios</w:t>
      </w:r>
    </w:p>
    <w:p w14:paraId="6E99B7BE" w14:textId="77777777" w:rsidR="00315684" w:rsidRDefault="00315684" w:rsidP="00315684">
      <w:pPr>
        <w:pStyle w:val="Heading3"/>
        <w:ind w:left="400"/>
        <w:rPr>
          <w:rFonts w:ascii="Calibri" w:eastAsia="Times New Roman" w:hAnsi="Calibri" w:cs="Calibri"/>
          <w:lang w:val="en"/>
        </w:rPr>
      </w:pPr>
    </w:p>
    <w:tbl>
      <w:tblPr>
        <w:tblW w:w="5000" w:type="pct"/>
        <w:tblCellMar>
          <w:top w:w="15" w:type="dxa"/>
          <w:left w:w="15" w:type="dxa"/>
          <w:bottom w:w="15" w:type="dxa"/>
          <w:right w:w="15" w:type="dxa"/>
        </w:tblCellMar>
        <w:tblLook w:val="04A0" w:firstRow="1" w:lastRow="0" w:firstColumn="1" w:lastColumn="0" w:noHBand="0" w:noVBand="1"/>
      </w:tblPr>
      <w:tblGrid>
        <w:gridCol w:w="1403"/>
        <w:gridCol w:w="3127"/>
        <w:gridCol w:w="666"/>
        <w:gridCol w:w="1093"/>
        <w:gridCol w:w="750"/>
        <w:gridCol w:w="1971"/>
      </w:tblGrid>
      <w:tr w:rsidR="00000000" w14:paraId="736DDA9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36572206"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Ratio</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47C11AEB"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Formula</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563281EF"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2024</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6AAFA27C"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May 2025</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6EF96821"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Trend</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711CA835"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Analysis</w:t>
            </w:r>
          </w:p>
        </w:tc>
      </w:tr>
      <w:tr w:rsidR="00000000" w14:paraId="2FB175B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8678488"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Current Ratio</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6543FBB"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Current Assets / Current Liabilities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91DB91C"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1.58</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4532849"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1.47</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53D4C70"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BAA4F4F"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Slight decline</w:t>
            </w:r>
          </w:p>
        </w:tc>
      </w:tr>
      <w:tr w:rsidR="00000000" w14:paraId="7CA2E5D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5FEF761"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Quick Ratio</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16519A8"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(CA - Inventory) / CL</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E961E90"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1.58</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01F8707"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1.47</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48BF62E"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87005FE"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 inventory impact</w:t>
            </w:r>
          </w:p>
        </w:tc>
      </w:tr>
    </w:tbl>
    <w:p w14:paraId="10578F92" w14:textId="77777777" w:rsidR="00000000" w:rsidRDefault="00000000">
      <w:pPr>
        <w:shd w:val="clear" w:color="auto" w:fill="F8F9FA"/>
        <w:divId w:val="2124572219"/>
        <w:rPr>
          <w:rFonts w:ascii="Calibri" w:eastAsia="Times New Roman" w:hAnsi="Calibri" w:cs="Calibri"/>
          <w:i/>
          <w:iCs/>
          <w:color w:val="333333"/>
          <w:lang w:val="en"/>
        </w:rPr>
      </w:pPr>
      <w:r>
        <w:rPr>
          <w:rStyle w:val="Strong"/>
          <w:rFonts w:ascii="Calibri" w:eastAsia="Times New Roman" w:hAnsi="Calibri" w:cs="Calibri"/>
          <w:i/>
          <w:iCs/>
          <w:color w:val="333333"/>
          <w:lang w:val="en"/>
        </w:rPr>
        <w:t>Interpretation:</w:t>
      </w:r>
      <w:r>
        <w:rPr>
          <w:rFonts w:ascii="Calibri" w:eastAsia="Times New Roman" w:hAnsi="Calibri" w:cs="Calibri"/>
          <w:i/>
          <w:iCs/>
          <w:color w:val="333333"/>
          <w:lang w:val="en"/>
        </w:rPr>
        <w:t xml:space="preserve"> Liquidity slightly declined due to faster growth in current liabilities than current assets. The firm remains above 1.0 but with thin margins. </w:t>
      </w:r>
    </w:p>
    <w:p w14:paraId="0A2B8545" w14:textId="77777777" w:rsidR="00000000" w:rsidRDefault="00000000">
      <w:pPr>
        <w:pStyle w:val="Heading3"/>
        <w:rPr>
          <w:rFonts w:ascii="Calibri" w:eastAsia="Times New Roman" w:hAnsi="Calibri" w:cs="Calibri"/>
          <w:lang w:val="en"/>
        </w:rPr>
      </w:pPr>
      <w:r>
        <w:rPr>
          <w:rFonts w:ascii="Calibri" w:eastAsia="Times New Roman" w:hAnsi="Calibri" w:cs="Calibri"/>
          <w:lang w:val="en"/>
        </w:rPr>
        <w:t>1.2 Profitability Ratios</w:t>
      </w:r>
    </w:p>
    <w:tbl>
      <w:tblPr>
        <w:tblW w:w="5000" w:type="pct"/>
        <w:tblCellMar>
          <w:top w:w="15" w:type="dxa"/>
          <w:left w:w="15" w:type="dxa"/>
          <w:bottom w:w="15" w:type="dxa"/>
          <w:right w:w="15" w:type="dxa"/>
        </w:tblCellMar>
        <w:tblLook w:val="04A0" w:firstRow="1" w:lastRow="0" w:firstColumn="1" w:lastColumn="0" w:noHBand="0" w:noVBand="1"/>
      </w:tblPr>
      <w:tblGrid>
        <w:gridCol w:w="2236"/>
        <w:gridCol w:w="2387"/>
        <w:gridCol w:w="763"/>
        <w:gridCol w:w="1148"/>
        <w:gridCol w:w="750"/>
        <w:gridCol w:w="1726"/>
      </w:tblGrid>
      <w:tr w:rsidR="00000000" w14:paraId="387DC38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42A46881"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Ratio</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3849FECC"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Formula</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09C09B19"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2024</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3D0AD065"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2025 (Est.)</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62E98303"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Trend</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3353FF81"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Analysis</w:t>
            </w:r>
          </w:p>
        </w:tc>
      </w:tr>
      <w:tr w:rsidR="00000000" w14:paraId="136642B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BC37081"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Gross Margin</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3BFE9DE"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Gross Profit / Revenue</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47BBDCC"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13.6%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A2CEDE9"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11.8%</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8AFE354"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EB0E5A1"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Margins declining</w:t>
            </w:r>
          </w:p>
        </w:tc>
      </w:tr>
      <w:tr w:rsidR="00000000" w14:paraId="0CE0277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519DEE9"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Net Profit Margin</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C89839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Net Income / Revenue</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289DD66"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1.2%</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DFF459C"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51E23F2"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055F68C"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Modest gain</w:t>
            </w:r>
          </w:p>
        </w:tc>
      </w:tr>
      <w:tr w:rsidR="00000000" w14:paraId="0F938A7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E56A21A"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Return on Assets (ROA)</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C9576D2"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Net Income / Total Assets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CFC12AE"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10.7%</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D65867C"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12.7%</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AE524D3"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3C2B480"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Efficient usage</w:t>
            </w:r>
          </w:p>
        </w:tc>
      </w:tr>
      <w:tr w:rsidR="00000000" w14:paraId="13AC14B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A33A35D"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lastRenderedPageBreak/>
              <w:t>Return on Equity (ROE)</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A0F001A"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Net Income / Equity</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C83ACB4"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28.6%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2854543"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39.0%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DBF0D4D"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56E4DD1"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Higher leverage</w:t>
            </w:r>
          </w:p>
        </w:tc>
      </w:tr>
    </w:tbl>
    <w:p w14:paraId="4BA4208D" w14:textId="77777777" w:rsidR="00000000" w:rsidRDefault="00000000">
      <w:pPr>
        <w:shd w:val="clear" w:color="auto" w:fill="F8F9FA"/>
        <w:divId w:val="1854875068"/>
        <w:rPr>
          <w:rFonts w:ascii="Calibri" w:eastAsia="Times New Roman" w:hAnsi="Calibri" w:cs="Calibri"/>
          <w:i/>
          <w:iCs/>
          <w:color w:val="333333"/>
          <w:lang w:val="en"/>
        </w:rPr>
      </w:pPr>
      <w:r>
        <w:rPr>
          <w:rStyle w:val="Strong"/>
          <w:rFonts w:ascii="Calibri" w:eastAsia="Times New Roman" w:hAnsi="Calibri" w:cs="Calibri"/>
          <w:i/>
          <w:iCs/>
          <w:color w:val="333333"/>
          <w:lang w:val="en"/>
        </w:rPr>
        <w:t>Interpretation:</w:t>
      </w:r>
      <w:r>
        <w:rPr>
          <w:rFonts w:ascii="Calibri" w:eastAsia="Times New Roman" w:hAnsi="Calibri" w:cs="Calibri"/>
          <w:i/>
          <w:iCs/>
          <w:color w:val="333333"/>
          <w:lang w:val="en"/>
        </w:rPr>
        <w:t xml:space="preserve"> Operating profitability is thin but improving. ROE surged due to higher income on a modest equity base, but this comes with increased leverage risk. </w:t>
      </w:r>
    </w:p>
    <w:p w14:paraId="72819A29" w14:textId="77777777" w:rsidR="00000000" w:rsidRDefault="00000000">
      <w:pPr>
        <w:pStyle w:val="Heading3"/>
        <w:rPr>
          <w:rFonts w:ascii="Calibri" w:eastAsia="Times New Roman" w:hAnsi="Calibri" w:cs="Calibri"/>
          <w:lang w:val="en"/>
        </w:rPr>
      </w:pPr>
      <w:r>
        <w:rPr>
          <w:rFonts w:ascii="Calibri" w:eastAsia="Times New Roman" w:hAnsi="Calibri" w:cs="Calibri"/>
          <w:lang w:val="en"/>
        </w:rPr>
        <w:t>1.3 Leverage Ratios</w:t>
      </w:r>
    </w:p>
    <w:tbl>
      <w:tblPr>
        <w:tblW w:w="5000" w:type="pct"/>
        <w:tblCellMar>
          <w:top w:w="15" w:type="dxa"/>
          <w:left w:w="15" w:type="dxa"/>
          <w:bottom w:w="15" w:type="dxa"/>
          <w:right w:w="15" w:type="dxa"/>
        </w:tblCellMar>
        <w:tblLook w:val="04A0" w:firstRow="1" w:lastRow="0" w:firstColumn="1" w:lastColumn="0" w:noHBand="0" w:noVBand="1"/>
      </w:tblPr>
      <w:tblGrid>
        <w:gridCol w:w="1756"/>
        <w:gridCol w:w="2560"/>
        <w:gridCol w:w="876"/>
        <w:gridCol w:w="1263"/>
        <w:gridCol w:w="861"/>
        <w:gridCol w:w="1694"/>
      </w:tblGrid>
      <w:tr w:rsidR="00000000" w14:paraId="681D17D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71040809"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Ratio</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42B525E6"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Formula</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3A7BC04C"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2024</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388CF1FC"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May 2025</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122C2A3D"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Trend</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435D29E5"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Analysis</w:t>
            </w:r>
          </w:p>
        </w:tc>
      </w:tr>
      <w:tr w:rsidR="00000000" w14:paraId="285B026E"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F27C721"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Debt-to-Equity</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40F0FC8"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Total Liabilities / Equity</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0DD60D9"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1.67x</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7D91B9B"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2.06x</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F04DAAE"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846348E"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Riskier profile</w:t>
            </w:r>
          </w:p>
        </w:tc>
      </w:tr>
      <w:tr w:rsidR="00000000" w14:paraId="31213D6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678FD71"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Equity Ratio</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A9FBCD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Equity / Total Assets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D1BF69E"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37.4%</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4D0F0ED"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32.6%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EB792A9"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38219B7"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Lower cushion</w:t>
            </w:r>
          </w:p>
        </w:tc>
      </w:tr>
    </w:tbl>
    <w:p w14:paraId="633E3E0F" w14:textId="77777777" w:rsidR="00000000" w:rsidRDefault="00000000">
      <w:pPr>
        <w:shd w:val="clear" w:color="auto" w:fill="F8F9FA"/>
        <w:divId w:val="313264233"/>
        <w:rPr>
          <w:rFonts w:ascii="Calibri" w:eastAsia="Times New Roman" w:hAnsi="Calibri" w:cs="Calibri"/>
          <w:i/>
          <w:iCs/>
          <w:color w:val="333333"/>
          <w:lang w:val="en"/>
        </w:rPr>
      </w:pPr>
      <w:r>
        <w:rPr>
          <w:rStyle w:val="Strong"/>
          <w:rFonts w:ascii="Calibri" w:eastAsia="Times New Roman" w:hAnsi="Calibri" w:cs="Calibri"/>
          <w:i/>
          <w:iCs/>
          <w:color w:val="333333"/>
          <w:lang w:val="en"/>
        </w:rPr>
        <w:t>Interpretation:</w:t>
      </w:r>
      <w:r>
        <w:rPr>
          <w:rFonts w:ascii="Calibri" w:eastAsia="Times New Roman" w:hAnsi="Calibri" w:cs="Calibri"/>
          <w:i/>
          <w:iCs/>
          <w:color w:val="333333"/>
          <w:lang w:val="en"/>
        </w:rPr>
        <w:t xml:space="preserve"> Rising leverage increases risk, despite equity growth. Over-reliance on supplier credit could impair flexibility. </w:t>
      </w:r>
    </w:p>
    <w:p w14:paraId="65DFBFE1" w14:textId="77777777" w:rsidR="00000000" w:rsidRDefault="00000000">
      <w:pPr>
        <w:pStyle w:val="Heading3"/>
        <w:rPr>
          <w:rFonts w:ascii="Calibri" w:eastAsia="Times New Roman" w:hAnsi="Calibri" w:cs="Calibri"/>
          <w:lang w:val="en"/>
        </w:rPr>
      </w:pPr>
      <w:r>
        <w:rPr>
          <w:rFonts w:ascii="Calibri" w:eastAsia="Times New Roman" w:hAnsi="Calibri" w:cs="Calibri"/>
          <w:lang w:val="en"/>
        </w:rPr>
        <w:t>1.4 Efficiency Ratios</w:t>
      </w:r>
    </w:p>
    <w:tbl>
      <w:tblPr>
        <w:tblW w:w="5000" w:type="pct"/>
        <w:tblCellMar>
          <w:top w:w="15" w:type="dxa"/>
          <w:left w:w="15" w:type="dxa"/>
          <w:bottom w:w="15" w:type="dxa"/>
          <w:right w:w="15" w:type="dxa"/>
        </w:tblCellMar>
        <w:tblLook w:val="04A0" w:firstRow="1" w:lastRow="0" w:firstColumn="1" w:lastColumn="0" w:noHBand="0" w:noVBand="1"/>
      </w:tblPr>
      <w:tblGrid>
        <w:gridCol w:w="2032"/>
        <w:gridCol w:w="2626"/>
        <w:gridCol w:w="904"/>
        <w:gridCol w:w="1087"/>
        <w:gridCol w:w="750"/>
        <w:gridCol w:w="1611"/>
      </w:tblGrid>
      <w:tr w:rsidR="00000000" w14:paraId="4212EA0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53D1134C"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Ratio</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16DE2E6B"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Formula</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64A7703F"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2024</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068A15A1"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2025 (Est.)</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7A6C74D0"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Trend</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2DCA39AA"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Analysis</w:t>
            </w:r>
          </w:p>
        </w:tc>
      </w:tr>
      <w:tr w:rsidR="00000000" w14:paraId="3FF1EA39"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AA8DC04"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Receivables Turnover</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B0D7E9C"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Revenue / Accounts Receivable</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FBF1BDB"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11.0x</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19CA40E"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14.7x</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14EA4E5"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118D00A"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Faster collection</w:t>
            </w:r>
          </w:p>
        </w:tc>
      </w:tr>
      <w:tr w:rsidR="00000000" w14:paraId="3406B5D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EB35756"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lastRenderedPageBreak/>
              <w:t>Payables Turnover</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12A54CA"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COGS / Accounts Payable</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00374FE"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13.1x</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FAC032D"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10.9x</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5029E8D"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08972D3"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Slower payments</w:t>
            </w:r>
          </w:p>
        </w:tc>
      </w:tr>
      <w:tr w:rsidR="00000000" w14:paraId="11CC52C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07A9A87"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Cash Conversion Cycle</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A86EC77"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DSO + DIO - DPO</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52A9B5D"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5.4 days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E970B6F"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-8.6 days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39E9A8F"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69C35E4"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Efficiency gain</w:t>
            </w:r>
          </w:p>
        </w:tc>
      </w:tr>
    </w:tbl>
    <w:p w14:paraId="66908C29" w14:textId="77777777" w:rsidR="00000000" w:rsidRDefault="00000000">
      <w:pPr>
        <w:shd w:val="clear" w:color="auto" w:fill="F8F9FA"/>
        <w:divId w:val="1840921770"/>
        <w:rPr>
          <w:rFonts w:ascii="Calibri" w:eastAsia="Times New Roman" w:hAnsi="Calibri" w:cs="Calibri"/>
          <w:i/>
          <w:iCs/>
          <w:color w:val="333333"/>
          <w:lang w:val="en"/>
        </w:rPr>
      </w:pPr>
      <w:r>
        <w:rPr>
          <w:rStyle w:val="Strong"/>
          <w:rFonts w:ascii="Calibri" w:eastAsia="Times New Roman" w:hAnsi="Calibri" w:cs="Calibri"/>
          <w:i/>
          <w:iCs/>
          <w:color w:val="333333"/>
          <w:lang w:val="en"/>
        </w:rPr>
        <w:t>Interpretation:</w:t>
      </w:r>
      <w:r>
        <w:rPr>
          <w:rFonts w:ascii="Calibri" w:eastAsia="Times New Roman" w:hAnsi="Calibri" w:cs="Calibri"/>
          <w:i/>
          <w:iCs/>
          <w:color w:val="333333"/>
          <w:lang w:val="en"/>
        </w:rPr>
        <w:t xml:space="preserve"> The firm collects faster and delays payments better in 2025, improving cash efficiency and reducing working capital pressure. </w:t>
      </w:r>
    </w:p>
    <w:p w14:paraId="525DE200" w14:textId="77777777" w:rsidR="00000000" w:rsidRDefault="00000000">
      <w:pPr>
        <w:pStyle w:val="Heading3"/>
        <w:rPr>
          <w:rFonts w:ascii="Calibri" w:eastAsia="Times New Roman" w:hAnsi="Calibri" w:cs="Calibri"/>
          <w:lang w:val="en"/>
        </w:rPr>
      </w:pPr>
      <w:r>
        <w:rPr>
          <w:rFonts w:ascii="Calibri" w:eastAsia="Times New Roman" w:hAnsi="Calibri" w:cs="Calibri"/>
          <w:lang w:val="en"/>
        </w:rPr>
        <w:t>1.5 Key Risk Indicators Summary</w:t>
      </w:r>
    </w:p>
    <w:tbl>
      <w:tblPr>
        <w:tblW w:w="5000" w:type="pct"/>
        <w:tblCellMar>
          <w:top w:w="15" w:type="dxa"/>
          <w:left w:w="15" w:type="dxa"/>
          <w:bottom w:w="15" w:type="dxa"/>
          <w:right w:w="15" w:type="dxa"/>
        </w:tblCellMar>
        <w:tblLook w:val="04A0" w:firstRow="1" w:lastRow="0" w:firstColumn="1" w:lastColumn="0" w:noHBand="0" w:noVBand="1"/>
      </w:tblPr>
      <w:tblGrid>
        <w:gridCol w:w="3118"/>
        <w:gridCol w:w="1226"/>
        <w:gridCol w:w="1297"/>
        <w:gridCol w:w="884"/>
        <w:gridCol w:w="2485"/>
      </w:tblGrid>
      <w:tr w:rsidR="00000000" w14:paraId="041DFE0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76B4036C"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72F435E0"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 2024</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1DC3C518"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May 2025</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7A6CE0CA"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Trend</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3DF892A1"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Risk Implication</w:t>
            </w:r>
          </w:p>
        </w:tc>
      </w:tr>
      <w:tr w:rsidR="00000000" w14:paraId="431AA7A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DA7670E"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Current Ratio</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A293802"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1.58</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A56A03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1.47</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84CF847"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BDDB2A1"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Slight liquidity risk</w:t>
            </w:r>
          </w:p>
        </w:tc>
      </w:tr>
      <w:tr w:rsidR="00000000" w14:paraId="5972AB7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09D767F"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Quick Ratio (excl. Inventory)</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3D7CA04"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86DDA3C"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95A2762"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2A5B08B"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 AR dependency</w:t>
            </w:r>
          </w:p>
        </w:tc>
      </w:tr>
      <w:tr w:rsidR="00000000" w14:paraId="07543F7E"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F28246F"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Accounts Payable</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20A7F01"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$791K</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7B72A8C"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$1.16M</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8E806E3"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85D1DFC"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Higher supplier risk</w:t>
            </w:r>
          </w:p>
        </w:tc>
      </w:tr>
      <w:tr w:rsidR="00000000" w14:paraId="27D1ABA9"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6146A50"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Total Liabilities/Equity</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83F58FB"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1.67x</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1454776"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2.06x</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9D34F22"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A8FC050"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Rising financial risk</w:t>
            </w:r>
          </w:p>
        </w:tc>
      </w:tr>
      <w:tr w:rsidR="00000000" w14:paraId="015D5F9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1B329C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Gross Profit Margin</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15626F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13.6%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1216E48"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11.8%</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A907B81"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3DEB1F2"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Cost pressure</w:t>
            </w:r>
          </w:p>
        </w:tc>
      </w:tr>
      <w:tr w:rsidR="00000000" w14:paraId="4FC8AD4E"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628F30D"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Net Profit Margin</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C0139B4"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1.2%</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60F76B2"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A496F5E"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E4247C8"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Modest improvement</w:t>
            </w:r>
          </w:p>
        </w:tc>
      </w:tr>
    </w:tbl>
    <w:p w14:paraId="60AD67AB" w14:textId="77777777" w:rsidR="00000000" w:rsidRDefault="00000000">
      <w:pPr>
        <w:pStyle w:val="Heading3"/>
        <w:rPr>
          <w:rFonts w:ascii="Calibri" w:eastAsia="Times New Roman" w:hAnsi="Calibri" w:cs="Calibri"/>
          <w:lang w:val="en"/>
        </w:rPr>
      </w:pPr>
      <w:r>
        <w:rPr>
          <w:rFonts w:ascii="Calibri" w:eastAsia="Times New Roman" w:hAnsi="Calibri" w:cs="Calibri"/>
          <w:lang w:val="en"/>
        </w:rPr>
        <w:t>1.6 Industry Benchmark Comparison</w:t>
      </w:r>
    </w:p>
    <w:tbl>
      <w:tblPr>
        <w:tblW w:w="5000" w:type="pct"/>
        <w:tblCellMar>
          <w:top w:w="15" w:type="dxa"/>
          <w:left w:w="15" w:type="dxa"/>
          <w:bottom w:w="15" w:type="dxa"/>
          <w:right w:w="15" w:type="dxa"/>
        </w:tblCellMar>
        <w:tblLook w:val="04A0" w:firstRow="1" w:lastRow="0" w:firstColumn="1" w:lastColumn="0" w:noHBand="0" w:noVBand="1"/>
      </w:tblPr>
      <w:tblGrid>
        <w:gridCol w:w="2056"/>
        <w:gridCol w:w="1585"/>
        <w:gridCol w:w="1322"/>
        <w:gridCol w:w="1419"/>
        <w:gridCol w:w="2628"/>
      </w:tblGrid>
      <w:tr w:rsidR="00000000" w14:paraId="2A270B0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776EFF42"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784375A4"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Tech Cargo 2024</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4F051FB8"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May 2025</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129EBB86"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Industry Range</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6E8CC9CF"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 Observation</w:t>
            </w:r>
          </w:p>
        </w:tc>
      </w:tr>
      <w:tr w:rsidR="00000000" w14:paraId="0CEC6A5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6DDE222"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Gross Margin</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938F1BD"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13.6%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89ED321"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11.8%</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016490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~20-21%</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1FC08DB"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Below industry average</w:t>
            </w:r>
          </w:p>
        </w:tc>
      </w:tr>
      <w:tr w:rsidR="00000000" w14:paraId="0A42F89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4B84898"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Net Margin</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CC5E9E1"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1.2%</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FAA1D7B"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C39A8C3"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B0C19B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Below norm</w:t>
            </w:r>
          </w:p>
        </w:tc>
      </w:tr>
      <w:tr w:rsidR="00000000" w14:paraId="035E47A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64694EA"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EBITDA Margin</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CCB9E5D"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Est. ~5%</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A8728F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Est. ~6%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E3B0A4F"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~12%</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A07413A"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Substantially lower</w:t>
            </w:r>
          </w:p>
        </w:tc>
      </w:tr>
      <w:tr w:rsidR="00000000" w14:paraId="798A2C4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2F0B08E"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Free Cash Flow Margin</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6B22953"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Negative (~-1.3%)</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BE84B04"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Positive (~4%)</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992A7A8"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A368B48"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Below average, improving</w:t>
            </w:r>
          </w:p>
        </w:tc>
      </w:tr>
      <w:tr w:rsidR="00000000" w14:paraId="5489650A"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4D1D246"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Current/Quick Ratio</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07C94AE"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1.58 / 1.58</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660BB78"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1.47 / 1.47</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8049F6B"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1.2-1.5</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464A7E1"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Generally healthy</w:t>
            </w:r>
          </w:p>
        </w:tc>
      </w:tr>
      <w:tr w:rsidR="00000000" w14:paraId="3F81C903"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5F605AD"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Debt-to-Equity Ratio</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A449DE8"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1.67×</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56AA1DF"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2.06×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6D0EAFD"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~1.0-1.5</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7D3B2DD"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Above typical; leverage elevated</w:t>
            </w:r>
          </w:p>
        </w:tc>
      </w:tr>
    </w:tbl>
    <w:p w14:paraId="7109542D" w14:textId="77777777" w:rsidR="00000000" w:rsidRDefault="007846D9">
      <w:pPr>
        <w:spacing w:before="450" w:after="450"/>
        <w:rPr>
          <w:rFonts w:ascii="Calibri" w:eastAsia="Times New Roman" w:hAnsi="Calibri" w:cs="Calibri"/>
          <w:color w:val="333333"/>
          <w:lang w:val="en"/>
        </w:rPr>
      </w:pPr>
      <w:r>
        <w:rPr>
          <w:rFonts w:ascii="Calibri" w:eastAsia="Times New Roman" w:hAnsi="Calibri" w:cs="Calibri"/>
          <w:noProof/>
          <w:color w:val="333333"/>
          <w:lang w:val="en"/>
        </w:rPr>
        <w:pict w14:anchorId="1660F035">
          <v:rect id="_x0000_i1029" alt="" style="width:451.3pt;height:.05pt;mso-width-percent:0;mso-height-percent:0;mso-width-percent:0;mso-height-percent:0" o:hralign="center" o:hrstd="t" o:hr="t" fillcolor="#a0a0a0" stroked="f"/>
        </w:pict>
      </w:r>
    </w:p>
    <w:p w14:paraId="0DEF2542" w14:textId="77777777" w:rsidR="00000000" w:rsidRDefault="00000000">
      <w:pPr>
        <w:pStyle w:val="Heading2"/>
        <w:rPr>
          <w:rFonts w:ascii="Calibri" w:eastAsia="Times New Roman" w:hAnsi="Calibri" w:cs="Calibri"/>
          <w:lang w:val="en"/>
        </w:rPr>
      </w:pPr>
      <w:r>
        <w:rPr>
          <w:rFonts w:ascii="Calibri" w:eastAsia="Times New Roman" w:hAnsi="Calibri" w:cs="Calibri"/>
          <w:lang w:val="en"/>
        </w:rPr>
        <w:lastRenderedPageBreak/>
        <w:t>2. Cash Conversion Cycle Analysis</w:t>
      </w:r>
    </w:p>
    <w:p w14:paraId="2A74FF76" w14:textId="77777777" w:rsidR="00000000" w:rsidRDefault="00000000">
      <w:pPr>
        <w:pStyle w:val="Heading3"/>
        <w:rPr>
          <w:rFonts w:ascii="Calibri" w:eastAsia="Times New Roman" w:hAnsi="Calibri" w:cs="Calibri"/>
          <w:lang w:val="en"/>
        </w:rPr>
      </w:pPr>
      <w:r>
        <w:rPr>
          <w:rFonts w:ascii="Calibri" w:eastAsia="Times New Roman" w:hAnsi="Calibri" w:cs="Calibri"/>
          <w:lang w:val="en"/>
        </w:rPr>
        <w:t>2.1 Fiscal Year 2024 Analysis</w:t>
      </w:r>
    </w:p>
    <w:p w14:paraId="65792B54" w14:textId="77777777" w:rsidR="00000000" w:rsidRDefault="00000000">
      <w:pPr>
        <w:pStyle w:val="Heading4"/>
        <w:rPr>
          <w:rFonts w:ascii="Calibri" w:eastAsia="Times New Roman" w:hAnsi="Calibri" w:cs="Calibri"/>
          <w:lang w:val="en"/>
        </w:rPr>
      </w:pPr>
      <w:r>
        <w:rPr>
          <w:rFonts w:ascii="Calibri" w:eastAsia="Times New Roman" w:hAnsi="Calibri" w:cs="Calibri"/>
          <w:lang w:val="en"/>
        </w:rPr>
        <w:t>Key Financial Inputs</w:t>
      </w:r>
    </w:p>
    <w:p w14:paraId="74803112" w14:textId="77777777" w:rsidR="00000000" w:rsidRDefault="00000000">
      <w:pPr>
        <w:numPr>
          <w:ilvl w:val="0"/>
          <w:numId w:val="2"/>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Revenue (2024):</w:t>
      </w:r>
      <w:r>
        <w:rPr>
          <w:rFonts w:ascii="Calibri" w:eastAsia="Times New Roman" w:hAnsi="Calibri" w:cs="Calibri"/>
          <w:color w:val="333333"/>
          <w:lang w:val="en"/>
        </w:rPr>
        <w:t xml:space="preserve"> </w:t>
      </w:r>
      <w:r>
        <w:rPr>
          <w:rStyle w:val="number-highlight1"/>
          <w:rFonts w:ascii="Calibri" w:eastAsia="Times New Roman" w:hAnsi="Calibri" w:cs="Calibri"/>
          <w:lang w:val="en"/>
        </w:rPr>
        <w:t>$12,024,795.55</w:t>
      </w:r>
    </w:p>
    <w:p w14:paraId="74E76D88" w14:textId="77777777" w:rsidR="00000000" w:rsidRDefault="00000000">
      <w:pPr>
        <w:numPr>
          <w:ilvl w:val="0"/>
          <w:numId w:val="2"/>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COGS (2024):</w:t>
      </w:r>
      <w:r>
        <w:rPr>
          <w:rFonts w:ascii="Calibri" w:eastAsia="Times New Roman" w:hAnsi="Calibri" w:cs="Calibri"/>
          <w:color w:val="333333"/>
          <w:lang w:val="en"/>
        </w:rPr>
        <w:t xml:space="preserve"> </w:t>
      </w:r>
      <w:r>
        <w:rPr>
          <w:rStyle w:val="number-highlight1"/>
          <w:rFonts w:ascii="Calibri" w:eastAsia="Times New Roman" w:hAnsi="Calibri" w:cs="Calibri"/>
          <w:lang w:val="en"/>
        </w:rPr>
        <w:t>$10,391,886.19</w:t>
      </w:r>
    </w:p>
    <w:p w14:paraId="6D61ED1E" w14:textId="77777777" w:rsidR="00000000" w:rsidRDefault="00000000">
      <w:pPr>
        <w:numPr>
          <w:ilvl w:val="0"/>
          <w:numId w:val="2"/>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Revenue per day:</w:t>
      </w:r>
      <w:r>
        <w:rPr>
          <w:rFonts w:ascii="Calibri" w:eastAsia="Times New Roman" w:hAnsi="Calibri" w:cs="Calibri"/>
          <w:color w:val="333333"/>
          <w:lang w:val="en"/>
        </w:rPr>
        <w:t xml:space="preserve"> </w:t>
      </w:r>
      <w:r>
        <w:rPr>
          <w:rStyle w:val="number-highlight1"/>
          <w:rFonts w:ascii="Calibri" w:eastAsia="Times New Roman" w:hAnsi="Calibri" w:cs="Calibri"/>
          <w:lang w:val="en"/>
        </w:rPr>
        <w:t>$32,943</w:t>
      </w:r>
    </w:p>
    <w:p w14:paraId="60D29BB2" w14:textId="77777777" w:rsidR="00000000" w:rsidRDefault="00000000">
      <w:pPr>
        <w:numPr>
          <w:ilvl w:val="0"/>
          <w:numId w:val="2"/>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COGS per day:</w:t>
      </w:r>
      <w:r>
        <w:rPr>
          <w:rFonts w:ascii="Calibri" w:eastAsia="Times New Roman" w:hAnsi="Calibri" w:cs="Calibri"/>
          <w:color w:val="333333"/>
          <w:lang w:val="en"/>
        </w:rPr>
        <w:t xml:space="preserve"> </w:t>
      </w:r>
      <w:r>
        <w:rPr>
          <w:rStyle w:val="number-highlight1"/>
          <w:rFonts w:ascii="Calibri" w:eastAsia="Times New Roman" w:hAnsi="Calibri" w:cs="Calibri"/>
          <w:lang w:val="en"/>
        </w:rPr>
        <w:t>$28,464</w:t>
      </w:r>
    </w:p>
    <w:p w14:paraId="0AABE8FD" w14:textId="77777777" w:rsidR="00000000" w:rsidRDefault="00000000">
      <w:pPr>
        <w:pStyle w:val="Heading4"/>
        <w:rPr>
          <w:rFonts w:ascii="Calibri" w:eastAsia="Times New Roman" w:hAnsi="Calibri" w:cs="Calibri"/>
          <w:lang w:val="en"/>
        </w:rPr>
      </w:pPr>
      <w:r>
        <w:rPr>
          <w:rFonts w:ascii="Calibri" w:eastAsia="Times New Roman" w:hAnsi="Calibri" w:cs="Calibri"/>
          <w:lang w:val="en"/>
        </w:rPr>
        <w:t>Balance Sheet Data (December 31, 2024)</w:t>
      </w:r>
    </w:p>
    <w:p w14:paraId="0015E5EA" w14:textId="77777777" w:rsidR="00000000" w:rsidRDefault="00000000">
      <w:pPr>
        <w:numPr>
          <w:ilvl w:val="0"/>
          <w:numId w:val="3"/>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Accounts Receivable:</w:t>
      </w:r>
      <w:r>
        <w:rPr>
          <w:rFonts w:ascii="Calibri" w:eastAsia="Times New Roman" w:hAnsi="Calibri" w:cs="Calibri"/>
          <w:color w:val="333333"/>
          <w:lang w:val="en"/>
        </w:rPr>
        <w:t xml:space="preserve"> </w:t>
      </w:r>
      <w:r>
        <w:rPr>
          <w:rStyle w:val="number-highlight1"/>
          <w:rFonts w:ascii="Calibri" w:eastAsia="Times New Roman" w:hAnsi="Calibri" w:cs="Calibri"/>
          <w:lang w:val="en"/>
        </w:rPr>
        <w:t>$1,092,519.44</w:t>
      </w:r>
    </w:p>
    <w:p w14:paraId="6321F7BB" w14:textId="77777777" w:rsidR="00000000" w:rsidRDefault="00000000">
      <w:pPr>
        <w:numPr>
          <w:ilvl w:val="0"/>
          <w:numId w:val="3"/>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Accounts Payable:</w:t>
      </w:r>
      <w:r>
        <w:rPr>
          <w:rFonts w:ascii="Calibri" w:eastAsia="Times New Roman" w:hAnsi="Calibri" w:cs="Calibri"/>
          <w:color w:val="333333"/>
          <w:lang w:val="en"/>
        </w:rPr>
        <w:t xml:space="preserve"> </w:t>
      </w:r>
      <w:r>
        <w:rPr>
          <w:rStyle w:val="number-highlight1"/>
          <w:rFonts w:ascii="Calibri" w:eastAsia="Times New Roman" w:hAnsi="Calibri" w:cs="Calibri"/>
          <w:lang w:val="en"/>
        </w:rPr>
        <w:t>$791,630.56</w:t>
      </w:r>
    </w:p>
    <w:p w14:paraId="2929A3D8" w14:textId="77777777" w:rsidR="00000000" w:rsidRDefault="00000000">
      <w:pPr>
        <w:numPr>
          <w:ilvl w:val="0"/>
          <w:numId w:val="3"/>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Inventory:</w:t>
      </w:r>
      <w:r>
        <w:rPr>
          <w:rFonts w:ascii="Calibri" w:eastAsia="Times New Roman" w:hAnsi="Calibri" w:cs="Calibri"/>
          <w:color w:val="333333"/>
          <w:lang w:val="en"/>
        </w:rPr>
        <w:t xml:space="preserve"> No inventory recorded (DIO = 0)</w:t>
      </w:r>
    </w:p>
    <w:p w14:paraId="3D7F4D97" w14:textId="77777777" w:rsidR="00000000" w:rsidRDefault="00000000">
      <w:pPr>
        <w:pStyle w:val="Heading4"/>
        <w:rPr>
          <w:rFonts w:ascii="Calibri" w:eastAsia="Times New Roman" w:hAnsi="Calibri" w:cs="Calibri"/>
          <w:lang w:val="en"/>
        </w:rPr>
      </w:pPr>
      <w:r>
        <w:rPr>
          <w:rFonts w:ascii="Calibri" w:eastAsia="Times New Roman" w:hAnsi="Calibri" w:cs="Calibri"/>
          <w:lang w:val="en"/>
        </w:rPr>
        <w:t>Cash Conversion Cycle Components</w:t>
      </w:r>
    </w:p>
    <w:tbl>
      <w:tblPr>
        <w:tblW w:w="5000" w:type="pct"/>
        <w:tblCellMar>
          <w:top w:w="15" w:type="dxa"/>
          <w:left w:w="15" w:type="dxa"/>
          <w:bottom w:w="15" w:type="dxa"/>
          <w:right w:w="15" w:type="dxa"/>
        </w:tblCellMar>
        <w:tblLook w:val="04A0" w:firstRow="1" w:lastRow="0" w:firstColumn="1" w:lastColumn="0" w:noHBand="0" w:noVBand="1"/>
      </w:tblPr>
      <w:tblGrid>
        <w:gridCol w:w="3292"/>
        <w:gridCol w:w="2488"/>
        <w:gridCol w:w="2132"/>
        <w:gridCol w:w="1098"/>
      </w:tblGrid>
      <w:tr w:rsidR="00000000" w14:paraId="550A28F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57D07591"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733B221A"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Formula</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3E9824E6"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Calculation</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6DCC634B"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Result</w:t>
            </w:r>
          </w:p>
        </w:tc>
      </w:tr>
      <w:tr w:rsidR="00000000" w14:paraId="3B1321E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1D32564"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Days Sales Outstanding (DSO)</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C4E18A4"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 / Revenue per day</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B13FE9A"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$1,092,519 / $32,943</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91B6589" w14:textId="77777777" w:rsidR="00000000" w:rsidRDefault="00000000">
            <w:pPr>
              <w:spacing w:before="300" w:after="300"/>
              <w:rPr>
                <w:rFonts w:ascii="Calibri" w:eastAsia="Times New Roman" w:hAnsi="Calibri" w:cs="Calibri"/>
                <w:b/>
                <w:bCs/>
                <w:color w:val="1F4E79"/>
                <w:sz w:val="21"/>
                <w:szCs w:val="21"/>
              </w:rPr>
            </w:pPr>
            <w:r>
              <w:rPr>
                <w:rFonts w:ascii="Calibri" w:eastAsia="Times New Roman" w:hAnsi="Calibri" w:cs="Calibri"/>
                <w:b/>
                <w:bCs/>
                <w:color w:val="1F4E79"/>
                <w:sz w:val="21"/>
                <w:szCs w:val="21"/>
              </w:rPr>
              <w:t>33.2 days</w:t>
            </w:r>
          </w:p>
        </w:tc>
      </w:tr>
      <w:tr w:rsidR="00000000" w14:paraId="0334105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80821F6"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Days Inventory Outstanding (DIO)</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B0BB70E"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Inventory / COGS per day</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B7A6203"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$0 / $28,464</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10EE356" w14:textId="77777777" w:rsidR="00000000" w:rsidRDefault="00000000">
            <w:pPr>
              <w:spacing w:before="300" w:after="300"/>
              <w:rPr>
                <w:rFonts w:ascii="Calibri" w:eastAsia="Times New Roman" w:hAnsi="Calibri" w:cs="Calibri"/>
                <w:b/>
                <w:bCs/>
                <w:color w:val="1F4E79"/>
                <w:sz w:val="21"/>
                <w:szCs w:val="21"/>
              </w:rPr>
            </w:pPr>
            <w:r>
              <w:rPr>
                <w:rFonts w:ascii="Calibri" w:eastAsia="Times New Roman" w:hAnsi="Calibri" w:cs="Calibri"/>
                <w:b/>
                <w:bCs/>
                <w:color w:val="1F4E79"/>
                <w:sz w:val="21"/>
                <w:szCs w:val="21"/>
              </w:rPr>
              <w:t>0 days</w:t>
            </w:r>
          </w:p>
        </w:tc>
      </w:tr>
      <w:tr w:rsidR="00000000" w14:paraId="2C62548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F63B8FC"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Days Payables Outstanding (DPO)</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FBCA48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AP / COGS per day</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3004E5E"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$791,630 / $28,464</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DCB53FF" w14:textId="77777777" w:rsidR="00000000" w:rsidRDefault="00000000">
            <w:pPr>
              <w:spacing w:before="300" w:after="300"/>
              <w:rPr>
                <w:rFonts w:ascii="Calibri" w:eastAsia="Times New Roman" w:hAnsi="Calibri" w:cs="Calibri"/>
                <w:b/>
                <w:bCs/>
                <w:color w:val="1F4E79"/>
                <w:sz w:val="21"/>
                <w:szCs w:val="21"/>
              </w:rPr>
            </w:pPr>
            <w:r>
              <w:rPr>
                <w:rFonts w:ascii="Calibri" w:eastAsia="Times New Roman" w:hAnsi="Calibri" w:cs="Calibri"/>
                <w:b/>
                <w:bCs/>
                <w:color w:val="1F4E79"/>
                <w:sz w:val="21"/>
                <w:szCs w:val="21"/>
              </w:rPr>
              <w:t>27.8 days</w:t>
            </w:r>
          </w:p>
        </w:tc>
      </w:tr>
    </w:tbl>
    <w:p w14:paraId="535262E3" w14:textId="77777777" w:rsidR="00000000" w:rsidRDefault="00000000">
      <w:pPr>
        <w:pStyle w:val="Heading4"/>
        <w:shd w:val="clear" w:color="auto" w:fill="E7F3FF"/>
        <w:divId w:val="1315179605"/>
        <w:rPr>
          <w:rFonts w:ascii="Calibri" w:eastAsia="Times New Roman" w:hAnsi="Calibri" w:cs="Calibri"/>
          <w:lang w:val="en"/>
        </w:rPr>
      </w:pPr>
      <w:r>
        <w:rPr>
          <w:rFonts w:ascii="Calibri" w:eastAsia="Times New Roman" w:hAnsi="Calibri" w:cs="Calibri"/>
          <w:lang w:val="en"/>
        </w:rPr>
        <w:t xml:space="preserve">Cash Conversion Cycle (2024): 33.2 + 0 - 27.8 = </w:t>
      </w:r>
      <w:r>
        <w:rPr>
          <w:rStyle w:val="number-highlight1"/>
          <w:rFonts w:ascii="Calibri" w:eastAsia="Times New Roman" w:hAnsi="Calibri" w:cs="Calibri"/>
          <w:b/>
          <w:bCs/>
          <w:lang w:val="en"/>
        </w:rPr>
        <w:t>5.4 days</w:t>
      </w:r>
    </w:p>
    <w:p w14:paraId="1AA88B1D" w14:textId="77777777" w:rsidR="00000000" w:rsidRDefault="00000000">
      <w:pPr>
        <w:pStyle w:val="Heading4"/>
        <w:shd w:val="clear" w:color="auto" w:fill="F8F9FA"/>
        <w:divId w:val="728113953"/>
        <w:rPr>
          <w:rFonts w:ascii="Calibri" w:eastAsia="Times New Roman" w:hAnsi="Calibri" w:cs="Calibri"/>
          <w:i/>
          <w:iCs/>
          <w:lang w:val="en"/>
        </w:rPr>
      </w:pPr>
      <w:r>
        <w:rPr>
          <w:rFonts w:ascii="Calibri" w:eastAsia="Times New Roman" w:hAnsi="Calibri" w:cs="Calibri"/>
          <w:i/>
          <w:iCs/>
          <w:lang w:val="en"/>
        </w:rPr>
        <w:t>Interpretation (2024)</w:t>
      </w:r>
    </w:p>
    <w:p w14:paraId="4EED998C" w14:textId="77777777" w:rsidR="00000000" w:rsidRDefault="00000000">
      <w:pPr>
        <w:pStyle w:val="NormalWeb"/>
        <w:shd w:val="clear" w:color="auto" w:fill="F8F9FA"/>
        <w:divId w:val="728113953"/>
        <w:rPr>
          <w:rFonts w:ascii="Calibri" w:hAnsi="Calibri" w:cs="Calibri"/>
          <w:i/>
          <w:iCs/>
          <w:color w:val="333333"/>
          <w:lang w:val="en"/>
        </w:rPr>
      </w:pPr>
      <w:r>
        <w:rPr>
          <w:rFonts w:ascii="Calibri" w:hAnsi="Calibri" w:cs="Calibri"/>
          <w:i/>
          <w:iCs/>
          <w:color w:val="333333"/>
          <w:lang w:val="en"/>
        </w:rPr>
        <w:t>The CCC of 5.4 days indicates that Tech Cargo required working capital for approximately one week between paying suppliers and collecting from customers. This positive CCC suggests some liquidity risk, which improved notably in 2025.</w:t>
      </w:r>
    </w:p>
    <w:p w14:paraId="0C286AAD" w14:textId="77777777" w:rsidR="00000000" w:rsidRDefault="00000000">
      <w:pPr>
        <w:pStyle w:val="Heading3"/>
        <w:rPr>
          <w:rFonts w:ascii="Calibri" w:eastAsia="Times New Roman" w:hAnsi="Calibri" w:cs="Calibri"/>
          <w:lang w:val="en"/>
        </w:rPr>
      </w:pPr>
      <w:r>
        <w:rPr>
          <w:rFonts w:ascii="Calibri" w:eastAsia="Times New Roman" w:hAnsi="Calibri" w:cs="Calibri"/>
          <w:lang w:val="en"/>
        </w:rPr>
        <w:lastRenderedPageBreak/>
        <w:t>2.2 Year-to-Date 2025 Analysis</w:t>
      </w:r>
    </w:p>
    <w:p w14:paraId="05912806" w14:textId="77777777" w:rsidR="00000000" w:rsidRDefault="00000000">
      <w:pPr>
        <w:pStyle w:val="Heading4"/>
        <w:rPr>
          <w:rFonts w:ascii="Calibri" w:eastAsia="Times New Roman" w:hAnsi="Calibri" w:cs="Calibri"/>
          <w:lang w:val="en"/>
        </w:rPr>
      </w:pPr>
      <w:r>
        <w:rPr>
          <w:rFonts w:ascii="Calibri" w:eastAsia="Times New Roman" w:hAnsi="Calibri" w:cs="Calibri"/>
          <w:lang w:val="en"/>
        </w:rPr>
        <w:t>Key Financial Inputs (Annualized)</w:t>
      </w:r>
    </w:p>
    <w:p w14:paraId="2CB911FF" w14:textId="77777777" w:rsidR="00000000" w:rsidRDefault="00000000">
      <w:pPr>
        <w:numPr>
          <w:ilvl w:val="0"/>
          <w:numId w:val="4"/>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Revenue (2025):</w:t>
      </w:r>
      <w:r>
        <w:rPr>
          <w:rFonts w:ascii="Calibri" w:eastAsia="Times New Roman" w:hAnsi="Calibri" w:cs="Calibri"/>
          <w:color w:val="333333"/>
          <w:lang w:val="en"/>
        </w:rPr>
        <w:t xml:space="preserve"> $5.97M × 12/5 = </w:t>
      </w:r>
      <w:r>
        <w:rPr>
          <w:rStyle w:val="number-highlight1"/>
          <w:rFonts w:ascii="Calibri" w:eastAsia="Times New Roman" w:hAnsi="Calibri" w:cs="Calibri"/>
          <w:lang w:val="en"/>
        </w:rPr>
        <w:t>$14.32M</w:t>
      </w:r>
    </w:p>
    <w:p w14:paraId="52F436BB" w14:textId="77777777" w:rsidR="00000000" w:rsidRDefault="00000000">
      <w:pPr>
        <w:numPr>
          <w:ilvl w:val="0"/>
          <w:numId w:val="4"/>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COGS (2025):</w:t>
      </w:r>
      <w:r>
        <w:rPr>
          <w:rFonts w:ascii="Calibri" w:eastAsia="Times New Roman" w:hAnsi="Calibri" w:cs="Calibri"/>
          <w:color w:val="333333"/>
          <w:lang w:val="en"/>
        </w:rPr>
        <w:t xml:space="preserve"> $5.26M × 12/5 = </w:t>
      </w:r>
      <w:r>
        <w:rPr>
          <w:rStyle w:val="number-highlight1"/>
          <w:rFonts w:ascii="Calibri" w:eastAsia="Times New Roman" w:hAnsi="Calibri" w:cs="Calibri"/>
          <w:lang w:val="en"/>
        </w:rPr>
        <w:t>$12.63M</w:t>
      </w:r>
    </w:p>
    <w:p w14:paraId="7DE48EA1" w14:textId="77777777" w:rsidR="00000000" w:rsidRDefault="00000000">
      <w:pPr>
        <w:numPr>
          <w:ilvl w:val="0"/>
          <w:numId w:val="4"/>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Revenue per day:</w:t>
      </w:r>
      <w:r>
        <w:rPr>
          <w:rFonts w:ascii="Calibri" w:eastAsia="Times New Roman" w:hAnsi="Calibri" w:cs="Calibri"/>
          <w:color w:val="333333"/>
          <w:lang w:val="en"/>
        </w:rPr>
        <w:t xml:space="preserve"> </w:t>
      </w:r>
      <w:r>
        <w:rPr>
          <w:rStyle w:val="number-highlight1"/>
          <w:rFonts w:ascii="Calibri" w:eastAsia="Times New Roman" w:hAnsi="Calibri" w:cs="Calibri"/>
          <w:lang w:val="en"/>
        </w:rPr>
        <w:t>$39,226</w:t>
      </w:r>
    </w:p>
    <w:p w14:paraId="4440A981" w14:textId="77777777" w:rsidR="00000000" w:rsidRDefault="00000000">
      <w:pPr>
        <w:numPr>
          <w:ilvl w:val="0"/>
          <w:numId w:val="4"/>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COGS per day:</w:t>
      </w:r>
      <w:r>
        <w:rPr>
          <w:rFonts w:ascii="Calibri" w:eastAsia="Times New Roman" w:hAnsi="Calibri" w:cs="Calibri"/>
          <w:color w:val="333333"/>
          <w:lang w:val="en"/>
        </w:rPr>
        <w:t xml:space="preserve"> </w:t>
      </w:r>
      <w:r>
        <w:rPr>
          <w:rStyle w:val="number-highlight1"/>
          <w:rFonts w:ascii="Calibri" w:eastAsia="Times New Roman" w:hAnsi="Calibri" w:cs="Calibri"/>
          <w:lang w:val="en"/>
        </w:rPr>
        <w:t>$34,616</w:t>
      </w:r>
    </w:p>
    <w:p w14:paraId="7FB38CCE" w14:textId="77777777" w:rsidR="00000000" w:rsidRDefault="00000000">
      <w:pPr>
        <w:pStyle w:val="Heading4"/>
        <w:rPr>
          <w:rFonts w:ascii="Calibri" w:eastAsia="Times New Roman" w:hAnsi="Calibri" w:cs="Calibri"/>
          <w:lang w:val="en"/>
        </w:rPr>
      </w:pPr>
      <w:r>
        <w:rPr>
          <w:rFonts w:ascii="Calibri" w:eastAsia="Times New Roman" w:hAnsi="Calibri" w:cs="Calibri"/>
          <w:lang w:val="en"/>
        </w:rPr>
        <w:t>Balance Sheet Data (May 31, 2025)</w:t>
      </w:r>
    </w:p>
    <w:p w14:paraId="262DBDF6" w14:textId="77777777" w:rsidR="00000000" w:rsidRDefault="00000000">
      <w:pPr>
        <w:numPr>
          <w:ilvl w:val="0"/>
          <w:numId w:val="5"/>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Accounts Receivable:</w:t>
      </w:r>
      <w:r>
        <w:rPr>
          <w:rFonts w:ascii="Calibri" w:eastAsia="Times New Roman" w:hAnsi="Calibri" w:cs="Calibri"/>
          <w:color w:val="333333"/>
          <w:lang w:val="en"/>
        </w:rPr>
        <w:t xml:space="preserve"> </w:t>
      </w:r>
      <w:r>
        <w:rPr>
          <w:rStyle w:val="number-highlight1"/>
          <w:rFonts w:ascii="Calibri" w:eastAsia="Times New Roman" w:hAnsi="Calibri" w:cs="Calibri"/>
          <w:lang w:val="en"/>
        </w:rPr>
        <w:t>$977,084</w:t>
      </w:r>
    </w:p>
    <w:p w14:paraId="43DD5B69" w14:textId="77777777" w:rsidR="00000000" w:rsidRDefault="00000000">
      <w:pPr>
        <w:numPr>
          <w:ilvl w:val="0"/>
          <w:numId w:val="5"/>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Accounts Payable:</w:t>
      </w:r>
      <w:r>
        <w:rPr>
          <w:rFonts w:ascii="Calibri" w:eastAsia="Times New Roman" w:hAnsi="Calibri" w:cs="Calibri"/>
          <w:color w:val="333333"/>
          <w:lang w:val="en"/>
        </w:rPr>
        <w:t xml:space="preserve"> </w:t>
      </w:r>
      <w:r>
        <w:rPr>
          <w:rStyle w:val="number-highlight1"/>
          <w:rFonts w:ascii="Calibri" w:eastAsia="Times New Roman" w:hAnsi="Calibri" w:cs="Calibri"/>
          <w:lang w:val="en"/>
        </w:rPr>
        <w:t>$1,161,478</w:t>
      </w:r>
    </w:p>
    <w:p w14:paraId="1E08AB34" w14:textId="77777777" w:rsidR="00000000" w:rsidRDefault="00000000">
      <w:pPr>
        <w:numPr>
          <w:ilvl w:val="0"/>
          <w:numId w:val="5"/>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Inventory:</w:t>
      </w:r>
      <w:r>
        <w:rPr>
          <w:rFonts w:ascii="Calibri" w:eastAsia="Times New Roman" w:hAnsi="Calibri" w:cs="Calibri"/>
          <w:color w:val="333333"/>
          <w:lang w:val="en"/>
        </w:rPr>
        <w:t xml:space="preserve"> None recorded (DIO = 0)</w:t>
      </w:r>
    </w:p>
    <w:p w14:paraId="4D9CBE7C" w14:textId="77777777" w:rsidR="00000000" w:rsidRDefault="00000000">
      <w:pPr>
        <w:pStyle w:val="Heading4"/>
        <w:rPr>
          <w:rFonts w:ascii="Calibri" w:eastAsia="Times New Roman" w:hAnsi="Calibri" w:cs="Calibri"/>
          <w:lang w:val="en"/>
        </w:rPr>
      </w:pPr>
      <w:r>
        <w:rPr>
          <w:rFonts w:ascii="Calibri" w:eastAsia="Times New Roman" w:hAnsi="Calibri" w:cs="Calibri"/>
          <w:lang w:val="en"/>
        </w:rPr>
        <w:t>Cash Conversion Cycle Components</w:t>
      </w:r>
    </w:p>
    <w:tbl>
      <w:tblPr>
        <w:tblW w:w="5000" w:type="pct"/>
        <w:tblCellMar>
          <w:top w:w="15" w:type="dxa"/>
          <w:left w:w="15" w:type="dxa"/>
          <w:bottom w:w="15" w:type="dxa"/>
          <w:right w:w="15" w:type="dxa"/>
        </w:tblCellMar>
        <w:tblLook w:val="04A0" w:firstRow="1" w:lastRow="0" w:firstColumn="1" w:lastColumn="0" w:noHBand="0" w:noVBand="1"/>
      </w:tblPr>
      <w:tblGrid>
        <w:gridCol w:w="3292"/>
        <w:gridCol w:w="2488"/>
        <w:gridCol w:w="2132"/>
        <w:gridCol w:w="1098"/>
      </w:tblGrid>
      <w:tr w:rsidR="00000000" w14:paraId="0F5E31A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114477A9"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0AAF555B"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Formula</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036A3810"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Calculation</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1CF5738A"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Result</w:t>
            </w:r>
          </w:p>
        </w:tc>
      </w:tr>
      <w:tr w:rsidR="00000000" w14:paraId="2BB7BD1B"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BA48AB2"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Days Sales Outstanding (DSO)</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269A820"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 / Revenue per day</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A63CF2F"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$977,084 / $39,226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21005B5" w14:textId="77777777" w:rsidR="00000000" w:rsidRDefault="00000000">
            <w:pPr>
              <w:spacing w:before="300" w:after="300"/>
              <w:rPr>
                <w:rFonts w:ascii="Calibri" w:eastAsia="Times New Roman" w:hAnsi="Calibri" w:cs="Calibri"/>
                <w:b/>
                <w:bCs/>
                <w:color w:val="1F4E79"/>
                <w:sz w:val="21"/>
                <w:szCs w:val="21"/>
              </w:rPr>
            </w:pPr>
            <w:r>
              <w:rPr>
                <w:rFonts w:ascii="Calibri" w:eastAsia="Times New Roman" w:hAnsi="Calibri" w:cs="Calibri"/>
                <w:b/>
                <w:bCs/>
                <w:color w:val="1F4E79"/>
                <w:sz w:val="21"/>
                <w:szCs w:val="21"/>
              </w:rPr>
              <w:t>24.9 days</w:t>
            </w:r>
          </w:p>
        </w:tc>
      </w:tr>
      <w:tr w:rsidR="00000000" w14:paraId="32B3189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2DE922B"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Days Inventory Outstanding (DIO)</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F9A61E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Inventory / COGS per day</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0AA8C13"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$0 / $34,616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9CC6E5F" w14:textId="77777777" w:rsidR="00000000" w:rsidRDefault="00000000">
            <w:pPr>
              <w:spacing w:before="300" w:after="300"/>
              <w:rPr>
                <w:rFonts w:ascii="Calibri" w:eastAsia="Times New Roman" w:hAnsi="Calibri" w:cs="Calibri"/>
                <w:b/>
                <w:bCs/>
                <w:color w:val="1F4E79"/>
                <w:sz w:val="21"/>
                <w:szCs w:val="21"/>
              </w:rPr>
            </w:pPr>
            <w:r>
              <w:rPr>
                <w:rFonts w:ascii="Calibri" w:eastAsia="Times New Roman" w:hAnsi="Calibri" w:cs="Calibri"/>
                <w:b/>
                <w:bCs/>
                <w:color w:val="1F4E79"/>
                <w:sz w:val="21"/>
                <w:szCs w:val="21"/>
              </w:rPr>
              <w:t>0 days</w:t>
            </w:r>
          </w:p>
        </w:tc>
      </w:tr>
      <w:tr w:rsidR="00000000" w14:paraId="2FBAC4D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BC23570"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Days Payables Outstanding (DPO)</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488DD76"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AP / COGS per day</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1A4AE31"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$1,161,478 / $34,616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5BB5BB9" w14:textId="77777777" w:rsidR="00000000" w:rsidRDefault="00000000">
            <w:pPr>
              <w:spacing w:before="300" w:after="300"/>
              <w:rPr>
                <w:rFonts w:ascii="Calibri" w:eastAsia="Times New Roman" w:hAnsi="Calibri" w:cs="Calibri"/>
                <w:b/>
                <w:bCs/>
                <w:color w:val="1F4E79"/>
                <w:sz w:val="21"/>
                <w:szCs w:val="21"/>
              </w:rPr>
            </w:pPr>
            <w:r>
              <w:rPr>
                <w:rFonts w:ascii="Calibri" w:eastAsia="Times New Roman" w:hAnsi="Calibri" w:cs="Calibri"/>
                <w:b/>
                <w:bCs/>
                <w:color w:val="1F4E79"/>
                <w:sz w:val="21"/>
                <w:szCs w:val="21"/>
              </w:rPr>
              <w:t>33.5 days</w:t>
            </w:r>
          </w:p>
        </w:tc>
      </w:tr>
    </w:tbl>
    <w:p w14:paraId="2B1D3C1A" w14:textId="77777777" w:rsidR="00000000" w:rsidRDefault="00000000">
      <w:pPr>
        <w:pStyle w:val="Heading4"/>
        <w:shd w:val="clear" w:color="auto" w:fill="D4EDDA"/>
        <w:divId w:val="234172063"/>
        <w:rPr>
          <w:rFonts w:ascii="Calibri" w:eastAsia="Times New Roman" w:hAnsi="Calibri" w:cs="Calibri"/>
          <w:lang w:val="en"/>
        </w:rPr>
      </w:pPr>
      <w:r>
        <w:rPr>
          <w:rFonts w:ascii="Calibri" w:eastAsia="Times New Roman" w:hAnsi="Calibri" w:cs="Calibri"/>
          <w:lang w:val="en"/>
        </w:rPr>
        <w:t xml:space="preserve">Cash Conversion Cycle (2025): 24.9 + 0 - 33.5 = </w:t>
      </w:r>
      <w:r>
        <w:rPr>
          <w:rStyle w:val="number-highlight1"/>
          <w:rFonts w:ascii="Calibri" w:eastAsia="Times New Roman" w:hAnsi="Calibri" w:cs="Calibri"/>
          <w:b/>
          <w:bCs/>
          <w:lang w:val="en"/>
        </w:rPr>
        <w:t>-8.6 days</w:t>
      </w:r>
    </w:p>
    <w:p w14:paraId="1B977170" w14:textId="77777777" w:rsidR="00000000" w:rsidRDefault="00000000">
      <w:pPr>
        <w:pStyle w:val="Heading4"/>
        <w:shd w:val="clear" w:color="auto" w:fill="F8F9FA"/>
        <w:divId w:val="849757224"/>
        <w:rPr>
          <w:rFonts w:ascii="Calibri" w:eastAsia="Times New Roman" w:hAnsi="Calibri" w:cs="Calibri"/>
          <w:i/>
          <w:iCs/>
          <w:lang w:val="en"/>
        </w:rPr>
      </w:pPr>
      <w:r>
        <w:rPr>
          <w:rFonts w:ascii="Calibri" w:eastAsia="Times New Roman" w:hAnsi="Calibri" w:cs="Calibri"/>
          <w:i/>
          <w:iCs/>
          <w:lang w:val="en"/>
        </w:rPr>
        <w:t>Interpretation (2025)</w:t>
      </w:r>
    </w:p>
    <w:p w14:paraId="1BE78DD0" w14:textId="77777777" w:rsidR="00000000" w:rsidRDefault="00000000">
      <w:pPr>
        <w:pStyle w:val="NormalWeb"/>
        <w:shd w:val="clear" w:color="auto" w:fill="F8F9FA"/>
        <w:divId w:val="849757224"/>
        <w:rPr>
          <w:rFonts w:ascii="Calibri" w:hAnsi="Calibri" w:cs="Calibri"/>
          <w:i/>
          <w:iCs/>
          <w:color w:val="333333"/>
          <w:lang w:val="en"/>
        </w:rPr>
      </w:pPr>
      <w:r>
        <w:rPr>
          <w:rFonts w:ascii="Calibri" w:hAnsi="Calibri" w:cs="Calibri"/>
          <w:i/>
          <w:iCs/>
          <w:color w:val="333333"/>
          <w:lang w:val="en"/>
        </w:rPr>
        <w:t>The negative CCC of -8.6 days indicates significant operational improvement, with Tech Cargo getting paid faster than it pays suppliers. This favorable position implies the company operates on a net-positive working capital cycle, using supplier financing to support operations. However, this creates dependence on supplier credit; if payment terms shorten, liquidity pressure could spike.</w:t>
      </w:r>
    </w:p>
    <w:p w14:paraId="1D3819EA" w14:textId="77777777" w:rsidR="00000000" w:rsidRDefault="007846D9">
      <w:pPr>
        <w:spacing w:before="450" w:after="450"/>
        <w:rPr>
          <w:rFonts w:ascii="Calibri" w:eastAsia="Times New Roman" w:hAnsi="Calibri" w:cs="Calibri"/>
          <w:color w:val="333333"/>
          <w:lang w:val="en"/>
        </w:rPr>
      </w:pPr>
      <w:r>
        <w:rPr>
          <w:rFonts w:ascii="Calibri" w:eastAsia="Times New Roman" w:hAnsi="Calibri" w:cs="Calibri"/>
          <w:noProof/>
          <w:color w:val="333333"/>
          <w:lang w:val="en"/>
        </w:rPr>
        <w:lastRenderedPageBreak/>
        <w:pict w14:anchorId="39352E9A">
          <v:rect id="_x0000_i1028" alt="" style="width:451.3pt;height:.05pt;mso-width-percent:0;mso-height-percent:0;mso-width-percent:0;mso-height-percent:0" o:hralign="center" o:hrstd="t" o:hr="t" fillcolor="#a0a0a0" stroked="f"/>
        </w:pict>
      </w:r>
    </w:p>
    <w:p w14:paraId="0C46E613" w14:textId="77777777" w:rsidR="00000000" w:rsidRDefault="00000000">
      <w:pPr>
        <w:pStyle w:val="Heading2"/>
        <w:rPr>
          <w:rFonts w:ascii="Calibri" w:eastAsia="Times New Roman" w:hAnsi="Calibri" w:cs="Calibri"/>
          <w:lang w:val="en"/>
        </w:rPr>
      </w:pPr>
      <w:r>
        <w:rPr>
          <w:rFonts w:ascii="Calibri" w:eastAsia="Times New Roman" w:hAnsi="Calibri" w:cs="Calibri"/>
          <w:lang w:val="en"/>
        </w:rPr>
        <w:t>3. Liability Analysis</w:t>
      </w:r>
    </w:p>
    <w:p w14:paraId="16F525FF" w14:textId="77777777" w:rsidR="00000000" w:rsidRDefault="00000000">
      <w:pPr>
        <w:pStyle w:val="Heading3"/>
        <w:rPr>
          <w:rFonts w:ascii="Calibri" w:eastAsia="Times New Roman" w:hAnsi="Calibri" w:cs="Calibri"/>
          <w:lang w:val="en"/>
        </w:rPr>
      </w:pPr>
      <w:r>
        <w:rPr>
          <w:rFonts w:ascii="Calibri" w:eastAsia="Times New Roman" w:hAnsi="Calibri" w:cs="Calibri"/>
          <w:lang w:val="en"/>
        </w:rPr>
        <w:t>3.1 Total Liabilities Overview</w:t>
      </w:r>
    </w:p>
    <w:tbl>
      <w:tblPr>
        <w:tblW w:w="5000" w:type="pct"/>
        <w:tblCellMar>
          <w:top w:w="15" w:type="dxa"/>
          <w:left w:w="15" w:type="dxa"/>
          <w:bottom w:w="15" w:type="dxa"/>
          <w:right w:w="15" w:type="dxa"/>
        </w:tblCellMar>
        <w:tblLook w:val="04A0" w:firstRow="1" w:lastRow="0" w:firstColumn="1" w:lastColumn="0" w:noHBand="0" w:noVBand="1"/>
      </w:tblPr>
      <w:tblGrid>
        <w:gridCol w:w="2787"/>
        <w:gridCol w:w="1617"/>
        <w:gridCol w:w="1754"/>
        <w:gridCol w:w="1399"/>
        <w:gridCol w:w="1453"/>
      </w:tblGrid>
      <w:tr w:rsidR="00000000" w14:paraId="1526C3A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55BF58DD"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28C0FD17"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 31, 2024</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0EBA16ED"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May 31, 2025</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140E4516"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Change ($)</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027D1F4F"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Change (%)</w:t>
            </w:r>
          </w:p>
        </w:tc>
      </w:tr>
      <w:tr w:rsidR="00000000" w14:paraId="1B49944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B2CF973"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Accounts Payable</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76A6D18"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$791,630.56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8E81407"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$1,161,478.38</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A551001"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+$369,848</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C53F0CB"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+46.7%</w:t>
            </w:r>
          </w:p>
        </w:tc>
      </w:tr>
      <w:tr w:rsidR="00000000" w14:paraId="4705332A"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0CB5823"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Other Current Liabilities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40134D2"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$39,095.77</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D542ABC"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$38,169.60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0F87552"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-$926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6B98A8D"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-2.4%</w:t>
            </w:r>
          </w:p>
        </w:tc>
      </w:tr>
      <w:tr w:rsidR="00000000" w14:paraId="703C3C13"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D88BA7C"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Credit Cards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166F3EC"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$7,399.04</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5A88C83"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$10,432.12</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E234717"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+$3,033</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A6B44D4"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+41.0%</w:t>
            </w:r>
          </w:p>
        </w:tc>
      </w:tr>
      <w:tr w:rsidR="00000000" w14:paraId="196D8F6B"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1D9948B"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Long-Term Liabilities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3248B37"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$0.00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BFD73FA"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$0.00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5572419" w14:textId="77777777" w:rsidR="00000000" w:rsidRDefault="00000000">
            <w:pPr>
              <w:spacing w:before="300" w:after="300"/>
              <w:rPr>
                <w:rFonts w:ascii="Calibri" w:eastAsia="Times New Roman" w:hAnsi="Calibri" w:cs="Calibri"/>
                <w:b/>
                <w:bCs/>
                <w:color w:val="6C757D"/>
                <w:sz w:val="21"/>
                <w:szCs w:val="21"/>
              </w:rPr>
            </w:pPr>
            <w:r>
              <w:rPr>
                <w:rFonts w:ascii="Calibri" w:eastAsia="Times New Roman" w:hAnsi="Calibri" w:cs="Calibri"/>
                <w:b/>
                <w:bCs/>
                <w:color w:val="6C757D"/>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B10AA9A" w14:textId="77777777" w:rsidR="00000000" w:rsidRDefault="00000000">
            <w:pPr>
              <w:spacing w:before="300" w:after="300"/>
              <w:rPr>
                <w:rFonts w:ascii="Calibri" w:eastAsia="Times New Roman" w:hAnsi="Calibri" w:cs="Calibri"/>
                <w:b/>
                <w:bCs/>
                <w:color w:val="6C757D"/>
                <w:sz w:val="21"/>
                <w:szCs w:val="21"/>
              </w:rPr>
            </w:pPr>
            <w:r>
              <w:rPr>
                <w:rFonts w:ascii="Calibri" w:eastAsia="Times New Roman" w:hAnsi="Calibri" w:cs="Calibri"/>
                <w:b/>
                <w:bCs/>
                <w:color w:val="6C757D"/>
                <w:sz w:val="21"/>
                <w:szCs w:val="21"/>
              </w:rPr>
              <w:t>–</w:t>
            </w:r>
          </w:p>
        </w:tc>
      </w:tr>
      <w:tr w:rsidR="00000000" w14:paraId="12C54027" w14:textId="77777777">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20" w:type="dxa"/>
              <w:bottom w:w="150" w:type="dxa"/>
              <w:right w:w="120" w:type="dxa"/>
            </w:tcMar>
            <w:hideMark/>
          </w:tcPr>
          <w:p w14:paraId="1B23BB90" w14:textId="77777777" w:rsidR="00000000" w:rsidRDefault="00000000">
            <w:pPr>
              <w:spacing w:before="300" w:after="300"/>
              <w:rPr>
                <w:rFonts w:ascii="Calibri" w:eastAsia="Times New Roman" w:hAnsi="Calibri" w:cs="Calibri"/>
                <w:b/>
                <w:bCs/>
                <w:color w:val="333333"/>
                <w:sz w:val="21"/>
                <w:szCs w:val="21"/>
              </w:rPr>
            </w:pPr>
            <w:r>
              <w:rPr>
                <w:rStyle w:val="Strong"/>
                <w:rFonts w:ascii="Calibri" w:eastAsia="Times New Roman" w:hAnsi="Calibri" w:cs="Calibri"/>
                <w:color w:val="333333"/>
                <w:sz w:val="21"/>
                <w:szCs w:val="21"/>
              </w:rPr>
              <w:t>Total Liabilities</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20" w:type="dxa"/>
              <w:bottom w:w="150" w:type="dxa"/>
              <w:right w:w="120" w:type="dxa"/>
            </w:tcMar>
            <w:hideMark/>
          </w:tcPr>
          <w:p w14:paraId="44DF45EC" w14:textId="77777777" w:rsidR="00000000" w:rsidRDefault="00000000">
            <w:pPr>
              <w:spacing w:before="300" w:after="300"/>
              <w:rPr>
                <w:rFonts w:ascii="Calibri" w:eastAsia="Times New Roman" w:hAnsi="Calibri" w:cs="Calibri"/>
                <w:b/>
                <w:bCs/>
                <w:color w:val="333333"/>
                <w:sz w:val="21"/>
                <w:szCs w:val="21"/>
              </w:rPr>
            </w:pPr>
            <w:r>
              <w:rPr>
                <w:rStyle w:val="Strong"/>
                <w:rFonts w:ascii="Calibri" w:eastAsia="Times New Roman" w:hAnsi="Calibri" w:cs="Calibri"/>
                <w:color w:val="333333"/>
                <w:sz w:val="21"/>
                <w:szCs w:val="21"/>
              </w:rPr>
              <w:t>$838,125.37</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20" w:type="dxa"/>
              <w:bottom w:w="150" w:type="dxa"/>
              <w:right w:w="120" w:type="dxa"/>
            </w:tcMar>
            <w:hideMark/>
          </w:tcPr>
          <w:p w14:paraId="448A5AEE" w14:textId="77777777" w:rsidR="00000000" w:rsidRDefault="00000000">
            <w:pPr>
              <w:spacing w:before="300" w:after="300"/>
              <w:rPr>
                <w:rFonts w:ascii="Calibri" w:eastAsia="Times New Roman" w:hAnsi="Calibri" w:cs="Calibri"/>
                <w:b/>
                <w:bCs/>
                <w:color w:val="333333"/>
                <w:sz w:val="21"/>
                <w:szCs w:val="21"/>
              </w:rPr>
            </w:pPr>
            <w:r>
              <w:rPr>
                <w:rStyle w:val="Strong"/>
                <w:rFonts w:ascii="Calibri" w:eastAsia="Times New Roman" w:hAnsi="Calibri" w:cs="Calibri"/>
                <w:color w:val="333333"/>
                <w:sz w:val="21"/>
                <w:szCs w:val="21"/>
              </w:rPr>
              <w:t>$1,210,080.10</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20" w:type="dxa"/>
              <w:bottom w:w="150" w:type="dxa"/>
              <w:right w:w="120" w:type="dxa"/>
            </w:tcMar>
            <w:hideMark/>
          </w:tcPr>
          <w:p w14:paraId="0ACF4165" w14:textId="77777777" w:rsidR="00000000" w:rsidRDefault="00000000">
            <w:pPr>
              <w:spacing w:before="300" w:after="300"/>
              <w:rPr>
                <w:rFonts w:ascii="Calibri" w:eastAsia="Times New Roman" w:hAnsi="Calibri" w:cs="Calibri"/>
                <w:b/>
                <w:bCs/>
                <w:color w:val="DC3545"/>
                <w:sz w:val="21"/>
                <w:szCs w:val="21"/>
              </w:rPr>
            </w:pPr>
            <w:r>
              <w:rPr>
                <w:rStyle w:val="Strong"/>
                <w:rFonts w:ascii="Calibri" w:eastAsia="Times New Roman" w:hAnsi="Calibri" w:cs="Calibri"/>
                <w:color w:val="DC3545"/>
                <w:sz w:val="21"/>
                <w:szCs w:val="21"/>
              </w:rPr>
              <w:t>+$371,955</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20" w:type="dxa"/>
              <w:bottom w:w="150" w:type="dxa"/>
              <w:right w:w="120" w:type="dxa"/>
            </w:tcMar>
            <w:hideMark/>
          </w:tcPr>
          <w:p w14:paraId="4C0C6681" w14:textId="77777777" w:rsidR="00000000" w:rsidRDefault="00000000">
            <w:pPr>
              <w:spacing w:before="300" w:after="300"/>
              <w:rPr>
                <w:rFonts w:ascii="Calibri" w:eastAsia="Times New Roman" w:hAnsi="Calibri" w:cs="Calibri"/>
                <w:b/>
                <w:bCs/>
                <w:color w:val="DC3545"/>
                <w:sz w:val="21"/>
                <w:szCs w:val="21"/>
              </w:rPr>
            </w:pPr>
            <w:r>
              <w:rPr>
                <w:rStyle w:val="Strong"/>
                <w:rFonts w:ascii="Calibri" w:eastAsia="Times New Roman" w:hAnsi="Calibri" w:cs="Calibri"/>
                <w:color w:val="DC3545"/>
                <w:sz w:val="21"/>
                <w:szCs w:val="21"/>
              </w:rPr>
              <w:t>+44.4%</w:t>
            </w:r>
          </w:p>
        </w:tc>
      </w:tr>
    </w:tbl>
    <w:p w14:paraId="343AD11D" w14:textId="77777777" w:rsidR="00000000" w:rsidRDefault="00000000">
      <w:pPr>
        <w:pStyle w:val="Heading3"/>
        <w:rPr>
          <w:rFonts w:ascii="Calibri" w:eastAsia="Times New Roman" w:hAnsi="Calibri" w:cs="Calibri"/>
          <w:lang w:val="en"/>
        </w:rPr>
      </w:pPr>
      <w:r>
        <w:rPr>
          <w:rFonts w:ascii="Calibri" w:eastAsia="Times New Roman" w:hAnsi="Calibri" w:cs="Calibri"/>
          <w:lang w:val="en"/>
        </w:rPr>
        <w:t>3.2 Detailed Analysis of Changes</w:t>
      </w:r>
    </w:p>
    <w:p w14:paraId="4F75212C" w14:textId="77777777" w:rsidR="00000000" w:rsidRDefault="00000000">
      <w:pPr>
        <w:pStyle w:val="Heading4"/>
        <w:rPr>
          <w:rFonts w:ascii="Calibri" w:eastAsia="Times New Roman" w:hAnsi="Calibri" w:cs="Calibri"/>
          <w:lang w:val="en"/>
        </w:rPr>
      </w:pPr>
      <w:r>
        <w:rPr>
          <w:rFonts w:ascii="Calibri" w:eastAsia="Times New Roman" w:hAnsi="Calibri" w:cs="Calibri"/>
          <w:lang w:val="en"/>
        </w:rPr>
        <w:t>Accounts Payable</w:t>
      </w:r>
    </w:p>
    <w:p w14:paraId="5B867471" w14:textId="77777777" w:rsidR="00000000" w:rsidRDefault="00000000">
      <w:pPr>
        <w:numPr>
          <w:ilvl w:val="0"/>
          <w:numId w:val="6"/>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Sharp increase (46.7%)</w:t>
      </w:r>
      <w:r>
        <w:rPr>
          <w:rFonts w:ascii="Calibri" w:eastAsia="Times New Roman" w:hAnsi="Calibri" w:cs="Calibri"/>
          <w:color w:val="333333"/>
          <w:lang w:val="en"/>
        </w:rPr>
        <w:t xml:space="preserve"> over 5 months, main driver of liability growth</w:t>
      </w:r>
    </w:p>
    <w:p w14:paraId="502DFCA0" w14:textId="77777777" w:rsidR="00000000" w:rsidRDefault="00000000">
      <w:pPr>
        <w:numPr>
          <w:ilvl w:val="0"/>
          <w:numId w:val="6"/>
        </w:numPr>
        <w:spacing w:before="120" w:after="120"/>
        <w:rPr>
          <w:rFonts w:ascii="Calibri" w:eastAsia="Times New Roman" w:hAnsi="Calibri" w:cs="Calibri"/>
          <w:color w:val="333333"/>
          <w:lang w:val="en"/>
        </w:rPr>
      </w:pPr>
      <w:r>
        <w:rPr>
          <w:rFonts w:ascii="Calibri" w:eastAsia="Times New Roman" w:hAnsi="Calibri" w:cs="Calibri"/>
          <w:color w:val="333333"/>
          <w:lang w:val="en"/>
        </w:rPr>
        <w:t>Reflects expanded procurement, longer payment cycles, or delayed supplier payments</w:t>
      </w:r>
    </w:p>
    <w:p w14:paraId="0F415D58" w14:textId="77777777" w:rsidR="00000000" w:rsidRDefault="00000000">
      <w:pPr>
        <w:numPr>
          <w:ilvl w:val="0"/>
          <w:numId w:val="6"/>
        </w:numPr>
        <w:spacing w:before="120" w:after="120"/>
        <w:rPr>
          <w:rFonts w:ascii="Calibri" w:eastAsia="Times New Roman" w:hAnsi="Calibri" w:cs="Calibri"/>
          <w:color w:val="333333"/>
          <w:lang w:val="en"/>
        </w:rPr>
      </w:pPr>
      <w:r>
        <w:rPr>
          <w:rFonts w:ascii="Calibri" w:eastAsia="Times New Roman" w:hAnsi="Calibri" w:cs="Calibri"/>
          <w:color w:val="333333"/>
          <w:lang w:val="en"/>
        </w:rPr>
        <w:t>Growing reliance on trade credit increases exposure to supplier risk and payment pressure</w:t>
      </w:r>
    </w:p>
    <w:p w14:paraId="59A6BCED" w14:textId="77777777" w:rsidR="00000000" w:rsidRDefault="00000000">
      <w:pPr>
        <w:pStyle w:val="Heading4"/>
        <w:rPr>
          <w:rFonts w:ascii="Calibri" w:eastAsia="Times New Roman" w:hAnsi="Calibri" w:cs="Calibri"/>
          <w:lang w:val="en"/>
        </w:rPr>
      </w:pPr>
      <w:r>
        <w:rPr>
          <w:rFonts w:ascii="Calibri" w:eastAsia="Times New Roman" w:hAnsi="Calibri" w:cs="Calibri"/>
          <w:lang w:val="en"/>
        </w:rPr>
        <w:t>Other Current Liabilities</w:t>
      </w:r>
    </w:p>
    <w:p w14:paraId="6CAAC6A2" w14:textId="77777777" w:rsidR="00000000" w:rsidRDefault="00000000">
      <w:pPr>
        <w:numPr>
          <w:ilvl w:val="0"/>
          <w:numId w:val="7"/>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Relatively stable</w:t>
      </w:r>
      <w:r>
        <w:rPr>
          <w:rFonts w:ascii="Calibri" w:eastAsia="Times New Roman" w:hAnsi="Calibri" w:cs="Calibri"/>
          <w:color w:val="333333"/>
          <w:lang w:val="en"/>
        </w:rPr>
        <w:t xml:space="preserve"> with slight decline (-2.4%)</w:t>
      </w:r>
    </w:p>
    <w:p w14:paraId="6E931C53" w14:textId="77777777" w:rsidR="00000000" w:rsidRDefault="00000000">
      <w:pPr>
        <w:numPr>
          <w:ilvl w:val="0"/>
          <w:numId w:val="7"/>
        </w:numPr>
        <w:spacing w:before="120" w:after="120"/>
        <w:rPr>
          <w:rFonts w:ascii="Calibri" w:eastAsia="Times New Roman" w:hAnsi="Calibri" w:cs="Calibri"/>
          <w:color w:val="333333"/>
          <w:lang w:val="en"/>
        </w:rPr>
      </w:pPr>
      <w:r>
        <w:rPr>
          <w:rFonts w:ascii="Calibri" w:eastAsia="Times New Roman" w:hAnsi="Calibri" w:cs="Calibri"/>
          <w:color w:val="333333"/>
          <w:lang w:val="en"/>
        </w:rPr>
        <w:t xml:space="preserve">Composed mainly of small items (e.g., "Payable </w:t>
      </w:r>
      <w:proofErr w:type="gramStart"/>
      <w:r>
        <w:rPr>
          <w:rFonts w:ascii="Calibri" w:eastAsia="Times New Roman" w:hAnsi="Calibri" w:cs="Calibri"/>
          <w:color w:val="333333"/>
          <w:lang w:val="en"/>
        </w:rPr>
        <w:t>a</w:t>
      </w:r>
      <w:proofErr w:type="gramEnd"/>
      <w:r>
        <w:rPr>
          <w:rFonts w:ascii="Calibri" w:eastAsia="Times New Roman" w:hAnsi="Calibri" w:cs="Calibri"/>
          <w:color w:val="333333"/>
          <w:lang w:val="en"/>
        </w:rPr>
        <w:t xml:space="preserve"> EV", "</w:t>
      </w:r>
      <w:proofErr w:type="spellStart"/>
      <w:r>
        <w:rPr>
          <w:rFonts w:ascii="Calibri" w:eastAsia="Times New Roman" w:hAnsi="Calibri" w:cs="Calibri"/>
          <w:color w:val="333333"/>
          <w:lang w:val="en"/>
        </w:rPr>
        <w:t>Dimassi</w:t>
      </w:r>
      <w:proofErr w:type="spellEnd"/>
      <w:r>
        <w:rPr>
          <w:rFonts w:ascii="Calibri" w:eastAsia="Times New Roman" w:hAnsi="Calibri" w:cs="Calibri"/>
          <w:color w:val="333333"/>
          <w:lang w:val="en"/>
        </w:rPr>
        <w:t>-Inter deposit")</w:t>
      </w:r>
    </w:p>
    <w:p w14:paraId="1CB29683" w14:textId="77777777" w:rsidR="00000000" w:rsidRDefault="00000000">
      <w:pPr>
        <w:numPr>
          <w:ilvl w:val="0"/>
          <w:numId w:val="7"/>
        </w:numPr>
        <w:spacing w:before="120" w:after="120"/>
        <w:rPr>
          <w:rFonts w:ascii="Calibri" w:eastAsia="Times New Roman" w:hAnsi="Calibri" w:cs="Calibri"/>
          <w:color w:val="333333"/>
          <w:lang w:val="en"/>
        </w:rPr>
      </w:pPr>
      <w:r>
        <w:rPr>
          <w:rFonts w:ascii="Calibri" w:eastAsia="Times New Roman" w:hAnsi="Calibri" w:cs="Calibri"/>
          <w:color w:val="333333"/>
          <w:lang w:val="en"/>
        </w:rPr>
        <w:lastRenderedPageBreak/>
        <w:t>No signs of deferred taxes or accrued liabilities expansion</w:t>
      </w:r>
    </w:p>
    <w:p w14:paraId="0A44EAE5" w14:textId="77777777" w:rsidR="00000000" w:rsidRDefault="00000000">
      <w:pPr>
        <w:pStyle w:val="Heading4"/>
        <w:rPr>
          <w:rFonts w:ascii="Calibri" w:eastAsia="Times New Roman" w:hAnsi="Calibri" w:cs="Calibri"/>
          <w:lang w:val="en"/>
        </w:rPr>
      </w:pPr>
      <w:r>
        <w:rPr>
          <w:rFonts w:ascii="Calibri" w:eastAsia="Times New Roman" w:hAnsi="Calibri" w:cs="Calibri"/>
          <w:lang w:val="en"/>
        </w:rPr>
        <w:t>Credit Card Liabilities</w:t>
      </w:r>
    </w:p>
    <w:p w14:paraId="10F41BBA" w14:textId="77777777" w:rsidR="00000000" w:rsidRDefault="00000000">
      <w:pPr>
        <w:numPr>
          <w:ilvl w:val="0"/>
          <w:numId w:val="8"/>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Significant growth (41%)</w:t>
      </w:r>
      <w:r>
        <w:rPr>
          <w:rFonts w:ascii="Calibri" w:eastAsia="Times New Roman" w:hAnsi="Calibri" w:cs="Calibri"/>
          <w:color w:val="333333"/>
          <w:lang w:val="en"/>
        </w:rPr>
        <w:t xml:space="preserve"> but remains small portion of total liabilities</w:t>
      </w:r>
    </w:p>
    <w:p w14:paraId="7FD85B73" w14:textId="77777777" w:rsidR="00000000" w:rsidRDefault="00000000">
      <w:pPr>
        <w:numPr>
          <w:ilvl w:val="0"/>
          <w:numId w:val="8"/>
        </w:numPr>
        <w:spacing w:before="120" w:after="120"/>
        <w:rPr>
          <w:rFonts w:ascii="Calibri" w:eastAsia="Times New Roman" w:hAnsi="Calibri" w:cs="Calibri"/>
          <w:color w:val="333333"/>
          <w:lang w:val="en"/>
        </w:rPr>
      </w:pPr>
      <w:r>
        <w:rPr>
          <w:rFonts w:ascii="Calibri" w:eastAsia="Times New Roman" w:hAnsi="Calibri" w:cs="Calibri"/>
          <w:color w:val="333333"/>
          <w:lang w:val="en"/>
        </w:rPr>
        <w:t>Indicates increased operational financing via short-term debt at potentially higher interest rates</w:t>
      </w:r>
    </w:p>
    <w:p w14:paraId="2A39436A" w14:textId="77777777" w:rsidR="00000000" w:rsidRDefault="00000000">
      <w:pPr>
        <w:pStyle w:val="Heading4"/>
        <w:rPr>
          <w:rFonts w:ascii="Calibri" w:eastAsia="Times New Roman" w:hAnsi="Calibri" w:cs="Calibri"/>
          <w:lang w:val="en"/>
        </w:rPr>
      </w:pPr>
      <w:r>
        <w:rPr>
          <w:rFonts w:ascii="Calibri" w:eastAsia="Times New Roman" w:hAnsi="Calibri" w:cs="Calibri"/>
          <w:lang w:val="en"/>
        </w:rPr>
        <w:t>Long-Term Liabilities</w:t>
      </w:r>
    </w:p>
    <w:p w14:paraId="71DBFE11" w14:textId="77777777" w:rsidR="00000000" w:rsidRDefault="00000000">
      <w:pPr>
        <w:numPr>
          <w:ilvl w:val="0"/>
          <w:numId w:val="9"/>
        </w:numPr>
        <w:spacing w:before="120" w:after="120"/>
        <w:rPr>
          <w:rFonts w:ascii="Calibri" w:eastAsia="Times New Roman" w:hAnsi="Calibri" w:cs="Calibri"/>
          <w:color w:val="333333"/>
          <w:lang w:val="en"/>
        </w:rPr>
      </w:pPr>
      <w:r>
        <w:rPr>
          <w:rStyle w:val="Strong"/>
          <w:rFonts w:ascii="Calibri" w:eastAsia="Times New Roman" w:hAnsi="Calibri" w:cs="Calibri"/>
          <w:color w:val="333333"/>
          <w:lang w:val="en"/>
        </w:rPr>
        <w:t>No long-term debt</w:t>
      </w:r>
      <w:r>
        <w:rPr>
          <w:rFonts w:ascii="Calibri" w:eastAsia="Times New Roman" w:hAnsi="Calibri" w:cs="Calibri"/>
          <w:color w:val="333333"/>
          <w:lang w:val="en"/>
        </w:rPr>
        <w:t xml:space="preserve"> on either balance sheet</w:t>
      </w:r>
    </w:p>
    <w:p w14:paraId="1FAEB3BC" w14:textId="77777777" w:rsidR="00000000" w:rsidRDefault="00000000">
      <w:pPr>
        <w:numPr>
          <w:ilvl w:val="0"/>
          <w:numId w:val="9"/>
        </w:numPr>
        <w:spacing w:before="120" w:after="120"/>
        <w:rPr>
          <w:rFonts w:ascii="Calibri" w:eastAsia="Times New Roman" w:hAnsi="Calibri" w:cs="Calibri"/>
          <w:color w:val="333333"/>
          <w:lang w:val="en"/>
        </w:rPr>
      </w:pPr>
      <w:r>
        <w:rPr>
          <w:rFonts w:ascii="Calibri" w:eastAsia="Times New Roman" w:hAnsi="Calibri" w:cs="Calibri"/>
          <w:color w:val="333333"/>
          <w:lang w:val="en"/>
        </w:rPr>
        <w:t>Conservative capital structure but potential under-utilization of low-cost long-term financing options</w:t>
      </w:r>
    </w:p>
    <w:p w14:paraId="0C31F9F5" w14:textId="77777777" w:rsidR="00000000" w:rsidRDefault="00000000">
      <w:pPr>
        <w:pStyle w:val="Heading3"/>
        <w:rPr>
          <w:rFonts w:ascii="Calibri" w:eastAsia="Times New Roman" w:hAnsi="Calibri" w:cs="Calibri"/>
          <w:lang w:val="en"/>
        </w:rPr>
      </w:pPr>
      <w:r>
        <w:rPr>
          <w:rFonts w:ascii="Calibri" w:eastAsia="Times New Roman" w:hAnsi="Calibri" w:cs="Calibri"/>
          <w:lang w:val="en"/>
        </w:rPr>
        <w:t>3.3 Leverage Metrics Comparison</w:t>
      </w:r>
    </w:p>
    <w:tbl>
      <w:tblPr>
        <w:tblW w:w="5000" w:type="pct"/>
        <w:tblCellMar>
          <w:top w:w="15" w:type="dxa"/>
          <w:left w:w="15" w:type="dxa"/>
          <w:bottom w:w="15" w:type="dxa"/>
          <w:right w:w="15" w:type="dxa"/>
        </w:tblCellMar>
        <w:tblLook w:val="04A0" w:firstRow="1" w:lastRow="0" w:firstColumn="1" w:lastColumn="0" w:noHBand="0" w:noVBand="1"/>
      </w:tblPr>
      <w:tblGrid>
        <w:gridCol w:w="2851"/>
        <w:gridCol w:w="1216"/>
        <w:gridCol w:w="1400"/>
        <w:gridCol w:w="1338"/>
        <w:gridCol w:w="2205"/>
      </w:tblGrid>
      <w:tr w:rsidR="00000000" w14:paraId="2D1DE95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744EEA7E"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1286D059"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 2024</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58F3A173"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May 2025</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15859EAF"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Change</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42255440"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Analysis</w:t>
            </w:r>
          </w:p>
        </w:tc>
      </w:tr>
      <w:tr w:rsidR="00000000" w14:paraId="181BCF3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F8CF954"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Total Liabilities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E46061A"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$838,125</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F64CD37"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$1,210,080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921928B"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+$371,955</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7FFB6FD"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Significant increase</w:t>
            </w:r>
          </w:p>
        </w:tc>
      </w:tr>
      <w:tr w:rsidR="00000000" w14:paraId="3C510DFE"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DEA545D"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Equity</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1B361A2"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$500,611</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9B5426A"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$586,237</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9C1D00C"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+$85,626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B5739CB"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Moderate growth</w:t>
            </w:r>
          </w:p>
        </w:tc>
      </w:tr>
      <w:tr w:rsidR="00000000" w14:paraId="078832CB"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C929CAC"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Liabilities-to-Equity Ratio</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F912C54"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1.67x</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F5E750C"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2.06x</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5BD21CD"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3C6AA82"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Riskier profile</w:t>
            </w:r>
          </w:p>
        </w:tc>
      </w:tr>
    </w:tbl>
    <w:p w14:paraId="0F114900" w14:textId="77777777" w:rsidR="00000000" w:rsidRDefault="00000000">
      <w:pPr>
        <w:pStyle w:val="Heading3"/>
        <w:rPr>
          <w:rFonts w:ascii="Calibri" w:eastAsia="Times New Roman" w:hAnsi="Calibri" w:cs="Calibri"/>
          <w:lang w:val="en"/>
        </w:rPr>
      </w:pPr>
      <w:r>
        <w:rPr>
          <w:rFonts w:ascii="Calibri" w:eastAsia="Times New Roman" w:hAnsi="Calibri" w:cs="Calibri"/>
          <w:lang w:val="en"/>
        </w:rPr>
        <w:t>3.4 Risk Implications &amp; Strategic Considerations</w:t>
      </w:r>
    </w:p>
    <w:p w14:paraId="252A41C5" w14:textId="77777777" w:rsidR="00000000" w:rsidRDefault="00000000">
      <w:pPr>
        <w:pStyle w:val="Heading4"/>
        <w:shd w:val="clear" w:color="auto" w:fill="FFF3CD"/>
        <w:divId w:val="1371489096"/>
        <w:rPr>
          <w:rFonts w:ascii="Calibri" w:eastAsia="Times New Roman" w:hAnsi="Calibri" w:cs="Calibri"/>
          <w:lang w:val="en"/>
        </w:rPr>
      </w:pPr>
      <w:r>
        <w:rPr>
          <w:rFonts w:ascii="Calibri" w:eastAsia="Times New Roman" w:hAnsi="Calibri" w:cs="Calibri"/>
          <w:lang w:val="en"/>
        </w:rPr>
        <w:t>Short-Term Risks</w:t>
      </w:r>
    </w:p>
    <w:p w14:paraId="6129E1F4" w14:textId="77777777" w:rsidR="00000000" w:rsidRDefault="00000000">
      <w:pPr>
        <w:numPr>
          <w:ilvl w:val="0"/>
          <w:numId w:val="10"/>
        </w:numPr>
        <w:shd w:val="clear" w:color="auto" w:fill="FFF3CD"/>
        <w:spacing w:before="120" w:after="120"/>
        <w:divId w:val="1371489096"/>
        <w:rPr>
          <w:rFonts w:ascii="Calibri" w:eastAsia="Times New Roman" w:hAnsi="Calibri" w:cs="Calibri"/>
          <w:color w:val="333333"/>
          <w:lang w:val="en"/>
        </w:rPr>
      </w:pPr>
      <w:r>
        <w:rPr>
          <w:rFonts w:ascii="Calibri" w:eastAsia="Times New Roman" w:hAnsi="Calibri" w:cs="Calibri"/>
          <w:color w:val="333333"/>
          <w:lang w:val="en"/>
        </w:rPr>
        <w:t>Heavy reliance on accounts payable and lack of term debt make the firm vulnerable to sudden supplier tightening</w:t>
      </w:r>
    </w:p>
    <w:p w14:paraId="1ECE411C" w14:textId="77777777" w:rsidR="00000000" w:rsidRDefault="00000000">
      <w:pPr>
        <w:numPr>
          <w:ilvl w:val="0"/>
          <w:numId w:val="10"/>
        </w:numPr>
        <w:shd w:val="clear" w:color="auto" w:fill="FFF3CD"/>
        <w:spacing w:before="120" w:after="120"/>
        <w:divId w:val="1371489096"/>
        <w:rPr>
          <w:rFonts w:ascii="Calibri" w:eastAsia="Times New Roman" w:hAnsi="Calibri" w:cs="Calibri"/>
          <w:color w:val="333333"/>
          <w:lang w:val="en"/>
        </w:rPr>
      </w:pPr>
      <w:r>
        <w:rPr>
          <w:rFonts w:ascii="Calibri" w:eastAsia="Times New Roman" w:hAnsi="Calibri" w:cs="Calibri"/>
          <w:color w:val="333333"/>
          <w:lang w:val="en"/>
        </w:rPr>
        <w:t>High current liabilities vs. slim net income may constrain cash reserves in adverse scenarios</w:t>
      </w:r>
    </w:p>
    <w:p w14:paraId="69A47F20" w14:textId="77777777" w:rsidR="00000000" w:rsidRDefault="00000000">
      <w:pPr>
        <w:pStyle w:val="Heading4"/>
        <w:shd w:val="clear" w:color="auto" w:fill="FFF3CD"/>
        <w:divId w:val="1371489096"/>
        <w:rPr>
          <w:rFonts w:ascii="Calibri" w:eastAsia="Times New Roman" w:hAnsi="Calibri" w:cs="Calibri"/>
          <w:lang w:val="en"/>
        </w:rPr>
      </w:pPr>
      <w:r>
        <w:rPr>
          <w:rFonts w:ascii="Calibri" w:eastAsia="Times New Roman" w:hAnsi="Calibri" w:cs="Calibri"/>
          <w:lang w:val="en"/>
        </w:rPr>
        <w:t>Strategic Considerations</w:t>
      </w:r>
    </w:p>
    <w:p w14:paraId="66ADD20E" w14:textId="77777777" w:rsidR="00000000" w:rsidRDefault="00000000">
      <w:pPr>
        <w:numPr>
          <w:ilvl w:val="0"/>
          <w:numId w:val="11"/>
        </w:numPr>
        <w:shd w:val="clear" w:color="auto" w:fill="FFF3CD"/>
        <w:spacing w:before="120" w:after="120"/>
        <w:divId w:val="1371489096"/>
        <w:rPr>
          <w:rFonts w:ascii="Calibri" w:eastAsia="Times New Roman" w:hAnsi="Calibri" w:cs="Calibri"/>
          <w:color w:val="333333"/>
          <w:lang w:val="en"/>
        </w:rPr>
      </w:pPr>
      <w:r>
        <w:rPr>
          <w:rStyle w:val="Strong"/>
          <w:rFonts w:ascii="Calibri" w:eastAsia="Times New Roman" w:hAnsi="Calibri" w:cs="Calibri"/>
          <w:color w:val="333333"/>
          <w:lang w:val="en"/>
        </w:rPr>
        <w:t>No Long-Term Cushion:</w:t>
      </w:r>
      <w:r>
        <w:rPr>
          <w:rFonts w:ascii="Calibri" w:eastAsia="Times New Roman" w:hAnsi="Calibri" w:cs="Calibri"/>
          <w:color w:val="333333"/>
          <w:lang w:val="en"/>
        </w:rPr>
        <w:t xml:space="preserve"> Absence of long-term liabilities avoids interest burden but offers no liquidity buffer</w:t>
      </w:r>
    </w:p>
    <w:p w14:paraId="35603E59" w14:textId="77777777" w:rsidR="00000000" w:rsidRDefault="00000000">
      <w:pPr>
        <w:numPr>
          <w:ilvl w:val="0"/>
          <w:numId w:val="11"/>
        </w:numPr>
        <w:shd w:val="clear" w:color="auto" w:fill="FFF3CD"/>
        <w:spacing w:before="120" w:after="120"/>
        <w:divId w:val="1371489096"/>
        <w:rPr>
          <w:rFonts w:ascii="Calibri" w:eastAsia="Times New Roman" w:hAnsi="Calibri" w:cs="Calibri"/>
          <w:color w:val="333333"/>
          <w:lang w:val="en"/>
        </w:rPr>
      </w:pPr>
      <w:r>
        <w:rPr>
          <w:rStyle w:val="Strong"/>
          <w:rFonts w:ascii="Calibri" w:eastAsia="Times New Roman" w:hAnsi="Calibri" w:cs="Calibri"/>
          <w:color w:val="333333"/>
          <w:lang w:val="en"/>
        </w:rPr>
        <w:lastRenderedPageBreak/>
        <w:t>Increased Leverage:</w:t>
      </w:r>
      <w:r>
        <w:rPr>
          <w:rFonts w:ascii="Calibri" w:eastAsia="Times New Roman" w:hAnsi="Calibri" w:cs="Calibri"/>
          <w:color w:val="333333"/>
          <w:lang w:val="en"/>
        </w:rPr>
        <w:t xml:space="preserve"> Could reduce borrowing capacity if new capital is needed</w:t>
      </w:r>
    </w:p>
    <w:p w14:paraId="4844BF50" w14:textId="77777777" w:rsidR="00000000" w:rsidRDefault="00000000">
      <w:pPr>
        <w:numPr>
          <w:ilvl w:val="0"/>
          <w:numId w:val="11"/>
        </w:numPr>
        <w:shd w:val="clear" w:color="auto" w:fill="FFF3CD"/>
        <w:spacing w:before="120" w:after="120"/>
        <w:divId w:val="1371489096"/>
        <w:rPr>
          <w:rFonts w:ascii="Calibri" w:eastAsia="Times New Roman" w:hAnsi="Calibri" w:cs="Calibri"/>
          <w:color w:val="333333"/>
          <w:lang w:val="en"/>
        </w:rPr>
      </w:pPr>
      <w:r>
        <w:rPr>
          <w:rStyle w:val="Strong"/>
          <w:rFonts w:ascii="Calibri" w:eastAsia="Times New Roman" w:hAnsi="Calibri" w:cs="Calibri"/>
          <w:color w:val="333333"/>
          <w:lang w:val="en"/>
        </w:rPr>
        <w:t>Cash Flow Pressure:</w:t>
      </w:r>
      <w:r>
        <w:rPr>
          <w:rFonts w:ascii="Calibri" w:eastAsia="Times New Roman" w:hAnsi="Calibri" w:cs="Calibri"/>
          <w:color w:val="333333"/>
          <w:lang w:val="en"/>
        </w:rPr>
        <w:t xml:space="preserve"> Current liability structure may limit operational flexibility</w:t>
      </w:r>
    </w:p>
    <w:p w14:paraId="106C37E2" w14:textId="77777777" w:rsidR="00000000" w:rsidRDefault="00000000">
      <w:pPr>
        <w:pStyle w:val="Heading4"/>
        <w:shd w:val="clear" w:color="auto" w:fill="F8F9FA"/>
        <w:divId w:val="1167405545"/>
        <w:rPr>
          <w:rFonts w:ascii="Calibri" w:eastAsia="Times New Roman" w:hAnsi="Calibri" w:cs="Calibri"/>
          <w:i/>
          <w:iCs/>
          <w:lang w:val="en"/>
        </w:rPr>
      </w:pPr>
      <w:r>
        <w:rPr>
          <w:rFonts w:ascii="Calibri" w:eastAsia="Times New Roman" w:hAnsi="Calibri" w:cs="Calibri"/>
          <w:i/>
          <w:iCs/>
          <w:lang w:val="en"/>
        </w:rPr>
        <w:t>Conclusion</w:t>
      </w:r>
    </w:p>
    <w:p w14:paraId="22A88815" w14:textId="77777777" w:rsidR="00000000" w:rsidRDefault="00000000">
      <w:pPr>
        <w:pStyle w:val="NormalWeb"/>
        <w:shd w:val="clear" w:color="auto" w:fill="F8F9FA"/>
        <w:divId w:val="1167405545"/>
        <w:rPr>
          <w:rFonts w:ascii="Calibri" w:hAnsi="Calibri" w:cs="Calibri"/>
          <w:i/>
          <w:iCs/>
          <w:color w:val="333333"/>
          <w:lang w:val="en"/>
        </w:rPr>
      </w:pPr>
      <w:r>
        <w:rPr>
          <w:rFonts w:ascii="Calibri" w:hAnsi="Calibri" w:cs="Calibri"/>
          <w:i/>
          <w:iCs/>
          <w:color w:val="333333"/>
          <w:lang w:val="en"/>
        </w:rPr>
        <w:t>Between 2024 and May 2025, Tech Cargo's liabilities grew significantly (44.4%), mainly driven by accounts payable. The firm is funding expansion or operations largely via supplier credit, leading to a higher leverage profile (2.06x). While the capital structure remains equity-heavy, the company should consider optimizing its financing mix to reduce short-term strain and maintain operational flexibility.</w:t>
      </w:r>
    </w:p>
    <w:p w14:paraId="36796333" w14:textId="77777777" w:rsidR="00000000" w:rsidRDefault="007846D9">
      <w:pPr>
        <w:spacing w:before="450" w:after="450"/>
        <w:rPr>
          <w:rFonts w:ascii="Calibri" w:eastAsia="Times New Roman" w:hAnsi="Calibri" w:cs="Calibri"/>
          <w:color w:val="333333"/>
          <w:lang w:val="en"/>
        </w:rPr>
      </w:pPr>
      <w:r>
        <w:rPr>
          <w:rFonts w:ascii="Calibri" w:eastAsia="Times New Roman" w:hAnsi="Calibri" w:cs="Calibri"/>
          <w:noProof/>
          <w:color w:val="333333"/>
          <w:lang w:val="en"/>
        </w:rPr>
        <w:pict w14:anchorId="49D881D1">
          <v:rect id="_x0000_i1027" alt="" style="width:451.3pt;height:.05pt;mso-width-percent:0;mso-height-percent:0;mso-width-percent:0;mso-height-percent:0" o:hralign="center" o:hrstd="t" o:hr="t" fillcolor="#a0a0a0" stroked="f"/>
        </w:pict>
      </w:r>
    </w:p>
    <w:p w14:paraId="69DF5FA3" w14:textId="77777777" w:rsidR="00000000" w:rsidRDefault="00000000">
      <w:pPr>
        <w:pStyle w:val="Heading2"/>
        <w:rPr>
          <w:rFonts w:ascii="Calibri" w:eastAsia="Times New Roman" w:hAnsi="Calibri" w:cs="Calibri"/>
          <w:lang w:val="en"/>
        </w:rPr>
      </w:pPr>
      <w:r>
        <w:rPr>
          <w:rFonts w:ascii="Calibri" w:eastAsia="Times New Roman" w:hAnsi="Calibri" w:cs="Calibri"/>
          <w:lang w:val="en"/>
        </w:rPr>
        <w:t>4. Working Capital Analysis</w:t>
      </w:r>
    </w:p>
    <w:p w14:paraId="3964CE53" w14:textId="77777777" w:rsidR="00000000" w:rsidRDefault="00000000">
      <w:pPr>
        <w:pStyle w:val="Heading3"/>
        <w:rPr>
          <w:rFonts w:ascii="Calibri" w:eastAsia="Times New Roman" w:hAnsi="Calibri" w:cs="Calibri"/>
          <w:lang w:val="en"/>
        </w:rPr>
      </w:pPr>
      <w:r>
        <w:rPr>
          <w:rFonts w:ascii="Calibri" w:eastAsia="Times New Roman" w:hAnsi="Calibri" w:cs="Calibri"/>
          <w:lang w:val="en"/>
        </w:rPr>
        <w:t>4.1 Working Capital Overview</w:t>
      </w:r>
    </w:p>
    <w:p w14:paraId="6B4C2562" w14:textId="77777777" w:rsidR="00000000" w:rsidRDefault="00000000">
      <w:pPr>
        <w:pStyle w:val="NormalWeb"/>
        <w:rPr>
          <w:rFonts w:ascii="Calibri" w:hAnsi="Calibri" w:cs="Calibri"/>
          <w:color w:val="333333"/>
          <w:lang w:val="en"/>
        </w:rPr>
      </w:pPr>
      <w:r>
        <w:rPr>
          <w:rStyle w:val="Strong"/>
          <w:rFonts w:ascii="Calibri" w:hAnsi="Calibri" w:cs="Calibri"/>
          <w:color w:val="333333"/>
          <w:lang w:val="en"/>
        </w:rPr>
        <w:t>Formula:</w:t>
      </w:r>
      <w:r>
        <w:rPr>
          <w:rFonts w:ascii="Calibri" w:hAnsi="Calibri" w:cs="Calibri"/>
          <w:color w:val="333333"/>
          <w:lang w:val="en"/>
        </w:rPr>
        <w:t xml:space="preserve"> Working Capital = Current Assets - Current Liabilities</w:t>
      </w:r>
    </w:p>
    <w:tbl>
      <w:tblPr>
        <w:tblW w:w="5000" w:type="pct"/>
        <w:tblCellMar>
          <w:top w:w="15" w:type="dxa"/>
          <w:left w:w="15" w:type="dxa"/>
          <w:bottom w:w="15" w:type="dxa"/>
          <w:right w:w="15" w:type="dxa"/>
        </w:tblCellMar>
        <w:tblLook w:val="04A0" w:firstRow="1" w:lastRow="0" w:firstColumn="1" w:lastColumn="0" w:noHBand="0" w:noVBand="1"/>
      </w:tblPr>
      <w:tblGrid>
        <w:gridCol w:w="2474"/>
        <w:gridCol w:w="1673"/>
        <w:gridCol w:w="1748"/>
        <w:gridCol w:w="1447"/>
        <w:gridCol w:w="1668"/>
      </w:tblGrid>
      <w:tr w:rsidR="00000000" w14:paraId="324E41E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63431BA2"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2087F995"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 31, 2024</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1B7E99E7"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May 31, 2025</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62E3056A"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Change ($)</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3A538CD3"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Trend</w:t>
            </w:r>
          </w:p>
        </w:tc>
      </w:tr>
      <w:tr w:rsidR="00000000" w14:paraId="4EC7D27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F435784"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Current Assets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58154EB"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$1,322,630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DA39FD9"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$1,780,210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93837EC"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+$457,580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CC64EBF"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 Growth</w:t>
            </w:r>
          </w:p>
        </w:tc>
      </w:tr>
      <w:tr w:rsidR="00000000" w14:paraId="319A157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2E1502E"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Current Liabilities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8CDDCB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$838,125</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C99107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$1,210,080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718FFFD"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+$371,955</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521828C"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 Risk</w:t>
            </w:r>
          </w:p>
        </w:tc>
      </w:tr>
      <w:tr w:rsidR="00000000" w14:paraId="3F66C5D5" w14:textId="77777777">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20" w:type="dxa"/>
              <w:bottom w:w="150" w:type="dxa"/>
              <w:right w:w="120" w:type="dxa"/>
            </w:tcMar>
            <w:hideMark/>
          </w:tcPr>
          <w:p w14:paraId="7F356F0E" w14:textId="77777777" w:rsidR="00000000" w:rsidRDefault="00000000">
            <w:pPr>
              <w:spacing w:before="300" w:after="300"/>
              <w:rPr>
                <w:rFonts w:ascii="Calibri" w:eastAsia="Times New Roman" w:hAnsi="Calibri" w:cs="Calibri"/>
                <w:b/>
                <w:bCs/>
                <w:color w:val="333333"/>
                <w:sz w:val="21"/>
                <w:szCs w:val="21"/>
              </w:rPr>
            </w:pPr>
            <w:r>
              <w:rPr>
                <w:rStyle w:val="Strong"/>
                <w:rFonts w:ascii="Calibri" w:eastAsia="Times New Roman" w:hAnsi="Calibri" w:cs="Calibri"/>
                <w:color w:val="333333"/>
                <w:sz w:val="21"/>
                <w:szCs w:val="21"/>
              </w:rPr>
              <w:t>Net Working Capital</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20" w:type="dxa"/>
              <w:bottom w:w="150" w:type="dxa"/>
              <w:right w:w="120" w:type="dxa"/>
            </w:tcMar>
            <w:hideMark/>
          </w:tcPr>
          <w:p w14:paraId="3FF27894" w14:textId="77777777" w:rsidR="00000000" w:rsidRDefault="00000000">
            <w:pPr>
              <w:spacing w:before="300" w:after="300"/>
              <w:rPr>
                <w:rFonts w:ascii="Calibri" w:eastAsia="Times New Roman" w:hAnsi="Calibri" w:cs="Calibri"/>
                <w:b/>
                <w:bCs/>
                <w:color w:val="333333"/>
                <w:sz w:val="21"/>
                <w:szCs w:val="21"/>
              </w:rPr>
            </w:pPr>
            <w:r>
              <w:rPr>
                <w:rStyle w:val="Strong"/>
                <w:rFonts w:ascii="Calibri" w:eastAsia="Times New Roman" w:hAnsi="Calibri" w:cs="Calibri"/>
                <w:color w:val="333333"/>
                <w:sz w:val="21"/>
                <w:szCs w:val="21"/>
              </w:rPr>
              <w:t>$484,505</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20" w:type="dxa"/>
              <w:bottom w:w="150" w:type="dxa"/>
              <w:right w:w="120" w:type="dxa"/>
            </w:tcMar>
            <w:hideMark/>
          </w:tcPr>
          <w:p w14:paraId="54088F6B" w14:textId="77777777" w:rsidR="00000000" w:rsidRDefault="00000000">
            <w:pPr>
              <w:spacing w:before="300" w:after="300"/>
              <w:rPr>
                <w:rFonts w:ascii="Calibri" w:eastAsia="Times New Roman" w:hAnsi="Calibri" w:cs="Calibri"/>
                <w:b/>
                <w:bCs/>
                <w:color w:val="333333"/>
                <w:sz w:val="21"/>
                <w:szCs w:val="21"/>
              </w:rPr>
            </w:pPr>
            <w:r>
              <w:rPr>
                <w:rStyle w:val="Strong"/>
                <w:rFonts w:ascii="Calibri" w:eastAsia="Times New Roman" w:hAnsi="Calibri" w:cs="Calibri"/>
                <w:color w:val="333333"/>
                <w:sz w:val="21"/>
                <w:szCs w:val="21"/>
              </w:rPr>
              <w:t>$570,130</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20" w:type="dxa"/>
              <w:bottom w:w="150" w:type="dxa"/>
              <w:right w:w="120" w:type="dxa"/>
            </w:tcMar>
            <w:hideMark/>
          </w:tcPr>
          <w:p w14:paraId="6772EAEA" w14:textId="77777777" w:rsidR="00000000" w:rsidRDefault="00000000">
            <w:pPr>
              <w:spacing w:before="300" w:after="300"/>
              <w:rPr>
                <w:rFonts w:ascii="Calibri" w:eastAsia="Times New Roman" w:hAnsi="Calibri" w:cs="Calibri"/>
                <w:b/>
                <w:bCs/>
                <w:color w:val="28A745"/>
                <w:sz w:val="21"/>
                <w:szCs w:val="21"/>
              </w:rPr>
            </w:pPr>
            <w:r>
              <w:rPr>
                <w:rStyle w:val="Strong"/>
                <w:rFonts w:ascii="Calibri" w:eastAsia="Times New Roman" w:hAnsi="Calibri" w:cs="Calibri"/>
                <w:color w:val="28A745"/>
                <w:sz w:val="21"/>
                <w:szCs w:val="21"/>
              </w:rPr>
              <w:t>+$85,625</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20" w:type="dxa"/>
              <w:bottom w:w="150" w:type="dxa"/>
              <w:right w:w="120" w:type="dxa"/>
            </w:tcMar>
            <w:hideMark/>
          </w:tcPr>
          <w:p w14:paraId="3EAAF431" w14:textId="77777777" w:rsidR="00000000" w:rsidRDefault="00000000">
            <w:pPr>
              <w:spacing w:before="300" w:after="300"/>
              <w:rPr>
                <w:rFonts w:ascii="Calibri" w:eastAsia="Times New Roman" w:hAnsi="Calibri" w:cs="Calibri"/>
                <w:b/>
                <w:bCs/>
                <w:color w:val="28A745"/>
                <w:sz w:val="21"/>
                <w:szCs w:val="21"/>
              </w:rPr>
            </w:pPr>
            <w:r>
              <w:rPr>
                <w:rStyle w:val="Strong"/>
                <w:rFonts w:ascii="Calibri" w:eastAsia="Times New Roman" w:hAnsi="Calibri" w:cs="Calibri"/>
                <w:color w:val="28A745"/>
                <w:sz w:val="21"/>
                <w:szCs w:val="21"/>
              </w:rPr>
              <w:t>↑ Moderate</w:t>
            </w:r>
          </w:p>
        </w:tc>
      </w:tr>
    </w:tbl>
    <w:p w14:paraId="63F69ABE" w14:textId="77777777" w:rsidR="00315684" w:rsidRDefault="00315684">
      <w:pPr>
        <w:pStyle w:val="Heading3"/>
        <w:rPr>
          <w:rFonts w:ascii="Calibri" w:eastAsia="Times New Roman" w:hAnsi="Calibri" w:cs="Calibri"/>
          <w:lang w:val="en"/>
        </w:rPr>
      </w:pPr>
    </w:p>
    <w:p w14:paraId="0FB30CAE" w14:textId="77777777" w:rsidR="00315684" w:rsidRDefault="00315684">
      <w:pPr>
        <w:pStyle w:val="Heading3"/>
        <w:rPr>
          <w:rFonts w:ascii="Calibri" w:eastAsia="Times New Roman" w:hAnsi="Calibri" w:cs="Calibri"/>
          <w:lang w:val="en"/>
        </w:rPr>
      </w:pPr>
    </w:p>
    <w:p w14:paraId="34D1A06A" w14:textId="77777777" w:rsidR="00315684" w:rsidRDefault="00315684">
      <w:pPr>
        <w:pStyle w:val="Heading3"/>
        <w:rPr>
          <w:rFonts w:ascii="Calibri" w:eastAsia="Times New Roman" w:hAnsi="Calibri" w:cs="Calibri"/>
          <w:lang w:val="en"/>
        </w:rPr>
      </w:pPr>
    </w:p>
    <w:p w14:paraId="64C04189" w14:textId="62FA3BB6" w:rsidR="00000000" w:rsidRDefault="00000000">
      <w:pPr>
        <w:pStyle w:val="Heading3"/>
        <w:rPr>
          <w:rFonts w:ascii="Calibri" w:eastAsia="Times New Roman" w:hAnsi="Calibri" w:cs="Calibri"/>
          <w:lang w:val="en"/>
        </w:rPr>
      </w:pPr>
      <w:r>
        <w:rPr>
          <w:rFonts w:ascii="Calibri" w:eastAsia="Times New Roman" w:hAnsi="Calibri" w:cs="Calibri"/>
          <w:lang w:val="en"/>
        </w:rPr>
        <w:lastRenderedPageBreak/>
        <w:t>4.2 Current Assets Composition</w:t>
      </w:r>
    </w:p>
    <w:tbl>
      <w:tblPr>
        <w:tblW w:w="5000" w:type="pct"/>
        <w:tblCellMar>
          <w:top w:w="15" w:type="dxa"/>
          <w:left w:w="15" w:type="dxa"/>
          <w:bottom w:w="15" w:type="dxa"/>
          <w:right w:w="15" w:type="dxa"/>
        </w:tblCellMar>
        <w:tblLook w:val="04A0" w:firstRow="1" w:lastRow="0" w:firstColumn="1" w:lastColumn="0" w:noHBand="0" w:noVBand="1"/>
      </w:tblPr>
      <w:tblGrid>
        <w:gridCol w:w="2229"/>
        <w:gridCol w:w="1292"/>
        <w:gridCol w:w="1188"/>
        <w:gridCol w:w="1235"/>
        <w:gridCol w:w="3066"/>
      </w:tblGrid>
      <w:tr w:rsidR="00000000" w14:paraId="0161C91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3E9F17B6"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785D6D04"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 2024</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332C32BB"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May 2025</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41A30893"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Change</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268CC4AC"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Insight</w:t>
            </w:r>
          </w:p>
        </w:tc>
      </w:tr>
      <w:tr w:rsidR="00000000" w14:paraId="5A1E243E"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F6C193A"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Cash &amp; Equivalents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1107D72"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$226,082</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0A9464F"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$594,110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8FB1642"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+$368,028</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391C423"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Strong liquidity injection</w:t>
            </w:r>
          </w:p>
        </w:tc>
      </w:tr>
      <w:tr w:rsidR="00000000" w14:paraId="5B260F03"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1613AD6"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Accounts Receivable</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A1AF531"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$1,092,519</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73D1D4A"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$977,084</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E99541C"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-$115,435</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B3C80CC"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Faster collections</w:t>
            </w:r>
          </w:p>
        </w:tc>
      </w:tr>
      <w:tr w:rsidR="00000000" w14:paraId="65D10E2B"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E1ADE80"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Other Current Assets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7D6AA5E"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$4,028</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152B822"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$209,016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D6EBDFB"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+$204,988</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C7B008E"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EV loan &amp; Spain Office funding</w:t>
            </w:r>
          </w:p>
        </w:tc>
      </w:tr>
    </w:tbl>
    <w:p w14:paraId="20196582" w14:textId="77777777" w:rsidR="00000000" w:rsidRDefault="00000000">
      <w:pPr>
        <w:shd w:val="clear" w:color="auto" w:fill="F8F9FA"/>
        <w:divId w:val="128978952"/>
        <w:rPr>
          <w:rFonts w:ascii="Calibri" w:eastAsia="Times New Roman" w:hAnsi="Calibri" w:cs="Calibri"/>
          <w:i/>
          <w:iCs/>
          <w:color w:val="333333"/>
          <w:lang w:val="en"/>
        </w:rPr>
      </w:pPr>
      <w:r>
        <w:rPr>
          <w:rStyle w:val="Strong"/>
          <w:rFonts w:ascii="Calibri" w:eastAsia="Times New Roman" w:hAnsi="Calibri" w:cs="Calibri"/>
          <w:i/>
          <w:iCs/>
          <w:color w:val="333333"/>
          <w:lang w:val="en"/>
        </w:rPr>
        <w:t>Observation:</w:t>
      </w:r>
      <w:r>
        <w:rPr>
          <w:rFonts w:ascii="Calibri" w:eastAsia="Times New Roman" w:hAnsi="Calibri" w:cs="Calibri"/>
          <w:i/>
          <w:iCs/>
          <w:color w:val="333333"/>
          <w:lang w:val="en"/>
        </w:rPr>
        <w:t xml:space="preserve"> Receivables reduced while cash surged, suggesting better collections and cash flow discipline. However, rise in "Other" (e.g., internal loans) might affect liquidity quality. </w:t>
      </w:r>
    </w:p>
    <w:p w14:paraId="0957F68F" w14:textId="77777777" w:rsidR="00000000" w:rsidRDefault="00000000">
      <w:pPr>
        <w:pStyle w:val="Heading3"/>
        <w:rPr>
          <w:rFonts w:ascii="Calibri" w:eastAsia="Times New Roman" w:hAnsi="Calibri" w:cs="Calibri"/>
          <w:lang w:val="en"/>
        </w:rPr>
      </w:pPr>
      <w:r>
        <w:rPr>
          <w:rFonts w:ascii="Calibri" w:eastAsia="Times New Roman" w:hAnsi="Calibri" w:cs="Calibri"/>
          <w:lang w:val="en"/>
        </w:rPr>
        <w:t>4.3 Current Liabilities Composition</w:t>
      </w:r>
    </w:p>
    <w:tbl>
      <w:tblPr>
        <w:tblW w:w="5000" w:type="pct"/>
        <w:tblCellMar>
          <w:top w:w="15" w:type="dxa"/>
          <w:left w:w="15" w:type="dxa"/>
          <w:bottom w:w="15" w:type="dxa"/>
          <w:right w:w="15" w:type="dxa"/>
        </w:tblCellMar>
        <w:tblLook w:val="04A0" w:firstRow="1" w:lastRow="0" w:firstColumn="1" w:lastColumn="0" w:noHBand="0" w:noVBand="1"/>
      </w:tblPr>
      <w:tblGrid>
        <w:gridCol w:w="2461"/>
        <w:gridCol w:w="1097"/>
        <w:gridCol w:w="1262"/>
        <w:gridCol w:w="1206"/>
        <w:gridCol w:w="2984"/>
      </w:tblGrid>
      <w:tr w:rsidR="00000000" w14:paraId="47670FE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0E9A869F"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592B3DDA"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 2024</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6AF0C7F5"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May 2025</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3233F432"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Change</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0E2BF51D"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Insight</w:t>
            </w:r>
          </w:p>
        </w:tc>
      </w:tr>
      <w:tr w:rsidR="00000000" w14:paraId="462E039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7DB18B8"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Accounts Payable</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B501CF8"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$791,631</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B740C92"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$1,161,478</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E12F28A"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+$369,848</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7EF6622"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Heavier supplier reliance</w:t>
            </w:r>
          </w:p>
        </w:tc>
      </w:tr>
      <w:tr w:rsidR="00000000" w14:paraId="352C4463"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E4B83A7"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Other Current Liabilities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2067D6D"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$39,096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E069DD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$38,170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EE1C90C"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-$926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6EAB4F0"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Stable</w:t>
            </w:r>
          </w:p>
        </w:tc>
      </w:tr>
      <w:tr w:rsidR="00000000" w14:paraId="7F13661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E4864B3"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Credit Cards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A4C25F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$7,399</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658F67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$10,432</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DF3A0CC"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+$3,033</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66C9816"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Increased short-term debt use</w:t>
            </w:r>
          </w:p>
        </w:tc>
      </w:tr>
    </w:tbl>
    <w:p w14:paraId="263FB7D4" w14:textId="77777777" w:rsidR="00000000" w:rsidRDefault="00000000">
      <w:pPr>
        <w:shd w:val="clear" w:color="auto" w:fill="F8F9FA"/>
        <w:divId w:val="525871893"/>
        <w:rPr>
          <w:rFonts w:ascii="Calibri" w:eastAsia="Times New Roman" w:hAnsi="Calibri" w:cs="Calibri"/>
          <w:i/>
          <w:iCs/>
          <w:color w:val="333333"/>
          <w:lang w:val="en"/>
        </w:rPr>
      </w:pPr>
      <w:r>
        <w:rPr>
          <w:rStyle w:val="Strong"/>
          <w:rFonts w:ascii="Calibri" w:eastAsia="Times New Roman" w:hAnsi="Calibri" w:cs="Calibri"/>
          <w:i/>
          <w:iCs/>
          <w:color w:val="333333"/>
          <w:lang w:val="en"/>
        </w:rPr>
        <w:t>Observation:</w:t>
      </w:r>
      <w:r>
        <w:rPr>
          <w:rFonts w:ascii="Calibri" w:eastAsia="Times New Roman" w:hAnsi="Calibri" w:cs="Calibri"/>
          <w:i/>
          <w:iCs/>
          <w:color w:val="333333"/>
          <w:lang w:val="en"/>
        </w:rPr>
        <w:t xml:space="preserve"> Substantial increase in AP is funding </w:t>
      </w:r>
      <w:proofErr w:type="gramStart"/>
      <w:r>
        <w:rPr>
          <w:rFonts w:ascii="Calibri" w:eastAsia="Times New Roman" w:hAnsi="Calibri" w:cs="Calibri"/>
          <w:i/>
          <w:iCs/>
          <w:color w:val="333333"/>
          <w:lang w:val="en"/>
        </w:rPr>
        <w:t>operations, but</w:t>
      </w:r>
      <w:proofErr w:type="gramEnd"/>
      <w:r>
        <w:rPr>
          <w:rFonts w:ascii="Calibri" w:eastAsia="Times New Roman" w:hAnsi="Calibri" w:cs="Calibri"/>
          <w:i/>
          <w:iCs/>
          <w:color w:val="333333"/>
          <w:lang w:val="en"/>
        </w:rPr>
        <w:t xml:space="preserve"> heightens liquidity risk if payment terms change or vendors push back. </w:t>
      </w:r>
    </w:p>
    <w:p w14:paraId="54CA0CC3" w14:textId="77777777" w:rsidR="00315684" w:rsidRDefault="00315684">
      <w:pPr>
        <w:pStyle w:val="Heading3"/>
        <w:rPr>
          <w:rFonts w:ascii="Calibri" w:eastAsia="Times New Roman" w:hAnsi="Calibri" w:cs="Calibri"/>
          <w:lang w:val="en"/>
        </w:rPr>
      </w:pPr>
    </w:p>
    <w:p w14:paraId="69729CB1" w14:textId="77777777" w:rsidR="00315684" w:rsidRDefault="00315684">
      <w:pPr>
        <w:pStyle w:val="Heading3"/>
        <w:rPr>
          <w:rFonts w:ascii="Calibri" w:eastAsia="Times New Roman" w:hAnsi="Calibri" w:cs="Calibri"/>
          <w:lang w:val="en"/>
        </w:rPr>
      </w:pPr>
    </w:p>
    <w:p w14:paraId="757BFA15" w14:textId="66586DA1" w:rsidR="00000000" w:rsidRDefault="00000000">
      <w:pPr>
        <w:pStyle w:val="Heading3"/>
        <w:rPr>
          <w:rFonts w:ascii="Calibri" w:eastAsia="Times New Roman" w:hAnsi="Calibri" w:cs="Calibri"/>
          <w:lang w:val="en"/>
        </w:rPr>
      </w:pPr>
      <w:r>
        <w:rPr>
          <w:rFonts w:ascii="Calibri" w:eastAsia="Times New Roman" w:hAnsi="Calibri" w:cs="Calibri"/>
          <w:lang w:val="en"/>
        </w:rPr>
        <w:lastRenderedPageBreak/>
        <w:t>4.4 Working Capital Efficiency Metrics</w:t>
      </w:r>
    </w:p>
    <w:tbl>
      <w:tblPr>
        <w:tblW w:w="5000" w:type="pct"/>
        <w:tblCellMar>
          <w:top w:w="15" w:type="dxa"/>
          <w:left w:w="15" w:type="dxa"/>
          <w:bottom w:w="15" w:type="dxa"/>
          <w:right w:w="15" w:type="dxa"/>
        </w:tblCellMar>
        <w:tblLook w:val="04A0" w:firstRow="1" w:lastRow="0" w:firstColumn="1" w:lastColumn="0" w:noHBand="0" w:noVBand="1"/>
      </w:tblPr>
      <w:tblGrid>
        <w:gridCol w:w="2642"/>
        <w:gridCol w:w="776"/>
        <w:gridCol w:w="1234"/>
        <w:gridCol w:w="1033"/>
        <w:gridCol w:w="3325"/>
      </w:tblGrid>
      <w:tr w:rsidR="00000000" w14:paraId="1F9DEBE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3035EF11"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20212756"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2024</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32EEBEA6"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2025 YTD</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0C14A6D2"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Change</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0F5088D4"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Interpretation</w:t>
            </w:r>
          </w:p>
        </w:tc>
      </w:tr>
      <w:tr w:rsidR="00000000" w14:paraId="266C6C0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86EFFCB"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Current Ratio</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557B530"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1.58</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0CEACE2"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1.47</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3CB27A8"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3BD0B6F"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Still healthy, but buffer shrinks</w:t>
            </w:r>
          </w:p>
        </w:tc>
      </w:tr>
      <w:tr w:rsidR="00000000" w14:paraId="66EF902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879260E"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Working Capital / Sales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AB5B4F0"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7EB2A76"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3C8D173" w14:textId="77777777" w:rsidR="00000000" w:rsidRDefault="00000000">
            <w:pPr>
              <w:spacing w:before="300" w:after="300"/>
              <w:rPr>
                <w:rFonts w:ascii="Calibri" w:eastAsia="Times New Roman" w:hAnsi="Calibri" w:cs="Calibri"/>
                <w:b/>
                <w:bCs/>
                <w:color w:val="6C757D"/>
                <w:sz w:val="21"/>
                <w:szCs w:val="21"/>
              </w:rPr>
            </w:pPr>
            <w:r>
              <w:rPr>
                <w:rFonts w:ascii="Calibri" w:eastAsia="Times New Roman" w:hAnsi="Calibri" w:cs="Calibri"/>
                <w:b/>
                <w:bCs/>
                <w:color w:val="6C757D"/>
                <w:sz w:val="21"/>
                <w:szCs w:val="21"/>
              </w:rPr>
              <w:t>Flat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A1807C9"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Stable proportion of liquidity</w:t>
            </w:r>
          </w:p>
        </w:tc>
      </w:tr>
      <w:tr w:rsidR="00000000" w14:paraId="7EF0C20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F79CB63"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AP / Current Liabilities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E7C56AD"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94%</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3161027"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07671D2" w14:textId="77777777" w:rsidR="00000000" w:rsidRDefault="00000000">
            <w:pPr>
              <w:spacing w:before="300" w:after="300"/>
              <w:rPr>
                <w:rFonts w:ascii="Calibri" w:eastAsia="Times New Roman" w:hAnsi="Calibri" w:cs="Calibri"/>
                <w:b/>
                <w:bCs/>
                <w:color w:val="DC3545"/>
                <w:sz w:val="21"/>
                <w:szCs w:val="21"/>
              </w:rPr>
            </w:pPr>
            <w:r>
              <w:rPr>
                <w:rFonts w:ascii="Calibri" w:eastAsia="Times New Roman" w:hAnsi="Calibri" w:cs="Calibri"/>
                <w:b/>
                <w:bCs/>
                <w:color w:val="DC35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AF9745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Heavy reliance on suppliers</w:t>
            </w:r>
          </w:p>
        </w:tc>
      </w:tr>
      <w:tr w:rsidR="00000000" w14:paraId="3AE7BDD4"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551A9EA"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AR / Current Assets</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8F06892"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9E89EE7"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C24D30C"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BC11FA4"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liquidity quality</w:t>
            </w:r>
          </w:p>
        </w:tc>
      </w:tr>
    </w:tbl>
    <w:p w14:paraId="676A538B" w14:textId="77777777" w:rsidR="00000000" w:rsidRDefault="00000000">
      <w:pPr>
        <w:pStyle w:val="Heading3"/>
        <w:rPr>
          <w:rFonts w:ascii="Calibri" w:eastAsia="Times New Roman" w:hAnsi="Calibri" w:cs="Calibri"/>
          <w:lang w:val="en"/>
        </w:rPr>
      </w:pPr>
      <w:r>
        <w:rPr>
          <w:rFonts w:ascii="Calibri" w:eastAsia="Times New Roman" w:hAnsi="Calibri" w:cs="Calibri"/>
          <w:lang w:val="en"/>
        </w:rPr>
        <w:t>4.5 Working Capital Assessment</w:t>
      </w:r>
    </w:p>
    <w:p w14:paraId="7513DA0D" w14:textId="77777777" w:rsidR="00000000" w:rsidRDefault="00000000">
      <w:pPr>
        <w:pStyle w:val="Heading4"/>
        <w:shd w:val="clear" w:color="auto" w:fill="D4EDDA"/>
        <w:divId w:val="1022709914"/>
        <w:rPr>
          <w:rFonts w:ascii="Calibri" w:eastAsia="Times New Roman" w:hAnsi="Calibri" w:cs="Calibri"/>
          <w:lang w:val="en"/>
        </w:rPr>
      </w:pPr>
      <w:r>
        <w:rPr>
          <w:rFonts w:ascii="Apple Color Emoji" w:eastAsia="Times New Roman" w:hAnsi="Apple Color Emoji" w:cs="Apple Color Emoji"/>
          <w:lang w:val="en"/>
        </w:rPr>
        <w:t>✅</w:t>
      </w:r>
      <w:r>
        <w:rPr>
          <w:rFonts w:ascii="Calibri" w:eastAsia="Times New Roman" w:hAnsi="Calibri" w:cs="Calibri"/>
          <w:lang w:val="en"/>
        </w:rPr>
        <w:t xml:space="preserve"> Positive Indicators</w:t>
      </w:r>
    </w:p>
    <w:p w14:paraId="15A12DC5" w14:textId="77777777" w:rsidR="00000000" w:rsidRDefault="00000000">
      <w:pPr>
        <w:numPr>
          <w:ilvl w:val="0"/>
          <w:numId w:val="12"/>
        </w:numPr>
        <w:shd w:val="clear" w:color="auto" w:fill="D4EDDA"/>
        <w:spacing w:before="120" w:after="120"/>
        <w:divId w:val="1022709914"/>
        <w:rPr>
          <w:rFonts w:ascii="Calibri" w:eastAsia="Times New Roman" w:hAnsi="Calibri" w:cs="Calibri"/>
          <w:color w:val="333333"/>
          <w:lang w:val="en"/>
        </w:rPr>
      </w:pPr>
      <w:r>
        <w:rPr>
          <w:rFonts w:ascii="Calibri" w:eastAsia="Times New Roman" w:hAnsi="Calibri" w:cs="Calibri"/>
          <w:color w:val="333333"/>
          <w:lang w:val="en"/>
        </w:rPr>
        <w:t>Cash grew 2.6× due to stronger operational performance</w:t>
      </w:r>
    </w:p>
    <w:p w14:paraId="63659A95" w14:textId="77777777" w:rsidR="00000000" w:rsidRDefault="00000000">
      <w:pPr>
        <w:numPr>
          <w:ilvl w:val="0"/>
          <w:numId w:val="12"/>
        </w:numPr>
        <w:shd w:val="clear" w:color="auto" w:fill="D4EDDA"/>
        <w:spacing w:before="120" w:after="120"/>
        <w:divId w:val="1022709914"/>
        <w:rPr>
          <w:rFonts w:ascii="Calibri" w:eastAsia="Times New Roman" w:hAnsi="Calibri" w:cs="Calibri"/>
          <w:color w:val="333333"/>
          <w:lang w:val="en"/>
        </w:rPr>
      </w:pPr>
      <w:r>
        <w:rPr>
          <w:rFonts w:ascii="Calibri" w:eastAsia="Times New Roman" w:hAnsi="Calibri" w:cs="Calibri"/>
          <w:color w:val="333333"/>
          <w:lang w:val="en"/>
        </w:rPr>
        <w:t>Receivables dropped, showing improved collections</w:t>
      </w:r>
    </w:p>
    <w:p w14:paraId="4BE832ED" w14:textId="77777777" w:rsidR="00000000" w:rsidRDefault="00000000">
      <w:pPr>
        <w:numPr>
          <w:ilvl w:val="0"/>
          <w:numId w:val="12"/>
        </w:numPr>
        <w:shd w:val="clear" w:color="auto" w:fill="D4EDDA"/>
        <w:spacing w:before="120" w:after="120"/>
        <w:divId w:val="1022709914"/>
        <w:rPr>
          <w:rFonts w:ascii="Calibri" w:eastAsia="Times New Roman" w:hAnsi="Calibri" w:cs="Calibri"/>
          <w:color w:val="333333"/>
          <w:lang w:val="en"/>
        </w:rPr>
      </w:pPr>
      <w:r>
        <w:rPr>
          <w:rFonts w:ascii="Calibri" w:eastAsia="Times New Roman" w:hAnsi="Calibri" w:cs="Calibri"/>
          <w:color w:val="333333"/>
          <w:lang w:val="en"/>
        </w:rPr>
        <w:t>Net Working Capital increased moderately</w:t>
      </w:r>
    </w:p>
    <w:p w14:paraId="25F67E0C" w14:textId="77777777" w:rsidR="00000000" w:rsidRDefault="00000000">
      <w:pPr>
        <w:pStyle w:val="Heading4"/>
        <w:shd w:val="clear" w:color="auto" w:fill="FFF3CD"/>
        <w:divId w:val="951206286"/>
        <w:rPr>
          <w:rFonts w:ascii="Calibri" w:eastAsia="Times New Roman" w:hAnsi="Calibri" w:cs="Calibri"/>
          <w:lang w:val="en"/>
        </w:rPr>
      </w:pPr>
      <w:r>
        <w:rPr>
          <w:rFonts w:ascii="Apple Color Emoji" w:eastAsia="Times New Roman" w:hAnsi="Apple Color Emoji" w:cs="Apple Color Emoji"/>
          <w:lang w:val="en"/>
        </w:rPr>
        <w:t>⚠️</w:t>
      </w:r>
      <w:r>
        <w:rPr>
          <w:rFonts w:ascii="Calibri" w:eastAsia="Times New Roman" w:hAnsi="Calibri" w:cs="Calibri"/>
          <w:lang w:val="en"/>
        </w:rPr>
        <w:t xml:space="preserve"> Risk Factors</w:t>
      </w:r>
    </w:p>
    <w:p w14:paraId="7C4E64ED" w14:textId="77777777" w:rsidR="00000000" w:rsidRDefault="00000000">
      <w:pPr>
        <w:numPr>
          <w:ilvl w:val="0"/>
          <w:numId w:val="13"/>
        </w:numPr>
        <w:shd w:val="clear" w:color="auto" w:fill="FFF3CD"/>
        <w:spacing w:before="120" w:after="120"/>
        <w:divId w:val="951206286"/>
        <w:rPr>
          <w:rFonts w:ascii="Calibri" w:eastAsia="Times New Roman" w:hAnsi="Calibri" w:cs="Calibri"/>
          <w:color w:val="333333"/>
          <w:lang w:val="en"/>
        </w:rPr>
      </w:pPr>
      <w:r>
        <w:rPr>
          <w:rFonts w:ascii="Calibri" w:eastAsia="Times New Roman" w:hAnsi="Calibri" w:cs="Calibri"/>
          <w:color w:val="333333"/>
          <w:lang w:val="en"/>
        </w:rPr>
        <w:t>Accounts Payable up 47% → Significantly increases short-term obligations</w:t>
      </w:r>
    </w:p>
    <w:p w14:paraId="6682DEBE" w14:textId="77777777" w:rsidR="00000000" w:rsidRDefault="00000000">
      <w:pPr>
        <w:numPr>
          <w:ilvl w:val="0"/>
          <w:numId w:val="13"/>
        </w:numPr>
        <w:shd w:val="clear" w:color="auto" w:fill="FFF3CD"/>
        <w:spacing w:before="120" w:after="120"/>
        <w:divId w:val="951206286"/>
        <w:rPr>
          <w:rFonts w:ascii="Calibri" w:eastAsia="Times New Roman" w:hAnsi="Calibri" w:cs="Calibri"/>
          <w:color w:val="333333"/>
          <w:lang w:val="en"/>
        </w:rPr>
      </w:pPr>
      <w:r>
        <w:rPr>
          <w:rFonts w:ascii="Calibri" w:eastAsia="Times New Roman" w:hAnsi="Calibri" w:cs="Calibri"/>
          <w:color w:val="333333"/>
          <w:lang w:val="en"/>
        </w:rPr>
        <w:t>Leverage to fund operations via payables and credit cards is rising</w:t>
      </w:r>
    </w:p>
    <w:p w14:paraId="45A80899" w14:textId="77777777" w:rsidR="00000000" w:rsidRDefault="00000000">
      <w:pPr>
        <w:numPr>
          <w:ilvl w:val="0"/>
          <w:numId w:val="13"/>
        </w:numPr>
        <w:shd w:val="clear" w:color="auto" w:fill="FFF3CD"/>
        <w:spacing w:before="120" w:after="120"/>
        <w:divId w:val="951206286"/>
        <w:rPr>
          <w:rFonts w:ascii="Calibri" w:eastAsia="Times New Roman" w:hAnsi="Calibri" w:cs="Calibri"/>
          <w:color w:val="333333"/>
          <w:lang w:val="en"/>
        </w:rPr>
      </w:pPr>
      <w:r>
        <w:rPr>
          <w:rFonts w:ascii="Calibri" w:eastAsia="Times New Roman" w:hAnsi="Calibri" w:cs="Calibri"/>
          <w:color w:val="333333"/>
          <w:lang w:val="en"/>
        </w:rPr>
        <w:t>Current Ratio trending down, though still above 1.0</w:t>
      </w:r>
    </w:p>
    <w:p w14:paraId="5A5EACCC" w14:textId="77777777" w:rsidR="00000000" w:rsidRDefault="007846D9">
      <w:pPr>
        <w:spacing w:before="450" w:after="450"/>
        <w:rPr>
          <w:rFonts w:ascii="Calibri" w:eastAsia="Times New Roman" w:hAnsi="Calibri" w:cs="Calibri"/>
          <w:color w:val="333333"/>
          <w:lang w:val="en"/>
        </w:rPr>
      </w:pPr>
      <w:r>
        <w:rPr>
          <w:rFonts w:ascii="Calibri" w:eastAsia="Times New Roman" w:hAnsi="Calibri" w:cs="Calibri"/>
          <w:noProof/>
          <w:color w:val="333333"/>
          <w:lang w:val="en"/>
        </w:rPr>
        <w:pict w14:anchorId="18062D92">
          <v:rect id="_x0000_i1026" alt="" style="width:451.3pt;height:.05pt;mso-width-percent:0;mso-height-percent:0;mso-width-percent:0;mso-height-percent:0" o:hralign="center" o:hrstd="t" o:hr="t" fillcolor="#a0a0a0" stroked="f"/>
        </w:pict>
      </w:r>
    </w:p>
    <w:p w14:paraId="7D17F86E" w14:textId="6C1B2EEF" w:rsidR="00000000" w:rsidRDefault="00000000">
      <w:pPr>
        <w:pStyle w:val="Heading2"/>
        <w:rPr>
          <w:rFonts w:ascii="Calibri" w:eastAsia="Times New Roman" w:hAnsi="Calibri" w:cs="Calibri"/>
          <w:lang w:val="en"/>
        </w:rPr>
      </w:pPr>
      <w:r>
        <w:rPr>
          <w:rFonts w:ascii="Calibri" w:eastAsia="Times New Roman" w:hAnsi="Calibri" w:cs="Calibri"/>
          <w:lang w:val="en"/>
        </w:rPr>
        <w:t xml:space="preserve">5. Monthly </w:t>
      </w:r>
      <w:r w:rsidR="00315684">
        <w:rPr>
          <w:rFonts w:ascii="Calibri" w:eastAsia="Times New Roman" w:hAnsi="Calibri" w:cs="Calibri"/>
          <w:lang w:val="en"/>
        </w:rPr>
        <w:t xml:space="preserve">Bank Accounts </w:t>
      </w:r>
      <w:r>
        <w:rPr>
          <w:rFonts w:ascii="Calibri" w:eastAsia="Times New Roman" w:hAnsi="Calibri" w:cs="Calibri"/>
          <w:lang w:val="en"/>
        </w:rPr>
        <w:t>Cash Flow Analysis</w:t>
      </w:r>
    </w:p>
    <w:p w14:paraId="1BA28A80" w14:textId="77777777" w:rsidR="00000000" w:rsidRDefault="00000000">
      <w:pPr>
        <w:pStyle w:val="Heading3"/>
        <w:rPr>
          <w:rFonts w:ascii="Calibri" w:eastAsia="Times New Roman" w:hAnsi="Calibri" w:cs="Calibri"/>
          <w:lang w:val="en"/>
        </w:rPr>
      </w:pPr>
      <w:r>
        <w:rPr>
          <w:rFonts w:ascii="Calibri" w:eastAsia="Times New Roman" w:hAnsi="Calibri" w:cs="Calibri"/>
          <w:lang w:val="en"/>
        </w:rPr>
        <w:lastRenderedPageBreak/>
        <w:t>5.1 Cash Flow Summary (January 2024 - May 2025)</w:t>
      </w:r>
    </w:p>
    <w:tbl>
      <w:tblPr>
        <w:tblW w:w="5000" w:type="pct"/>
        <w:tblCellMar>
          <w:top w:w="15" w:type="dxa"/>
          <w:left w:w="15" w:type="dxa"/>
          <w:bottom w:w="15" w:type="dxa"/>
          <w:right w:w="15" w:type="dxa"/>
        </w:tblCellMar>
        <w:tblLook w:val="04A0" w:firstRow="1" w:lastRow="0" w:firstColumn="1" w:lastColumn="0" w:noHBand="0" w:noVBand="1"/>
      </w:tblPr>
      <w:tblGrid>
        <w:gridCol w:w="1298"/>
        <w:gridCol w:w="2481"/>
        <w:gridCol w:w="3192"/>
        <w:gridCol w:w="2039"/>
      </w:tblGrid>
      <w:tr w:rsidR="00000000" w14:paraId="47F3EFB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45A811C3"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Month</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5BBE47B2"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Cash In (Deposits)</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2DD15A0C"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Cash Out (Withdrawals)</w:t>
            </w:r>
          </w:p>
        </w:tc>
        <w:tc>
          <w:tcPr>
            <w:tcW w:w="0" w:type="auto"/>
            <w:tcBorders>
              <w:top w:val="single" w:sz="6" w:space="0" w:color="DDDDDD"/>
              <w:left w:val="single" w:sz="6" w:space="0" w:color="DDDDDD"/>
              <w:bottom w:val="single" w:sz="6" w:space="0" w:color="DDDDDD"/>
              <w:right w:val="single" w:sz="6" w:space="0" w:color="DDDDDD"/>
            </w:tcBorders>
            <w:shd w:val="clear" w:color="auto" w:fill="2C5AA0"/>
            <w:tcMar>
              <w:top w:w="180" w:type="dxa"/>
              <w:left w:w="120" w:type="dxa"/>
              <w:bottom w:w="180" w:type="dxa"/>
              <w:right w:w="120" w:type="dxa"/>
            </w:tcMar>
            <w:vAlign w:val="center"/>
            <w:hideMark/>
          </w:tcPr>
          <w:p w14:paraId="537844CB" w14:textId="77777777" w:rsidR="00000000" w:rsidRDefault="00000000">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Net Cash Flow</w:t>
            </w:r>
          </w:p>
        </w:tc>
      </w:tr>
      <w:tr w:rsidR="00000000" w14:paraId="7904171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43F523B"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2024-01</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C42A81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$622,820.00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436F0D6"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$599,540.00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AC23F53"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$23,280.00</w:t>
            </w:r>
          </w:p>
        </w:tc>
      </w:tr>
      <w:tr w:rsidR="00000000" w14:paraId="7BDC73E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CF783B6"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2024-02</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E849E62"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$646,594.00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0BCD119"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$604,515.00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6AE6819"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$42,079.00</w:t>
            </w:r>
          </w:p>
        </w:tc>
      </w:tr>
      <w:tr w:rsidR="00000000" w14:paraId="3C536F0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3564EB0"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2024-03</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1158896"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$652,894.00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225A362"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$680,385.00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8F9A59E" w14:textId="77777777" w:rsidR="00000000" w:rsidRDefault="00000000">
            <w:pPr>
              <w:spacing w:before="300" w:after="300"/>
              <w:rPr>
                <w:rFonts w:ascii="Calibri" w:eastAsia="Times New Roman" w:hAnsi="Calibri" w:cs="Calibri"/>
                <w:b/>
                <w:bCs/>
                <w:color w:val="FFC107"/>
                <w:sz w:val="21"/>
                <w:szCs w:val="21"/>
              </w:rPr>
            </w:pPr>
            <w:r>
              <w:rPr>
                <w:rFonts w:ascii="Calibri" w:eastAsia="Times New Roman" w:hAnsi="Calibri" w:cs="Calibri"/>
                <w:b/>
                <w:bCs/>
                <w:color w:val="FFC107"/>
                <w:sz w:val="21"/>
                <w:szCs w:val="21"/>
              </w:rPr>
              <w:t>-$27,491.00</w:t>
            </w:r>
          </w:p>
        </w:tc>
      </w:tr>
      <w:tr w:rsidR="00000000" w14:paraId="7042EBF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7D6FDBD"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2024-04</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DD11D38"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$954,243.00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A5AB3DB"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$952,648.00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4B2891D"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$1,595.00</w:t>
            </w:r>
          </w:p>
        </w:tc>
      </w:tr>
      <w:tr w:rsidR="00000000" w14:paraId="06265F83"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2640334"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2024-05</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1DBC804"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$1,090,448.00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795316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$981,665.00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194D7C4"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$108,783.00</w:t>
            </w:r>
          </w:p>
        </w:tc>
      </w:tr>
      <w:tr w:rsidR="00000000" w14:paraId="6427D3D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92AC7E2"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2024-06</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942F1C8"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$958,661.00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84266D7"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$1,049,472.00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6701023" w14:textId="77777777" w:rsidR="00000000" w:rsidRDefault="00000000">
            <w:pPr>
              <w:spacing w:before="300" w:after="300"/>
              <w:rPr>
                <w:rFonts w:ascii="Calibri" w:eastAsia="Times New Roman" w:hAnsi="Calibri" w:cs="Calibri"/>
                <w:b/>
                <w:bCs/>
                <w:color w:val="FFC107"/>
                <w:sz w:val="21"/>
                <w:szCs w:val="21"/>
              </w:rPr>
            </w:pPr>
            <w:r>
              <w:rPr>
                <w:rFonts w:ascii="Calibri" w:eastAsia="Times New Roman" w:hAnsi="Calibri" w:cs="Calibri"/>
                <w:b/>
                <w:bCs/>
                <w:color w:val="FFC107"/>
                <w:sz w:val="21"/>
                <w:szCs w:val="21"/>
              </w:rPr>
              <w:t>-$90,811.00</w:t>
            </w:r>
          </w:p>
        </w:tc>
      </w:tr>
      <w:tr w:rsidR="00000000" w14:paraId="755A6649"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6F804F3"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2024-07</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3E2D08B"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$1,438,315.00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F673E69"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$1,409,725.00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6D21AC8"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$28,590.00</w:t>
            </w:r>
          </w:p>
        </w:tc>
      </w:tr>
      <w:tr w:rsidR="00000000" w14:paraId="3648401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812F3A2"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2024-08</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A196417"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$1,399,337.00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B21C92E"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$1,408,881.00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A2FC93F" w14:textId="77777777" w:rsidR="00000000" w:rsidRDefault="00000000">
            <w:pPr>
              <w:spacing w:before="300" w:after="300"/>
              <w:rPr>
                <w:rFonts w:ascii="Calibri" w:eastAsia="Times New Roman" w:hAnsi="Calibri" w:cs="Calibri"/>
                <w:b/>
                <w:bCs/>
                <w:color w:val="FFC107"/>
                <w:sz w:val="21"/>
                <w:szCs w:val="21"/>
              </w:rPr>
            </w:pPr>
            <w:r>
              <w:rPr>
                <w:rFonts w:ascii="Calibri" w:eastAsia="Times New Roman" w:hAnsi="Calibri" w:cs="Calibri"/>
                <w:b/>
                <w:bCs/>
                <w:color w:val="FFC107"/>
                <w:sz w:val="21"/>
                <w:szCs w:val="21"/>
              </w:rPr>
              <w:t>-$9,544.00</w:t>
            </w:r>
          </w:p>
        </w:tc>
      </w:tr>
      <w:tr w:rsidR="00000000" w14:paraId="07CC9CA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CCE9F46"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2024-09</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DC104C3"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$1,855,114.00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20E09FDB"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$1,409,981.00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4616781"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$445,133.00</w:t>
            </w:r>
          </w:p>
        </w:tc>
      </w:tr>
      <w:tr w:rsidR="00000000" w14:paraId="0A92AD8A"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FA17B05"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2024-10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0F940F1"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$1,231,327.00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53D1405"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$1,204,054.00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336060B"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$27,273.00</w:t>
            </w:r>
          </w:p>
        </w:tc>
      </w:tr>
      <w:tr w:rsidR="00000000" w14:paraId="3AAB007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8183CEF"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lastRenderedPageBreak/>
              <w:t>2024-11</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14E66056"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$1,091,649.00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50A8FF8"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$1,140,090.00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6141F6EE" w14:textId="77777777" w:rsidR="00000000" w:rsidRDefault="00000000">
            <w:pPr>
              <w:spacing w:before="300" w:after="300"/>
              <w:rPr>
                <w:rFonts w:ascii="Calibri" w:eastAsia="Times New Roman" w:hAnsi="Calibri" w:cs="Calibri"/>
                <w:b/>
                <w:bCs/>
                <w:color w:val="FFC107"/>
                <w:sz w:val="21"/>
                <w:szCs w:val="21"/>
              </w:rPr>
            </w:pPr>
            <w:r>
              <w:rPr>
                <w:rFonts w:ascii="Calibri" w:eastAsia="Times New Roman" w:hAnsi="Calibri" w:cs="Calibri"/>
                <w:b/>
                <w:bCs/>
                <w:color w:val="FFC107"/>
                <w:sz w:val="21"/>
                <w:szCs w:val="21"/>
              </w:rPr>
              <w:t>-$48,441.00</w:t>
            </w:r>
          </w:p>
        </w:tc>
      </w:tr>
      <w:tr w:rsidR="00000000" w14:paraId="021163FA"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D3EE187"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2024-12</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05EC646"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$1,473,181.00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EE910D1"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$1,528,687.00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E371444" w14:textId="77777777" w:rsidR="00000000" w:rsidRDefault="00000000">
            <w:pPr>
              <w:spacing w:before="300" w:after="300"/>
              <w:rPr>
                <w:rFonts w:ascii="Calibri" w:eastAsia="Times New Roman" w:hAnsi="Calibri" w:cs="Calibri"/>
                <w:b/>
                <w:bCs/>
                <w:color w:val="FFC107"/>
                <w:sz w:val="21"/>
                <w:szCs w:val="21"/>
              </w:rPr>
            </w:pPr>
            <w:r>
              <w:rPr>
                <w:rFonts w:ascii="Calibri" w:eastAsia="Times New Roman" w:hAnsi="Calibri" w:cs="Calibri"/>
                <w:b/>
                <w:bCs/>
                <w:color w:val="FFC107"/>
                <w:sz w:val="21"/>
                <w:szCs w:val="21"/>
              </w:rPr>
              <w:t>-$55,506.00</w:t>
            </w:r>
          </w:p>
        </w:tc>
      </w:tr>
      <w:tr w:rsidR="00000000" w14:paraId="4B397B5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035172E"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2025-01</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FC723BE"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$1,058,686.00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5B30D4F"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$1,048,496.00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1126F02"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$10,190.00</w:t>
            </w:r>
          </w:p>
        </w:tc>
      </w:tr>
      <w:tr w:rsidR="00000000" w14:paraId="6042ABE4"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73E7E3E"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2025-02</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37DFA19"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$1,108,701.00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2F06861"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$1,140,342.00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BE0F5CD" w14:textId="77777777" w:rsidR="00000000" w:rsidRDefault="00000000">
            <w:pPr>
              <w:spacing w:before="300" w:after="300"/>
              <w:rPr>
                <w:rFonts w:ascii="Calibri" w:eastAsia="Times New Roman" w:hAnsi="Calibri" w:cs="Calibri"/>
                <w:b/>
                <w:bCs/>
                <w:color w:val="FFC107"/>
                <w:sz w:val="21"/>
                <w:szCs w:val="21"/>
              </w:rPr>
            </w:pPr>
            <w:r>
              <w:rPr>
                <w:rFonts w:ascii="Calibri" w:eastAsia="Times New Roman" w:hAnsi="Calibri" w:cs="Calibri"/>
                <w:b/>
                <w:bCs/>
                <w:color w:val="FFC107"/>
                <w:sz w:val="21"/>
                <w:szCs w:val="21"/>
              </w:rPr>
              <w:t>-$31,641.00</w:t>
            </w:r>
          </w:p>
        </w:tc>
      </w:tr>
      <w:tr w:rsidR="00000000" w14:paraId="057515AA"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8C92251"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2025-03</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7366B1F"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$1,329,228.00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DB85B1A"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$1,198,327.00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48BE24B"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$130,901.00</w:t>
            </w:r>
          </w:p>
        </w:tc>
      </w:tr>
      <w:tr w:rsidR="00000000" w14:paraId="59ED508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7CCD9FF"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2025-04</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8D3F12B"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$312,302.00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45D7B6E4"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$112,192.00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F903279" w14:textId="77777777" w:rsidR="00000000" w:rsidRDefault="00000000">
            <w:pPr>
              <w:spacing w:before="300" w:after="300"/>
              <w:rPr>
                <w:rFonts w:ascii="Calibri" w:eastAsia="Times New Roman" w:hAnsi="Calibri" w:cs="Calibri"/>
                <w:b/>
                <w:bCs/>
                <w:color w:val="28A745"/>
                <w:sz w:val="21"/>
                <w:szCs w:val="21"/>
              </w:rPr>
            </w:pPr>
            <w:r>
              <w:rPr>
                <w:rFonts w:ascii="Calibri" w:eastAsia="Times New Roman" w:hAnsi="Calibri" w:cs="Calibri"/>
                <w:b/>
                <w:bCs/>
                <w:color w:val="28A745"/>
                <w:sz w:val="21"/>
                <w:szCs w:val="21"/>
              </w:rPr>
              <w:t>$200,110.00</w:t>
            </w:r>
          </w:p>
        </w:tc>
      </w:tr>
      <w:tr w:rsidR="00000000" w14:paraId="7ECB7A1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00364B25" w14:textId="77777777" w:rsidR="00000000" w:rsidRDefault="00000000">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2025-05</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3DED7B98"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$370,525.00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5AAB560D" w14:textId="77777777" w:rsidR="00000000" w:rsidRDefault="00000000">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$778,451.00</w:t>
            </w:r>
          </w:p>
        </w:tc>
        <w:tc>
          <w:tcPr>
            <w:tcW w:w="0" w:type="auto"/>
            <w:tcBorders>
              <w:top w:val="single" w:sz="6" w:space="0" w:color="DDDDDD"/>
              <w:left w:val="single" w:sz="6" w:space="0" w:color="DDDDDD"/>
              <w:bottom w:val="single" w:sz="6" w:space="0" w:color="DDDDDD"/>
              <w:right w:val="single" w:sz="6" w:space="0" w:color="DDDDDD"/>
            </w:tcBorders>
            <w:tcMar>
              <w:top w:w="150" w:type="dxa"/>
              <w:left w:w="120" w:type="dxa"/>
              <w:bottom w:w="150" w:type="dxa"/>
              <w:right w:w="120" w:type="dxa"/>
            </w:tcMar>
            <w:hideMark/>
          </w:tcPr>
          <w:p w14:paraId="7A112528" w14:textId="77777777" w:rsidR="00000000" w:rsidRDefault="00000000">
            <w:pPr>
              <w:spacing w:before="300" w:after="300"/>
              <w:rPr>
                <w:rFonts w:ascii="Calibri" w:eastAsia="Times New Roman" w:hAnsi="Calibri" w:cs="Calibri"/>
                <w:b/>
                <w:bCs/>
                <w:color w:val="FFC107"/>
                <w:sz w:val="21"/>
                <w:szCs w:val="21"/>
              </w:rPr>
            </w:pPr>
            <w:r>
              <w:rPr>
                <w:rFonts w:ascii="Calibri" w:eastAsia="Times New Roman" w:hAnsi="Calibri" w:cs="Calibri"/>
                <w:b/>
                <w:bCs/>
                <w:color w:val="FFC107"/>
                <w:sz w:val="21"/>
                <w:szCs w:val="21"/>
              </w:rPr>
              <w:t>-$407,926.00</w:t>
            </w:r>
          </w:p>
        </w:tc>
      </w:tr>
      <w:tr w:rsidR="00000000" w14:paraId="6495AEB6" w14:textId="77777777">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20" w:type="dxa"/>
              <w:bottom w:w="150" w:type="dxa"/>
              <w:right w:w="120" w:type="dxa"/>
            </w:tcMar>
            <w:hideMark/>
          </w:tcPr>
          <w:p w14:paraId="5F16FF32" w14:textId="77777777" w:rsidR="00000000" w:rsidRDefault="00000000">
            <w:pPr>
              <w:spacing w:before="300" w:after="300"/>
              <w:rPr>
                <w:rFonts w:ascii="Calibri" w:eastAsia="Times New Roman" w:hAnsi="Calibri" w:cs="Calibri"/>
                <w:b/>
                <w:bCs/>
                <w:color w:val="333333"/>
                <w:sz w:val="21"/>
                <w:szCs w:val="21"/>
              </w:rPr>
            </w:pPr>
            <w:r>
              <w:rPr>
                <w:rStyle w:val="Strong"/>
                <w:rFonts w:ascii="Calibri" w:eastAsia="Times New Roman" w:hAnsi="Calibri" w:cs="Calibri"/>
                <w:color w:val="333333"/>
                <w:sz w:val="21"/>
                <w:szCs w:val="21"/>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20" w:type="dxa"/>
              <w:bottom w:w="150" w:type="dxa"/>
              <w:right w:w="120" w:type="dxa"/>
            </w:tcMar>
            <w:hideMark/>
          </w:tcPr>
          <w:p w14:paraId="10490858" w14:textId="77777777" w:rsidR="00000000" w:rsidRDefault="00000000">
            <w:pPr>
              <w:spacing w:before="300" w:after="300"/>
              <w:rPr>
                <w:rFonts w:ascii="Calibri" w:eastAsia="Times New Roman" w:hAnsi="Calibri" w:cs="Calibri"/>
                <w:b/>
                <w:bCs/>
                <w:color w:val="333333"/>
                <w:sz w:val="21"/>
                <w:szCs w:val="21"/>
              </w:rPr>
            </w:pPr>
            <w:r>
              <w:rPr>
                <w:rStyle w:val="Strong"/>
                <w:rFonts w:ascii="Calibri" w:eastAsia="Times New Roman" w:hAnsi="Calibri" w:cs="Calibri"/>
                <w:color w:val="333333"/>
                <w:sz w:val="21"/>
                <w:szCs w:val="21"/>
              </w:rPr>
              <w:t>$17,594,025.00</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20" w:type="dxa"/>
              <w:bottom w:w="150" w:type="dxa"/>
              <w:right w:w="120" w:type="dxa"/>
            </w:tcMar>
            <w:hideMark/>
          </w:tcPr>
          <w:p w14:paraId="5CD1D004" w14:textId="77777777" w:rsidR="00000000" w:rsidRDefault="00000000">
            <w:pPr>
              <w:spacing w:before="300" w:after="300"/>
              <w:rPr>
                <w:rFonts w:ascii="Calibri" w:eastAsia="Times New Roman" w:hAnsi="Calibri" w:cs="Calibri"/>
                <w:b/>
                <w:bCs/>
                <w:color w:val="333333"/>
                <w:sz w:val="21"/>
                <w:szCs w:val="21"/>
              </w:rPr>
            </w:pPr>
            <w:r>
              <w:rPr>
                <w:rStyle w:val="Strong"/>
                <w:rFonts w:ascii="Calibri" w:eastAsia="Times New Roman" w:hAnsi="Calibri" w:cs="Calibri"/>
                <w:color w:val="333333"/>
                <w:sz w:val="21"/>
                <w:szCs w:val="21"/>
              </w:rPr>
              <w:t>$17,247,451.00</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20" w:type="dxa"/>
              <w:bottom w:w="150" w:type="dxa"/>
              <w:right w:w="120" w:type="dxa"/>
            </w:tcMar>
            <w:hideMark/>
          </w:tcPr>
          <w:p w14:paraId="7825FE32" w14:textId="77777777" w:rsidR="00000000" w:rsidRDefault="00000000">
            <w:pPr>
              <w:spacing w:before="300" w:after="300"/>
              <w:rPr>
                <w:rFonts w:ascii="Calibri" w:eastAsia="Times New Roman" w:hAnsi="Calibri" w:cs="Calibri"/>
                <w:b/>
                <w:bCs/>
                <w:color w:val="28A745"/>
                <w:sz w:val="21"/>
                <w:szCs w:val="21"/>
              </w:rPr>
            </w:pPr>
            <w:r>
              <w:rPr>
                <w:rStyle w:val="Strong"/>
                <w:rFonts w:ascii="Calibri" w:eastAsia="Times New Roman" w:hAnsi="Calibri" w:cs="Calibri"/>
                <w:color w:val="28A745"/>
                <w:sz w:val="21"/>
                <w:szCs w:val="21"/>
              </w:rPr>
              <w:t>$346,574.00</w:t>
            </w:r>
          </w:p>
        </w:tc>
      </w:tr>
    </w:tbl>
    <w:p w14:paraId="5D5C6158" w14:textId="77777777" w:rsidR="00000000" w:rsidRDefault="007846D9">
      <w:pPr>
        <w:spacing w:before="450" w:after="450"/>
        <w:rPr>
          <w:rFonts w:ascii="Calibri" w:eastAsia="Times New Roman" w:hAnsi="Calibri" w:cs="Calibri"/>
          <w:color w:val="333333"/>
          <w:lang w:val="en"/>
        </w:rPr>
      </w:pPr>
      <w:r>
        <w:rPr>
          <w:rFonts w:ascii="Calibri" w:eastAsia="Times New Roman" w:hAnsi="Calibri" w:cs="Calibri"/>
          <w:noProof/>
          <w:color w:val="333333"/>
          <w:lang w:val="en"/>
        </w:rPr>
        <w:pict w14:anchorId="18BD66FD">
          <v:rect id="_x0000_i1025" alt="" style="width:451.3pt;height:.05pt;mso-width-percent:0;mso-height-percent:0;mso-width-percent:0;mso-height-percent:0" o:hralign="center" o:hrstd="t" o:hr="t" fillcolor="#a0a0a0" stroked="f"/>
        </w:pict>
      </w:r>
    </w:p>
    <w:p w14:paraId="3C0F5605" w14:textId="77777777" w:rsidR="00000000" w:rsidRDefault="00000000">
      <w:pPr>
        <w:pStyle w:val="Heading2"/>
        <w:shd w:val="clear" w:color="auto" w:fill="E7F3FF"/>
        <w:divId w:val="745111324"/>
        <w:rPr>
          <w:rFonts w:ascii="Calibri" w:eastAsia="Times New Roman" w:hAnsi="Calibri" w:cs="Calibri"/>
          <w:lang w:val="en"/>
        </w:rPr>
      </w:pPr>
      <w:r>
        <w:rPr>
          <w:rFonts w:ascii="Calibri" w:eastAsia="Times New Roman" w:hAnsi="Calibri" w:cs="Calibri"/>
          <w:lang w:val="en"/>
        </w:rPr>
        <w:t>Appendix: Key Financial Metrics Summary</w:t>
      </w:r>
    </w:p>
    <w:p w14:paraId="3363CA9E" w14:textId="77777777" w:rsidR="007846D9" w:rsidRDefault="00000000">
      <w:pPr>
        <w:pStyle w:val="NormalWeb"/>
        <w:shd w:val="clear" w:color="auto" w:fill="E7F3FF"/>
        <w:divId w:val="745111324"/>
        <w:rPr>
          <w:rFonts w:ascii="Calibri" w:hAnsi="Calibri" w:cs="Calibri"/>
          <w:color w:val="333333"/>
          <w:lang w:val="en"/>
        </w:rPr>
      </w:pPr>
      <w:r>
        <w:rPr>
          <w:rFonts w:ascii="Calibri" w:hAnsi="Calibri" w:cs="Calibri"/>
          <w:color w:val="333333"/>
          <w:lang w:val="en"/>
        </w:rPr>
        <w:t xml:space="preserve">This comprehensive analysis reveals Tech Cargo's evolving financial profile, characterized by improved operational efficiency but increased leverage and supplier dependence. The company has demonstrated strong cash generation capabilities while maintaining positive </w:t>
      </w:r>
      <w:r>
        <w:rPr>
          <w:rFonts w:ascii="Calibri" w:hAnsi="Calibri" w:cs="Calibri"/>
          <w:color w:val="333333"/>
          <w:lang w:val="en"/>
        </w:rPr>
        <w:lastRenderedPageBreak/>
        <w:t>working capital growth, though careful monitoring of liquidity and supplier relationships will be critical for sustained financial health.</w:t>
      </w:r>
    </w:p>
    <w:sectPr w:rsidR="007846D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3FC5F" w14:textId="77777777" w:rsidR="007846D9" w:rsidRDefault="007846D9">
      <w:r>
        <w:separator/>
      </w:r>
    </w:p>
  </w:endnote>
  <w:endnote w:type="continuationSeparator" w:id="0">
    <w:p w14:paraId="12B89440" w14:textId="77777777" w:rsidR="007846D9" w:rsidRDefault="00784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FA8F8"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86975"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AA31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1792A" w14:textId="77777777" w:rsidR="007846D9" w:rsidRDefault="007846D9">
      <w:r>
        <w:separator/>
      </w:r>
    </w:p>
  </w:footnote>
  <w:footnote w:type="continuationSeparator" w:id="0">
    <w:p w14:paraId="33E91EBF" w14:textId="77777777" w:rsidR="007846D9" w:rsidRDefault="00784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4E8C"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34E38"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A609C"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0979"/>
    <w:multiLevelType w:val="multilevel"/>
    <w:tmpl w:val="2C78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0013"/>
    <w:multiLevelType w:val="multilevel"/>
    <w:tmpl w:val="2682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32130"/>
    <w:multiLevelType w:val="multilevel"/>
    <w:tmpl w:val="E12A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16643"/>
    <w:multiLevelType w:val="multilevel"/>
    <w:tmpl w:val="C7C4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30A20"/>
    <w:multiLevelType w:val="multilevel"/>
    <w:tmpl w:val="3A5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747E5"/>
    <w:multiLevelType w:val="multilevel"/>
    <w:tmpl w:val="C108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821B1"/>
    <w:multiLevelType w:val="multilevel"/>
    <w:tmpl w:val="8866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67EEB"/>
    <w:multiLevelType w:val="multilevel"/>
    <w:tmpl w:val="88BE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B3549"/>
    <w:multiLevelType w:val="multilevel"/>
    <w:tmpl w:val="FBE4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47C99"/>
    <w:multiLevelType w:val="multilevel"/>
    <w:tmpl w:val="7B02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0236E"/>
    <w:multiLevelType w:val="multilevel"/>
    <w:tmpl w:val="C8A8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C6C91"/>
    <w:multiLevelType w:val="multilevel"/>
    <w:tmpl w:val="931C46B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0F07A2E"/>
    <w:multiLevelType w:val="multilevel"/>
    <w:tmpl w:val="FADA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14A07"/>
    <w:multiLevelType w:val="multilevel"/>
    <w:tmpl w:val="5976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73137">
    <w:abstractNumId w:val="10"/>
  </w:num>
  <w:num w:numId="2" w16cid:durableId="68233181">
    <w:abstractNumId w:val="3"/>
  </w:num>
  <w:num w:numId="3" w16cid:durableId="555822305">
    <w:abstractNumId w:val="2"/>
  </w:num>
  <w:num w:numId="4" w16cid:durableId="574895635">
    <w:abstractNumId w:val="4"/>
  </w:num>
  <w:num w:numId="5" w16cid:durableId="1212497367">
    <w:abstractNumId w:val="6"/>
  </w:num>
  <w:num w:numId="6" w16cid:durableId="1527521088">
    <w:abstractNumId w:val="5"/>
  </w:num>
  <w:num w:numId="7" w16cid:durableId="1252083624">
    <w:abstractNumId w:val="0"/>
  </w:num>
  <w:num w:numId="8" w16cid:durableId="650672172">
    <w:abstractNumId w:val="7"/>
  </w:num>
  <w:num w:numId="9" w16cid:durableId="554852841">
    <w:abstractNumId w:val="12"/>
  </w:num>
  <w:num w:numId="10" w16cid:durableId="160128439">
    <w:abstractNumId w:val="8"/>
  </w:num>
  <w:num w:numId="11" w16cid:durableId="436339563">
    <w:abstractNumId w:val="1"/>
  </w:num>
  <w:num w:numId="12" w16cid:durableId="472917722">
    <w:abstractNumId w:val="13"/>
  </w:num>
  <w:num w:numId="13" w16cid:durableId="1637367206">
    <w:abstractNumId w:val="9"/>
  </w:num>
  <w:num w:numId="14" w16cid:durableId="19655732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7"/>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00ACE"/>
    <w:rsid w:val="00315684"/>
    <w:rsid w:val="00504F78"/>
    <w:rsid w:val="0074506C"/>
    <w:rsid w:val="007846D9"/>
    <w:rsid w:val="00C00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78DB78"/>
  <w15:chartTrackingRefBased/>
  <w15:docId w15:val="{7C4BEEB0-BB88-A848-8710-2750C927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8" w:space="8" w:color="1F4E79"/>
      </w:pBdr>
      <w:spacing w:before="100" w:beforeAutospacing="1" w:after="150"/>
      <w:outlineLvl w:val="0"/>
    </w:pPr>
    <w:rPr>
      <w:b/>
      <w:bCs/>
      <w:color w:val="1F4E79"/>
      <w:kern w:val="36"/>
      <w:sz w:val="42"/>
      <w:szCs w:val="42"/>
    </w:rPr>
  </w:style>
  <w:style w:type="paragraph" w:styleId="Heading2">
    <w:name w:val="heading 2"/>
    <w:basedOn w:val="Normal"/>
    <w:link w:val="Heading2Char"/>
    <w:uiPriority w:val="9"/>
    <w:qFormat/>
    <w:pPr>
      <w:pBdr>
        <w:left w:val="single" w:sz="24" w:space="11" w:color="2C5AA0"/>
      </w:pBdr>
      <w:spacing w:before="600" w:after="225"/>
      <w:outlineLvl w:val="1"/>
    </w:pPr>
    <w:rPr>
      <w:b/>
      <w:bCs/>
      <w:color w:val="2C5AA0"/>
      <w:sz w:val="33"/>
      <w:szCs w:val="33"/>
    </w:rPr>
  </w:style>
  <w:style w:type="paragraph" w:styleId="Heading3">
    <w:name w:val="heading 3"/>
    <w:basedOn w:val="Normal"/>
    <w:link w:val="Heading3Char"/>
    <w:uiPriority w:val="9"/>
    <w:qFormat/>
    <w:pPr>
      <w:spacing w:before="375" w:after="150"/>
      <w:outlineLvl w:val="2"/>
    </w:pPr>
    <w:rPr>
      <w:b/>
      <w:bCs/>
      <w:color w:val="365F91"/>
      <w:sz w:val="27"/>
      <w:szCs w:val="27"/>
    </w:rPr>
  </w:style>
  <w:style w:type="paragraph" w:styleId="Heading4">
    <w:name w:val="heading 4"/>
    <w:basedOn w:val="Normal"/>
    <w:link w:val="Heading4Char"/>
    <w:uiPriority w:val="9"/>
    <w:qFormat/>
    <w:pPr>
      <w:spacing w:before="300" w:after="120"/>
      <w:outlineLvl w:val="3"/>
    </w:pPr>
    <w:rPr>
      <w:b/>
      <w:bCs/>
      <w:color w:val="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paragraph" w:customStyle="1" w:styleId="msonormal0">
    <w:name w:val="msonormal"/>
    <w:basedOn w:val="Normal"/>
    <w:pPr>
      <w:spacing w:before="100" w:beforeAutospacing="1" w:after="100" w:afterAutospacing="1"/>
    </w:pPr>
  </w:style>
  <w:style w:type="paragraph" w:customStyle="1" w:styleId="document-header">
    <w:name w:val="document-header"/>
    <w:basedOn w:val="Normal"/>
    <w:pPr>
      <w:pBdr>
        <w:top w:val="single" w:sz="6" w:space="15" w:color="DEE2E6"/>
        <w:left w:val="single" w:sz="6" w:space="15" w:color="DEE2E6"/>
        <w:bottom w:val="single" w:sz="6" w:space="15" w:color="DEE2E6"/>
        <w:right w:val="single" w:sz="6" w:space="15" w:color="DEE2E6"/>
      </w:pBdr>
      <w:shd w:val="clear" w:color="auto" w:fill="F8F9FA"/>
      <w:spacing w:before="120" w:after="600"/>
      <w:jc w:val="center"/>
    </w:pPr>
  </w:style>
  <w:style w:type="paragraph" w:customStyle="1" w:styleId="metadata">
    <w:name w:val="metadata"/>
    <w:basedOn w:val="Normal"/>
    <w:pPr>
      <w:spacing w:before="75" w:after="75"/>
    </w:pPr>
    <w:rPr>
      <w:b/>
      <w:bCs/>
      <w:color w:val="6C757D"/>
    </w:rPr>
  </w:style>
  <w:style w:type="paragraph" w:customStyle="1" w:styleId="trend-up">
    <w:name w:val="trend-up"/>
    <w:basedOn w:val="Normal"/>
    <w:pPr>
      <w:spacing w:before="120" w:after="120"/>
    </w:pPr>
    <w:rPr>
      <w:b/>
      <w:bCs/>
      <w:color w:val="28A745"/>
    </w:rPr>
  </w:style>
  <w:style w:type="paragraph" w:customStyle="1" w:styleId="trend-down">
    <w:name w:val="trend-down"/>
    <w:basedOn w:val="Normal"/>
    <w:pPr>
      <w:spacing w:before="120" w:after="120"/>
    </w:pPr>
    <w:rPr>
      <w:b/>
      <w:bCs/>
      <w:color w:val="DC3545"/>
    </w:rPr>
  </w:style>
  <w:style w:type="paragraph" w:customStyle="1" w:styleId="trend-flat">
    <w:name w:val="trend-flat"/>
    <w:basedOn w:val="Normal"/>
    <w:pPr>
      <w:spacing w:before="120" w:after="120"/>
    </w:pPr>
    <w:rPr>
      <w:b/>
      <w:bCs/>
      <w:color w:val="6C757D"/>
    </w:rPr>
  </w:style>
  <w:style w:type="paragraph" w:customStyle="1" w:styleId="positive-indicator">
    <w:name w:val="positive-indicator"/>
    <w:basedOn w:val="Normal"/>
    <w:pPr>
      <w:spacing w:before="120" w:after="120"/>
    </w:pPr>
    <w:rPr>
      <w:b/>
      <w:bCs/>
      <w:color w:val="28A745"/>
    </w:rPr>
  </w:style>
  <w:style w:type="paragraph" w:customStyle="1" w:styleId="risk-indicator">
    <w:name w:val="risk-indicator"/>
    <w:basedOn w:val="Normal"/>
    <w:pPr>
      <w:spacing w:before="120" w:after="120"/>
    </w:pPr>
    <w:rPr>
      <w:b/>
      <w:bCs/>
      <w:color w:val="FFC107"/>
    </w:rPr>
  </w:style>
  <w:style w:type="paragraph" w:customStyle="1" w:styleId="interpretation">
    <w:name w:val="interpretation"/>
    <w:basedOn w:val="Normal"/>
    <w:pPr>
      <w:pBdr>
        <w:left w:val="single" w:sz="24" w:space="11" w:color="17A2B8"/>
      </w:pBdr>
      <w:shd w:val="clear" w:color="auto" w:fill="F8F9FA"/>
      <w:spacing w:before="225" w:after="225"/>
    </w:pPr>
    <w:rPr>
      <w:i/>
      <w:iCs/>
    </w:rPr>
  </w:style>
  <w:style w:type="paragraph" w:customStyle="1" w:styleId="summary-box">
    <w:name w:val="summary-box"/>
    <w:basedOn w:val="Normal"/>
    <w:pPr>
      <w:pBdr>
        <w:top w:val="single" w:sz="6" w:space="15" w:color="B3D9FF"/>
        <w:left w:val="single" w:sz="6" w:space="15" w:color="B3D9FF"/>
        <w:bottom w:val="single" w:sz="6" w:space="15" w:color="B3D9FF"/>
        <w:right w:val="single" w:sz="6" w:space="15" w:color="B3D9FF"/>
      </w:pBdr>
      <w:shd w:val="clear" w:color="auto" w:fill="E7F3FF"/>
      <w:spacing w:before="300" w:after="300"/>
    </w:pPr>
  </w:style>
  <w:style w:type="paragraph" w:customStyle="1" w:styleId="risk-box">
    <w:name w:val="risk-box"/>
    <w:basedOn w:val="Normal"/>
    <w:pPr>
      <w:pBdr>
        <w:top w:val="single" w:sz="6" w:space="15" w:color="FFEAA7"/>
        <w:left w:val="single" w:sz="6" w:space="15" w:color="FFEAA7"/>
        <w:bottom w:val="single" w:sz="6" w:space="15" w:color="FFEAA7"/>
        <w:right w:val="single" w:sz="6" w:space="15" w:color="FFEAA7"/>
      </w:pBdr>
      <w:shd w:val="clear" w:color="auto" w:fill="FFF3CD"/>
      <w:spacing w:before="300" w:after="300"/>
    </w:pPr>
  </w:style>
  <w:style w:type="paragraph" w:customStyle="1" w:styleId="positive-box">
    <w:name w:val="positive-box"/>
    <w:basedOn w:val="Normal"/>
    <w:pPr>
      <w:pBdr>
        <w:top w:val="single" w:sz="6" w:space="15" w:color="C3E6CB"/>
        <w:left w:val="single" w:sz="6" w:space="15" w:color="C3E6CB"/>
        <w:bottom w:val="single" w:sz="6" w:space="15" w:color="C3E6CB"/>
        <w:right w:val="single" w:sz="6" w:space="15" w:color="C3E6CB"/>
      </w:pBdr>
      <w:shd w:val="clear" w:color="auto" w:fill="D4EDDA"/>
      <w:spacing w:before="300" w:after="300"/>
    </w:pPr>
  </w:style>
  <w:style w:type="paragraph" w:customStyle="1" w:styleId="number-highlight">
    <w:name w:val="number-highlight"/>
    <w:basedOn w:val="Normal"/>
    <w:pPr>
      <w:spacing w:before="120" w:after="120"/>
    </w:pPr>
    <w:rPr>
      <w:b/>
      <w:bCs/>
      <w:color w:val="1F4E79"/>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eastAsiaTheme="minorEastAsia"/>
      <w:sz w:val="24"/>
      <w:szCs w:val="24"/>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eastAsiaTheme="minorEastAsia"/>
      <w:sz w:val="24"/>
      <w:szCs w:val="24"/>
    </w:rPr>
  </w:style>
  <w:style w:type="character" w:customStyle="1" w:styleId="number-highlight1">
    <w:name w:val="number-highlight1"/>
    <w:basedOn w:val="DefaultParagraphFont"/>
    <w:rPr>
      <w:b/>
      <w:bCs/>
      <w:color w:val="1F4E7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78952">
      <w:marLeft w:val="0"/>
      <w:marRight w:val="0"/>
      <w:marTop w:val="225"/>
      <w:marBottom w:val="225"/>
      <w:divBdr>
        <w:top w:val="none" w:sz="0" w:space="0" w:color="auto"/>
        <w:left w:val="single" w:sz="24" w:space="11" w:color="17A2B8"/>
        <w:bottom w:val="none" w:sz="0" w:space="0" w:color="auto"/>
        <w:right w:val="none" w:sz="0" w:space="0" w:color="auto"/>
      </w:divBdr>
    </w:div>
    <w:div w:id="234172063">
      <w:marLeft w:val="0"/>
      <w:marRight w:val="0"/>
      <w:marTop w:val="300"/>
      <w:marBottom w:val="300"/>
      <w:divBdr>
        <w:top w:val="single" w:sz="6" w:space="15" w:color="C3E6CB"/>
        <w:left w:val="single" w:sz="6" w:space="15" w:color="C3E6CB"/>
        <w:bottom w:val="single" w:sz="6" w:space="15" w:color="C3E6CB"/>
        <w:right w:val="single" w:sz="6" w:space="15" w:color="C3E6CB"/>
      </w:divBdr>
    </w:div>
    <w:div w:id="313264233">
      <w:marLeft w:val="0"/>
      <w:marRight w:val="0"/>
      <w:marTop w:val="225"/>
      <w:marBottom w:val="225"/>
      <w:divBdr>
        <w:top w:val="none" w:sz="0" w:space="0" w:color="auto"/>
        <w:left w:val="single" w:sz="24" w:space="11" w:color="17A2B8"/>
        <w:bottom w:val="none" w:sz="0" w:space="0" w:color="auto"/>
        <w:right w:val="none" w:sz="0" w:space="0" w:color="auto"/>
      </w:divBdr>
    </w:div>
    <w:div w:id="525871893">
      <w:marLeft w:val="0"/>
      <w:marRight w:val="0"/>
      <w:marTop w:val="225"/>
      <w:marBottom w:val="225"/>
      <w:divBdr>
        <w:top w:val="none" w:sz="0" w:space="0" w:color="auto"/>
        <w:left w:val="single" w:sz="24" w:space="11" w:color="17A2B8"/>
        <w:bottom w:val="none" w:sz="0" w:space="0" w:color="auto"/>
        <w:right w:val="none" w:sz="0" w:space="0" w:color="auto"/>
      </w:divBdr>
    </w:div>
    <w:div w:id="728113953">
      <w:marLeft w:val="0"/>
      <w:marRight w:val="0"/>
      <w:marTop w:val="225"/>
      <w:marBottom w:val="225"/>
      <w:divBdr>
        <w:top w:val="none" w:sz="0" w:space="0" w:color="auto"/>
        <w:left w:val="single" w:sz="24" w:space="11" w:color="17A2B8"/>
        <w:bottom w:val="none" w:sz="0" w:space="0" w:color="auto"/>
        <w:right w:val="none" w:sz="0" w:space="0" w:color="auto"/>
      </w:divBdr>
    </w:div>
    <w:div w:id="745111324">
      <w:marLeft w:val="0"/>
      <w:marRight w:val="0"/>
      <w:marTop w:val="300"/>
      <w:marBottom w:val="300"/>
      <w:divBdr>
        <w:top w:val="single" w:sz="6" w:space="15" w:color="B3D9FF"/>
        <w:left w:val="single" w:sz="6" w:space="15" w:color="B3D9FF"/>
        <w:bottom w:val="single" w:sz="6" w:space="15" w:color="B3D9FF"/>
        <w:right w:val="single" w:sz="6" w:space="15" w:color="B3D9FF"/>
      </w:divBdr>
    </w:div>
    <w:div w:id="849757224">
      <w:marLeft w:val="0"/>
      <w:marRight w:val="0"/>
      <w:marTop w:val="225"/>
      <w:marBottom w:val="225"/>
      <w:divBdr>
        <w:top w:val="none" w:sz="0" w:space="0" w:color="auto"/>
        <w:left w:val="single" w:sz="24" w:space="11" w:color="17A2B8"/>
        <w:bottom w:val="none" w:sz="0" w:space="0" w:color="auto"/>
        <w:right w:val="none" w:sz="0" w:space="0" w:color="auto"/>
      </w:divBdr>
    </w:div>
    <w:div w:id="866721896">
      <w:marLeft w:val="0"/>
      <w:marRight w:val="0"/>
      <w:marTop w:val="0"/>
      <w:marBottom w:val="600"/>
      <w:divBdr>
        <w:top w:val="single" w:sz="6" w:space="15" w:color="DEE2E6"/>
        <w:left w:val="single" w:sz="6" w:space="15" w:color="DEE2E6"/>
        <w:bottom w:val="single" w:sz="6" w:space="15" w:color="DEE2E6"/>
        <w:right w:val="single" w:sz="6" w:space="15" w:color="DEE2E6"/>
      </w:divBdr>
      <w:divsChild>
        <w:div w:id="714885904">
          <w:marLeft w:val="0"/>
          <w:marRight w:val="0"/>
          <w:marTop w:val="75"/>
          <w:marBottom w:val="75"/>
          <w:divBdr>
            <w:top w:val="none" w:sz="0" w:space="0" w:color="auto"/>
            <w:left w:val="none" w:sz="0" w:space="0" w:color="auto"/>
            <w:bottom w:val="none" w:sz="0" w:space="0" w:color="auto"/>
            <w:right w:val="none" w:sz="0" w:space="0" w:color="auto"/>
          </w:divBdr>
        </w:div>
        <w:div w:id="1259868863">
          <w:marLeft w:val="0"/>
          <w:marRight w:val="0"/>
          <w:marTop w:val="75"/>
          <w:marBottom w:val="75"/>
          <w:divBdr>
            <w:top w:val="none" w:sz="0" w:space="0" w:color="auto"/>
            <w:left w:val="none" w:sz="0" w:space="0" w:color="auto"/>
            <w:bottom w:val="none" w:sz="0" w:space="0" w:color="auto"/>
            <w:right w:val="none" w:sz="0" w:space="0" w:color="auto"/>
          </w:divBdr>
        </w:div>
      </w:divsChild>
    </w:div>
    <w:div w:id="951206286">
      <w:marLeft w:val="0"/>
      <w:marRight w:val="0"/>
      <w:marTop w:val="300"/>
      <w:marBottom w:val="300"/>
      <w:divBdr>
        <w:top w:val="single" w:sz="6" w:space="15" w:color="FFEAA7"/>
        <w:left w:val="single" w:sz="6" w:space="15" w:color="FFEAA7"/>
        <w:bottom w:val="single" w:sz="6" w:space="15" w:color="FFEAA7"/>
        <w:right w:val="single" w:sz="6" w:space="15" w:color="FFEAA7"/>
      </w:divBdr>
    </w:div>
    <w:div w:id="1022709914">
      <w:marLeft w:val="0"/>
      <w:marRight w:val="0"/>
      <w:marTop w:val="300"/>
      <w:marBottom w:val="300"/>
      <w:divBdr>
        <w:top w:val="single" w:sz="6" w:space="15" w:color="C3E6CB"/>
        <w:left w:val="single" w:sz="6" w:space="15" w:color="C3E6CB"/>
        <w:bottom w:val="single" w:sz="6" w:space="15" w:color="C3E6CB"/>
        <w:right w:val="single" w:sz="6" w:space="15" w:color="C3E6CB"/>
      </w:divBdr>
    </w:div>
    <w:div w:id="1167405545">
      <w:marLeft w:val="0"/>
      <w:marRight w:val="0"/>
      <w:marTop w:val="225"/>
      <w:marBottom w:val="225"/>
      <w:divBdr>
        <w:top w:val="none" w:sz="0" w:space="0" w:color="auto"/>
        <w:left w:val="single" w:sz="24" w:space="11" w:color="17A2B8"/>
        <w:bottom w:val="none" w:sz="0" w:space="0" w:color="auto"/>
        <w:right w:val="none" w:sz="0" w:space="0" w:color="auto"/>
      </w:divBdr>
    </w:div>
    <w:div w:id="1315179605">
      <w:marLeft w:val="0"/>
      <w:marRight w:val="0"/>
      <w:marTop w:val="300"/>
      <w:marBottom w:val="300"/>
      <w:divBdr>
        <w:top w:val="single" w:sz="6" w:space="15" w:color="B3D9FF"/>
        <w:left w:val="single" w:sz="6" w:space="15" w:color="B3D9FF"/>
        <w:bottom w:val="single" w:sz="6" w:space="15" w:color="B3D9FF"/>
        <w:right w:val="single" w:sz="6" w:space="15" w:color="B3D9FF"/>
      </w:divBdr>
    </w:div>
    <w:div w:id="1371489096">
      <w:marLeft w:val="0"/>
      <w:marRight w:val="0"/>
      <w:marTop w:val="300"/>
      <w:marBottom w:val="300"/>
      <w:divBdr>
        <w:top w:val="single" w:sz="6" w:space="15" w:color="FFEAA7"/>
        <w:left w:val="single" w:sz="6" w:space="15" w:color="FFEAA7"/>
        <w:bottom w:val="single" w:sz="6" w:space="15" w:color="FFEAA7"/>
        <w:right w:val="single" w:sz="6" w:space="15" w:color="FFEAA7"/>
      </w:divBdr>
    </w:div>
    <w:div w:id="1403917230">
      <w:marLeft w:val="0"/>
      <w:marRight w:val="0"/>
      <w:marTop w:val="300"/>
      <w:marBottom w:val="300"/>
      <w:divBdr>
        <w:top w:val="single" w:sz="6" w:space="15" w:color="B3D9FF"/>
        <w:left w:val="single" w:sz="6" w:space="15" w:color="B3D9FF"/>
        <w:bottom w:val="single" w:sz="6" w:space="15" w:color="B3D9FF"/>
        <w:right w:val="single" w:sz="6" w:space="15" w:color="B3D9FF"/>
      </w:divBdr>
    </w:div>
    <w:div w:id="1840921770">
      <w:marLeft w:val="0"/>
      <w:marRight w:val="0"/>
      <w:marTop w:val="225"/>
      <w:marBottom w:val="225"/>
      <w:divBdr>
        <w:top w:val="none" w:sz="0" w:space="0" w:color="auto"/>
        <w:left w:val="single" w:sz="24" w:space="11" w:color="17A2B8"/>
        <w:bottom w:val="none" w:sz="0" w:space="0" w:color="auto"/>
        <w:right w:val="none" w:sz="0" w:space="0" w:color="auto"/>
      </w:divBdr>
    </w:div>
    <w:div w:id="1854875068">
      <w:marLeft w:val="0"/>
      <w:marRight w:val="0"/>
      <w:marTop w:val="225"/>
      <w:marBottom w:val="225"/>
      <w:divBdr>
        <w:top w:val="none" w:sz="0" w:space="0" w:color="auto"/>
        <w:left w:val="single" w:sz="24" w:space="11" w:color="17A2B8"/>
        <w:bottom w:val="none" w:sz="0" w:space="0" w:color="auto"/>
        <w:right w:val="none" w:sz="0" w:space="0" w:color="auto"/>
      </w:divBdr>
    </w:div>
    <w:div w:id="2124572219">
      <w:marLeft w:val="0"/>
      <w:marRight w:val="0"/>
      <w:marTop w:val="225"/>
      <w:marBottom w:val="225"/>
      <w:divBdr>
        <w:top w:val="none" w:sz="0" w:space="0" w:color="auto"/>
        <w:left w:val="single" w:sz="24" w:space="11" w:color="17A2B8"/>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1755</Words>
  <Characters>10005</Characters>
  <Application>Microsoft Office Word</Application>
  <DocSecurity>0</DocSecurity>
  <Lines>83</Lines>
  <Paragraphs>23</Paragraphs>
  <ScaleCrop>false</ScaleCrop>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 Cargo Factoring Risk Assessment</dc:title>
  <dc:subject/>
  <dc:creator>Nicola Chiara</dc:creator>
  <cp:keywords/>
  <dc:description/>
  <cp:lastModifiedBy>Nicola Chiara</cp:lastModifiedBy>
  <cp:revision>3</cp:revision>
  <dcterms:created xsi:type="dcterms:W3CDTF">2025-07-05T00:01:00Z</dcterms:created>
  <dcterms:modified xsi:type="dcterms:W3CDTF">2025-07-05T00:04:00Z</dcterms:modified>
</cp:coreProperties>
</file>