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One honest caveat remains about </w:t>
      </w:r>
      <w:r>
        <w:rPr>
          <w:rFonts w:ascii="Consolas" w:hAnsi="Consolas" w:cs="Consolas"/>
          <w:b w:val="0"/>
          <w:color w:val="1A1A1A"/>
          <w:sz w:val="18"/>
          <w:shd w:val="clear" w:color="auto" w:fill="EFEFEF"/>
        </w:rPr>
        <w:t>64COL</w:t>
      </w:r>
      <w:r>
        <w:rPr>
          <w:b w:val="0"/>
        </w:rPr>
        <w:t xml:space="preserve">'s own visual behavior on real hardware. </w:t>
      </w:r>
      <w:r>
        <w:rPr>
          <w:rFonts w:ascii="Consolas" w:hAnsi="Consolas" w:cs="Consolas"/>
          <w:b w:val="0"/>
          <w:color w:val="1A1A1A"/>
          <w:sz w:val="18"/>
          <w:shd w:val="clear" w:color="auto" w:fill="EFEFEF"/>
        </w:rPr>
        <w:t>PLOT64</w:t>
      </w:r>
      <w:r>
        <w:rPr>
          <w:b w:val="0"/>
        </w:rPr>
        <w:t xml:space="preserve"> itself is solid — the pixel it sets is confirmed, byte for byte, in two independent emulators (Fuse and ZEsarUX), each agreeing on exactly which bit in memory changes. What's still unverified is what that pixel actually </w:t>
      </w:r>
      <w:r>
        <w:rPr>
          <w:b w:val="0"/>
          <w:i/>
        </w:rPr>
        <w:t>looks like</w:t>
      </w:r>
      <w:r>
        <w:rPr>
          <w:b w:val="0"/>
        </w:rPr>
        <w:t xml:space="preserve"> on screen: both emulators render 64-column mode's whole drawing area as one flat, uniform color rather than showing the individual pixels a real Timex Sinclair 2068 almost certainly would — most likely because this hardware mode was so rarely used in real 1980s software that neither emulator ever invested in rendering it accurately, not because of any error in </w:t>
      </w:r>
      <w:r>
        <w:rPr>
          <w:rFonts w:ascii="Consolas" w:hAnsi="Consolas" w:cs="Consolas"/>
          <w:b w:val="0"/>
          <w:color w:val="1A1A1A"/>
          <w:sz w:val="18"/>
          <w:shd w:val="clear" w:color="auto" w:fill="EFEFEF"/>
        </w:rPr>
        <w:t>PLOT64</w:t>
      </w:r>
      <w:r>
        <w:rPr>
          <w:b w:val="0"/>
        </w:rPr>
        <w:t xml:space="preserve"> itself. Treat </w:t>
      </w:r>
      <w:r>
        <w:rPr>
          <w:rFonts w:ascii="Consolas" w:hAnsi="Consolas" w:cs="Consolas"/>
          <w:b w:val="0"/>
          <w:color w:val="1A1A1A"/>
          <w:sz w:val="18"/>
          <w:shd w:val="clear" w:color="auto" w:fill="EFEFEF"/>
        </w:rPr>
        <w:t>64COL</w:t>
      </w:r>
      <w:r>
        <w:rPr>
          <w:b w:val="0"/>
        </w:rPr>
        <w:t xml:space="preserve">'s own on-screen appearance, specifically, as unverified — everything else about it (which pixel gets set, at which address) is as solid as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and graphics — including, as of the most recent work, Hi-res graphics mode (</w:t>
      </w:r>
      <w:r>
        <w:rPr>
          <w:rFonts w:ascii="Consolas" w:hAnsi="Consolas" w:cs="Consolas"/>
          <w:b w:val="0"/>
          <w:color w:val="1A1A1A"/>
          <w:sz w:val="18"/>
          <w:shd w:val="clear" w:color="auto" w:fill="EFEFEF"/>
        </w:rPr>
        <w:t>HIRES</w:t>
      </w:r>
      <w:r>
        <w:rPr>
          <w:b w:val="0"/>
        </w:rPr>
        <w:t>/</w:t>
      </w:r>
      <w:r>
        <w:rPr>
          <w:rFonts w:ascii="Consolas" w:hAnsi="Consolas" w:cs="Consolas"/>
          <w:b w:val="0"/>
          <w:color w:val="1A1A1A"/>
          <w:sz w:val="18"/>
          <w:shd w:val="clear" w:color="auto" w:fill="EFEFEF"/>
        </w:rPr>
        <w:t>NORMAL</w:t>
      </w:r>
      <w:r>
        <w:rPr>
          <w:b w:val="0"/>
        </w:rPr>
        <w:t xml:space="preserve">, </w:t>
      </w:r>
      <w:r>
        <w:rPr>
          <w:b w:val="0"/>
        </w:rPr>
        <w:t>section 9</w:t>
      </w:r>
      <w:r>
        <w:rPr>
          <w:b w:val="0"/>
        </w:rPr>
        <w:t xml:space="preserve">) and plain integer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b w:val="0"/>
        </w:rPr>
        <w:t>Numbers</w:t>
      </w:r>
      <w:r>
        <w:rPr>
          <w:b w:val="0"/>
        </w:rPr>
        <w:t>), the last two items that used to sit on this list. There is nothing left in the "a Forth veteran would expect it, a BASIC programmer would ask about it" bucket this appendix exists to track — this is an honest, currently-empty inventory, kept here so a future gap (if one ever opens up again) has an obvious place to be recorded, in the same spirit as the caveats already scattered through this document.</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