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Information Security Policy (SEC-8834)</w:t>
      </w:r>
    </w:p>
    <w:p>
      <w:pPr>
        <w:pStyle w:val="Heading1"/>
      </w:pPr>
      <w:r>
        <w:t>Password Requirements</w:t>
      </w:r>
    </w:p>
    <w:p>
      <w:r>
        <w:t>Passwords must be at least 14 characters long and include mixed character types.</w:t>
      </w:r>
    </w:p>
    <w:p>
      <w:r>
        <w:t>Multi-factor authentication is mandatory for all administrative accounts.</w:t>
      </w:r>
    </w:p>
    <w:p>
      <w:r>
        <w:t>Passwords are rotated every 180 days.</w:t>
      </w:r>
    </w:p>
    <w:p>
      <w:pPr>
        <w:pStyle w:val="Heading1"/>
      </w:pPr>
      <w:r>
        <w:t>Incident Reporting</w:t>
      </w:r>
    </w:p>
    <w:p>
      <w:r>
        <w:t>Suspected security incidents must be reported to the security team within 1 hour.</w:t>
      </w:r>
    </w:p>
    <w:p>
      <w:r>
        <w:t>Incident ticket SEC-8834 templates are available on the internal portal.</w:t>
      </w:r>
    </w:p>
    <w:p>
      <w:r>
        <w:t>Employees must not investigate suspected phishing emails themselves.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