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4E79"/>
          <w:sz w:val="24"/>
          <w:szCs w:val="24"/>
        </w:rPr>
        <w:t xml:space="preserve">PROYECTO APT · CAPSTONE PTY4614</w:t>
      </w:r>
    </w:p>
    <w:p>
      <w:pPr>
        <w:spacing w:after="200" w:before="200"/>
        <w:jc w:val="center"/>
      </w:pPr>
      <w:r>
        <w:rPr>
          <w:rFonts w:ascii="Calibri" w:cs="Calibri" w:eastAsia="Calibri" w:hAnsi="Calibri"/>
          <w:b/>
          <w:bCs/>
          <w:color w:val="1F4E79"/>
          <w:sz w:val="44"/>
          <w:szCs w:val="44"/>
        </w:rPr>
        <w:t xml:space="preserve">FPC Mobile</w:t>
      </w:r>
    </w:p>
    <w:p>
      <w:pPr>
        <w:spacing w:after="400"/>
        <w:jc w:val="center"/>
      </w:pPr>
      <w:r>
        <w:rPr>
          <w:rFonts w:ascii="Calibri" w:cs="Calibri" w:eastAsia="Calibri" w:hAnsi="Calibri"/>
          <w:sz w:val="28"/>
          <w:szCs w:val="28"/>
        </w:rPr>
        <w:t xml:space="preserve">Sprint Backlog</w:t>
      </w:r>
    </w:p>
    <w:p>
      <w:pPr>
        <w:spacing w:after="800"/>
        <w:jc w:val="center"/>
      </w:pPr>
      <w:r>
        <w:rPr>
          <w:rFonts w:ascii="Calibri" w:cs="Calibri" w:eastAsia="Calibri" w:hAnsi="Calibri"/>
          <w:i/>
          <w:iCs/>
          <w:sz w:val="24"/>
          <w:szCs w:val="24"/>
        </w:rPr>
        <w:t xml:space="preserve">Fase 2 — Desarrollo · Sprint 2 (Diseño)</w:t>
      </w:r>
    </w:p>
    <w:p>
      <w:pPr>
        <w:jc w:val="center"/>
      </w:pPr>
      <w:r>
        <w:rPr>
          <w:rFonts w:ascii="Calibri" w:cs="Calibri" w:eastAsia="Calibri" w:hAnsi="Calibri"/>
          <w:sz w:val="22"/>
          <w:szCs w:val="22"/>
        </w:rPr>
        <w:t xml:space="preserve">Equipo: Bastián Núñez · Nicolás Castillo · Nicolás Cifuentes</w:t>
      </w:r>
    </w:p>
    <w:p>
      <w:pPr>
        <w:jc w:val="center"/>
      </w:pPr>
      <w:r>
        <w:rPr>
          <w:rFonts w:ascii="Calibri" w:cs="Calibri" w:eastAsia="Calibri" w:hAnsi="Calibri"/>
          <w:sz w:val="22"/>
          <w:szCs w:val="22"/>
        </w:rPr>
        <w:t xml:space="preserve">Ingeniería en Informática — Duoc UC, sede San Joaquín</w:t>
      </w:r>
    </w:p>
    <w:p>
      <w:pPr>
        <w:spacing w:after="400"/>
        <w:jc w:val="center"/>
      </w:pPr>
      <w:r>
        <w:rPr>
          <w:rFonts w:ascii="Calibri" w:cs="Calibri" w:eastAsia="Calibri" w:hAnsi="Calibri"/>
          <w:sz w:val="22"/>
          <w:szCs w:val="22"/>
        </w:rPr>
        <w:t xml:space="preserve">15 de septiembre de 2026</w:t>
      </w:r>
    </w:p>
    <w:p>
      <w:r>
        <w:br w:type="page"/>
      </w:r>
    </w:p>
    <w:p>
      <w:pPr>
        <w:pStyle w:val="Heading1"/>
        <w:spacing w:after="200" w:before="400"/>
      </w:pPr>
      <w:r>
        <w:t xml:space="preserve">Contexto</w:t>
      </w:r>
    </w:p>
    <w:p>
      <w:pPr>
        <w:spacing w:after="160"/>
      </w:pPr>
      <w:r>
        <w:rPr>
          <w:rFonts w:ascii="Calibri" w:cs="Calibri" w:eastAsia="Calibri" w:hAnsi="Calibri"/>
          <w:sz w:val="22"/>
          <w:szCs w:val="22"/>
        </w:rPr>
        <w:t xml:space="preserve">El Sprint 1 (Requerimientos) se dio por cerrado: el jefe de FPC Servicios respondió por escrito las seis preguntas pendientes de la Fase 1 y entregó el export del maestro de fichas del sistema KAME ONE (798 registros). Esa información obligó a actualizar el documento de Arquitectura Técnica (versión del 14 de septiembre de 2026), incorporando el dimensionamiento real del negocio, la corrección de la flota, el modelo de tipos de envase, la migración de datos y la confirmación de la regla de arriendo.</w:t>
      </w:r>
    </w:p>
    <w:p>
      <w:pPr>
        <w:spacing w:after="120"/>
      </w:pPr>
      <w:r>
        <w:rPr>
          <w:rFonts w:ascii="Calibri" w:cs="Calibri" w:eastAsia="Calibri" w:hAnsi="Calibri"/>
          <w:b/>
          <w:bCs/>
          <w:sz w:val="22"/>
          <w:szCs w:val="22"/>
        </w:rPr>
        <w:t xml:space="preserve">Objetivo del Sprint (Sprint Goal):</w:t>
      </w:r>
    </w:p>
    <w:p>
      <w:pPr>
        <w:spacing w:after="160"/>
      </w:pPr>
      <w:r>
        <w:rPr>
          <w:rFonts w:ascii="Calibri" w:cs="Calibri" w:eastAsia="Calibri" w:hAnsi="Calibri"/>
          <w:sz w:val="22"/>
          <w:szCs w:val="22"/>
        </w:rPr>
        <w:t xml:space="preserve">Contar con los wireframes, los mockups de media fidelidad en Figma y un tema visual (design system) compartido en Tailwind para las pantallas principales de la aplicación móvil y la plataforma web —incluyendo las pantallas nuevas derivadas de la actualización de arquitectura—, validados internamente por el equipo como base para iniciar el desarrollo en los sprints siguientes.</w:t>
      </w:r>
    </w:p>
    <w:p>
      <w:pPr>
        <w:spacing w:after="160"/>
      </w:pPr>
      <w:r>
        <w:rPr>
          <w:rFonts w:ascii="Calibri" w:cs="Calibri" w:eastAsia="Calibri" w:hAnsi="Calibri"/>
          <w:sz w:val="22"/>
          <w:szCs w:val="22"/>
        </w:rPr>
        <w:t xml:space="preserve">Duración del sprint: 15 al 28 de septiembre de 2026 (2 semanas).</w:t>
      </w:r>
    </w:p>
    <w:p>
      <w:pPr>
        <w:pStyle w:val="Heading1"/>
        <w:spacing w:after="200" w:before="400"/>
      </w:pPr>
      <w:r>
        <w:t xml:space="preserve">Sprint Backlog — Sprint 2 (Diseño)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600"/>
        <w:gridCol w:w="900"/>
        <w:gridCol w:w="1900"/>
        <w:gridCol w:w="1200"/>
      </w:tblGrid>
      <w:tr>
        <w:trPr>
          <w:tblHeader/>
        </w:trPr>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ID</w:t>
            </w:r>
          </w:p>
        </w:tc>
        <w:tc>
          <w:tcPr>
            <w:tcW w:type="dxa" w:w="42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Tarea</w:t>
            </w:r>
          </w:p>
        </w:tc>
        <w:tc>
          <w:tcPr>
            <w:tcW w:type="dxa" w:w="16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Responsable</w:t>
            </w:r>
          </w:p>
        </w:tc>
        <w:tc>
          <w:tcPr>
            <w:tcW w:type="dxa" w:w="9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Est. (h)</w:t>
            </w:r>
          </w:p>
        </w:tc>
        <w:tc>
          <w:tcPr>
            <w:tcW w:type="dxa" w:w="19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Relacionado</w:t>
            </w:r>
          </w:p>
        </w:tc>
        <w:tc>
          <w:tcPr>
            <w:tcW w:type="dxa" w:w="12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Estado</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SB2-01</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Definir tema visual (design system) compartido en Tailwind: paleta de colores, tipografía, espaciados y componentes base.</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Bastián Núñez</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RNF-03</w:t>
            </w:r>
          </w:p>
        </w:tc>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SB2-02</w:t>
            </w:r>
          </w:p>
        </w:tc>
        <w:tc>
          <w:tcPr>
            <w:tcW w:type="dxa" w:w="4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Wireframes de plataforma web: tablero del día, ficha de cilindro, mantenedores (clientes/cilindros/usuarios), ficha de cliente.</w:t>
            </w:r>
          </w:p>
        </w:tc>
        <w:tc>
          <w:tcPr>
            <w:tcW w:type="dxa" w:w="1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Bastián Núñez</w:t>
            </w:r>
          </w:p>
        </w:tc>
        <w:tc>
          <w:tcPr>
            <w:tcW w:type="dxa" w:w="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10</w:t>
            </w:r>
          </w:p>
        </w:tc>
        <w:tc>
          <w:tcPr>
            <w:tcW w:type="dxa" w:w="1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HU-12 a HU-17</w:t>
            </w:r>
          </w:p>
        </w:tc>
        <w:tc>
          <w:tcPr>
            <w:tcW w:type="dxa" w:w="1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SB2-03</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Wireframe de la vista "Informe de arriendo del mes" (pasó a imprescindible en la arquitectura v2).</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Bastián Núñez</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Nueva HU-23</w:t>
            </w:r>
          </w:p>
        </w:tc>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SB2-04</w:t>
            </w:r>
          </w:p>
        </w:tc>
        <w:tc>
          <w:tcPr>
            <w:tcW w:type="dxa" w:w="4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Wireframe de la vista "Ingresos manuales" (regularización de envases sin código de barras).</w:t>
            </w:r>
          </w:p>
        </w:tc>
        <w:tc>
          <w:tcPr>
            <w:tcW w:type="dxa" w:w="1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Bastián Núñez</w:t>
            </w:r>
          </w:p>
        </w:tc>
        <w:tc>
          <w:tcPr>
            <w:tcW w:type="dxa" w:w="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1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Nueva HU-24</w:t>
            </w:r>
          </w:p>
        </w:tc>
        <w:tc>
          <w:tcPr>
            <w:tcW w:type="dxa" w:w="1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SB2-05</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Mockups Figma de media fidelidad — app móvil: login, carga, selección de cliente, entrega, retiro.</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Bastián Núñez</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10</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HU-01 a HU-05</w:t>
            </w:r>
          </w:p>
        </w:tc>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SB2-06</w:t>
            </w:r>
          </w:p>
        </w:tc>
        <w:tc>
          <w:tcPr>
            <w:tcW w:type="dxa" w:w="4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Mockup de la pantalla de ingreso manual de código (alternativa de primera clase al escáner).</w:t>
            </w:r>
          </w:p>
        </w:tc>
        <w:tc>
          <w:tcPr>
            <w:tcW w:type="dxa" w:w="1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Bastián Núñez</w:t>
            </w:r>
          </w:p>
        </w:tc>
        <w:tc>
          <w:tcPr>
            <w:tcW w:type="dxa" w:w="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w:t>
            </w:r>
          </w:p>
        </w:tc>
        <w:tc>
          <w:tcPr>
            <w:tcW w:type="dxa" w:w="1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RF-02 / RF-04 / RF-05 (ampliados)</w:t>
            </w:r>
          </w:p>
        </w:tc>
        <w:tc>
          <w:tcPr>
            <w:tcW w:type="dxa" w:w="1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SB2-07</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Mockup del indicador de sincronización pendiente y del aviso de capacidad del vehículo.</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Bastián Núñez</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HU-08 / nueva regla de capacidad</w:t>
            </w:r>
          </w:p>
        </w:tc>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SB2-08</w:t>
            </w:r>
          </w:p>
        </w:tc>
        <w:tc>
          <w:tcPr>
            <w:tcW w:type="dxa" w:w="4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Mockups Figma de media fidelidad — plataforma web, a partir de los wireframes de SB2-02, SB2-03 y SB2-04.</w:t>
            </w:r>
          </w:p>
        </w:tc>
        <w:tc>
          <w:tcPr>
            <w:tcW w:type="dxa" w:w="1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Bastián Núñez</w:t>
            </w:r>
          </w:p>
        </w:tc>
        <w:tc>
          <w:tcPr>
            <w:tcW w:type="dxa" w:w="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10</w:t>
            </w:r>
          </w:p>
        </w:tc>
        <w:tc>
          <w:tcPr>
            <w:tcW w:type="dxa" w:w="1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HU-11 a HU-19</w:t>
            </w:r>
          </w:p>
        </w:tc>
        <w:tc>
          <w:tcPr>
            <w:tcW w:type="dxa" w:w="1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SB2-09</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Revisar consistencia de los mockups contra el modelo de datos actualizado (tipo de envase, unidad, tarifa diaria, origen del código).</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Nicolás Castillo</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Arquitectura Técnica §5</w:t>
            </w:r>
          </w:p>
        </w:tc>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SB2-10</w:t>
            </w:r>
          </w:p>
        </w:tc>
        <w:tc>
          <w:tcPr>
            <w:tcW w:type="dxa" w:w="4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Elaborar checklist de usabilidad y accesibilidad básica para la revisión de mockups.</w:t>
            </w:r>
          </w:p>
        </w:tc>
        <w:tc>
          <w:tcPr>
            <w:tcW w:type="dxa" w:w="1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Nicolás Cifuentes</w:t>
            </w:r>
          </w:p>
        </w:tc>
        <w:tc>
          <w:tcPr>
            <w:tcW w:type="dxa" w:w="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w:t>
            </w:r>
          </w:p>
        </w:tc>
        <w:tc>
          <w:tcPr>
            <w:tcW w:type="dxa" w:w="1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RNF-03</w:t>
            </w:r>
          </w:p>
        </w:tc>
        <w:tc>
          <w:tcPr>
            <w:tcW w:type="dxa" w:w="1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SB2-11</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Revisión interna de wireframes y mockups en equipo, y ajustes según observaciones.</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Equipo completo</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Todos los anteriores</w:t>
            </w:r>
          </w:p>
        </w:tc>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r>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SB2-12</w:t>
            </w:r>
          </w:p>
        </w:tc>
        <w:tc>
          <w:tcPr>
            <w:tcW w:type="dxa" w:w="4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Enviar wireframes y mockups al jefe de FPC Servicios para validación (canal ya establecido).</w:t>
            </w:r>
          </w:p>
        </w:tc>
        <w:tc>
          <w:tcPr>
            <w:tcW w:type="dxa" w:w="1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Nicolás Cifuentes</w:t>
            </w:r>
          </w:p>
        </w:tc>
        <w:tc>
          <w:tcPr>
            <w:tcW w:type="dxa" w:w="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w:t>
            </w:r>
          </w:p>
        </w:tc>
        <w:tc>
          <w:tcPr>
            <w:tcW w:type="dxa" w:w="1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Validación de stakeholder</w:t>
            </w:r>
          </w:p>
        </w:tc>
        <w:tc>
          <w:tcPr>
            <w:tcW w:type="dxa" w:w="1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Por hacer</w:t>
            </w:r>
          </w:p>
        </w:tc>
      </w:tr>
    </w:tbl>
    <w:p>
      <w:pPr>
        <w:spacing w:after="200"/>
      </w:pPr>
      <w:r>
        <w:rPr>
          <w:rFonts w:ascii="Calibri" w:cs="Calibri" w:eastAsia="Calibri" w:hAnsi="Calibri"/>
          <w:i/>
          <w:iCs/>
          <w:color w:val="555555"/>
          <w:sz w:val="20"/>
          <w:szCs w:val="20"/>
        </w:rPr>
        <w:t xml:space="preserve">Estimación total del sprint: 61 horas repartidas en el equipo. "Estado" se actualiza durante el Daily Scrum (Por hacer / En curso / En revisión / Terminado) conforme a la Definition of Done vigente.</w:t>
      </w:r>
    </w:p>
    <w:p>
      <w:pPr>
        <w:spacing w:after="200"/>
      </w:pPr>
      <w:r>
        <w:rPr>
          <w:rFonts w:ascii="Calibri" w:cs="Calibri" w:eastAsia="Calibri" w:hAnsi="Calibri"/>
          <w:i/>
          <w:iCs/>
          <w:color w:val="555555"/>
          <w:sz w:val="20"/>
          <w:szCs w:val="20"/>
        </w:rPr>
        <w:t xml:space="preserve">Nota: HU-23 (informe de arriendo del mes) e HU-24 (ingresos manuales) son historias nuevas, no incluidas en el Product Backlog Inicial de la Fase 1. Se recomienda incorporarlas formalmente a ese documento en paralelo a este sprint.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0"/>
      <w:szCs w:val="30"/>
    </w:rPr>
  </w:style>
  <w:style w:type="paragraph" w:styleId="Heading2">
    <w:name w:val="Heading 2"/>
    <w:basedOn w:val="Normal"/>
    <w:next w:val="Normal"/>
    <w:qFormat/>
    <w:pPr>
      <w:spacing w:after="150" w:before="30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2026-09-16T01:19:28.483Z</dcterms:created>
  <dcterms:modified xsi:type="dcterms:W3CDTF">2026-09-16T01:19:28.491Z</dcterms:modified>
</cp:coreProperties>
</file>

<file path=docProps/custom.xml><?xml version="1.0" encoding="utf-8"?>
<Properties xmlns="http://schemas.openxmlformats.org/officeDocument/2006/custom-properties" xmlns:vt="http://schemas.openxmlformats.org/officeDocument/2006/docPropsVTypes"/>
</file>