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/>
        <w:jc w:val="center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 APT · CAPSTONE PTY4614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FPC Mobile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Sprint Review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Fase 2 — Desarrollo · Cierre del Sprint 2 (Diseño)</w:t>
      </w:r>
    </w:p>
    <w:p>
      <w:pPr>
        <w:spacing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Equipo: Bastián Núñez · Nicolás Castillo · Nicolás Cifuentes</w:t>
      </w:r>
    </w:p>
    <w:p>
      <w:pPr>
        <w:spacing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Ingeniería en Informática — Duoc UC, sede San Joaquín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8 de octubre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Datos generales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FPC Mobile — Proyecto APT, Capstone PTY4614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2 — Diseño (planificado: 15 al 28 de septiembre de 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de octubre de 2026</w:t>
            </w:r>
          </w:p>
        </w:tc>
      </w:tr>
      <w:tr>
        <w:tc>
          <w:tcPr>
            <w:tcW w:type="dxa" w:w="2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6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Bastián Núñez, Nicolás Castillo, Nicolás Cifuentes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Owner / Cliente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Jefe de FPC Servicios — validó los mockups</w:t>
            </w:r>
          </w:p>
        </w:tc>
      </w:tr>
    </w:tbl>
    <w:p>
      <w:pPr>
        <w:pStyle w:val="Heading1"/>
        <w:spacing w:after="200" w:before="400"/>
      </w:pPr>
      <w:r>
        <w:t xml:space="preserve">Objetivo del sprint (recordatorio)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Contar con los wireframes, los mockups de media fidelidad y un tema visual compartido para las pantallas principales de la aplicación móvil y la plataforma web, validados como base para iniciar el desarrollo en los sprints siguientes.</w:t>
      </w:r>
    </w:p>
    <w:p>
      <w:pPr>
        <w:pStyle w:val="Heading1"/>
        <w:spacing w:after="200" w:before="400"/>
      </w:pPr>
      <w:r>
        <w:t xml:space="preserve">Cambio de alcance durante el sprint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El proyecto dejó de considerar los ingresos de dinero y el arriendo: el sistema registrará únicamente los movimientos de los cilindros (carga, entrega y retiro) para mantener su trazabilidad. Por eso se retiró del sprint la tarea SB2-03 (wireframe del informe de arriendo del mes) y quedaron fuera del alcance las historias asociadas a arriendo e ingresos. El sprint pasó de 12 a 11 tareas activas y de 61 a 57 horas estimadas.</w:t>
      </w:r>
    </w:p>
    <w:p>
      <w:pPr>
        <w:pStyle w:val="Heading1"/>
        <w:spacing w:after="200" w:before="400"/>
      </w:pPr>
      <w:r>
        <w:t xml:space="preserve">Incremento entregado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00"/>
        <w:gridCol w:w="19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4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Mockups de la aplicación móvil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 pantallas de media fidelidad: login, inicio, carga de camión, escáner, entrega, retiro, historial y detalle del cilindro, más las confirmaciones de cada operación.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 · validado por el cliente</w:t>
            </w:r>
          </w:p>
        </w:tc>
      </w:tr>
      <w:tr>
        <w:tc>
          <w:tcPr>
            <w:tcW w:type="dxa" w:w="25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Mockups de la plataforma web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 vistas de administración: inicio con indicadores, registro de operaciones, cilindros, clientes, camiones, usuarios, reportes, configuración y detalle de movimiento con historial del cilindro.</w:t>
            </w:r>
          </w:p>
        </w:tc>
        <w:tc>
          <w:tcPr>
            <w:tcW w:type="dxa" w:w="1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 · validado por el cliente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Wireframe de la app móvil (PDF)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Esquema de baja fidelidad de las 8 pantallas y mapa de navegación, construido a partir del código ya implementado (Expo SDK 57 / React Native). Incluye la lista de brechas respecto de las aclaraciones del 24-09.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 (25-09)</w:t>
            </w:r>
          </w:p>
        </w:tc>
      </w:tr>
      <w:tr>
        <w:tc>
          <w:tcPr>
            <w:tcW w:type="dxa" w:w="25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Guía Visual FPC Mobile (PDF)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de diseño: paleta, tipografía, espaciado, iconografía, 9 componentes y reglas de aplicación. Los tokens (tokens.ts) alimentan también la web, por lo que ambos frontends comparten la misma identidad.</w:t>
            </w:r>
          </w:p>
        </w:tc>
        <w:tc>
          <w:tcPr>
            <w:tcW w:type="dxa" w:w="1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 (8-10)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Inicio del desarrollo del frontend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 vez validados los mockups, el equipo comenzó a desarrollar el frontend de la plataforma web a partir del diseño aprobado. La app móvil ya tiene sus 8 pantallas implementadas con datos de ejemplo.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25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y casos de prueba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 casos de prueba para los flujos del técnico.</w:t>
            </w:r>
          </w:p>
        </w:tc>
        <w:tc>
          <w:tcPr>
            <w:tcW w:type="dxa" w:w="19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Acta de Sprint Planning, Sprint Backlog, DoR y DoD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Artefactos de planificación del sprint.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Terminado</w:t>
            </w:r>
          </w:p>
        </w:tc>
      </w:tr>
    </w:tbl>
    <w:p>
      <w:pPr>
        <w:pStyle w:val="Heading1"/>
        <w:spacing w:after="200" w:before="400"/>
      </w:pPr>
      <w:r>
        <w:t xml:space="preserve">¿Se cumplió el objetivo del sprint?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Sí. Las 11 tareas activas del Sprint Backlog quedaron completas, los mockups de ambas plataformas fueron validados por el jefe de FPC Servicios y el equipo cuenta con un tema visual único como base para construir. Con el diseño aprobado, el equipo pasó directamente a desarrollar el frontend de la plataforma web, y la aplicación móvil ya tiene las ocho pantallas implementadas con datos de ejemplo, lo que adelanta trabajo de los sprints de desarrollo.</w:t>
      </w:r>
    </w:p>
    <w:p>
      <w:pPr>
        <w:pStyle w:val="Heading1"/>
        <w:spacing w:after="200" w:before="400"/>
      </w:pPr>
      <w:r>
        <w:t xml:space="preserve">Retroalimentación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jefe de FPC Servicios validó los mockups de la aplicación móvil y de la plataforma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Quedó pendiente de su parte el envío de la lista de clientes, que no pudo entregar por motivos personales; por eso el backend y la base de datos comenzarán entre el Sprint 3 y el Sprint 4.</w:t>
      </w:r>
    </w:p>
    <w:p>
      <w:pPr>
        <w:pStyle w:val="Heading1"/>
        <w:spacing w:after="200" w:before="400"/>
      </w:pPr>
      <w:r>
        <w:t xml:space="preserve">Elementos que pasan al backlog / siguiente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Actualizar el Product Backlog, la Especificación de Requerimientos y las historias de usuario: retirar lo relacionado con arriendo e ingresos (por ejemplo HU-17, HU-23, el informe de arriendo y la tarifa diaria del modelo de datos).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Ajustar el wireframe y los mockups donde aún aparece el arriendo, como la nota de arriendo de la pantalla Detalle del cilindro.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Aplicar las brechas del wireframe: separar número de serie y código de barras, y agregar la elección de sucursal del cliente en entrega y retiro.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Unificar el azul del icono de Android (#0B4A8F) con el azul corporativo (#0F4C9A), detectado en la Guía Visual.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Terminar el frontend y dejarlo funcionando durante el Sprint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Iniciar el backend y la base de datos entre el Sprint 3 y el Sprint 4, una vez que el cliente entregue la lista de clientes.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40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2026-10-09T00:08:11.138Z</dcterms:created>
  <dcterms:modified xsi:type="dcterms:W3CDTF">2026-10-09T00:08:11.138Z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