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4E79"/>
          <w:sz w:val="24"/>
          <w:szCs w:val="24"/>
        </w:rPr>
        <w:t xml:space="preserve">PROYECTO APT · CAPSTONE PTY4614</w:t>
      </w:r>
    </w:p>
    <w:p>
      <w:pPr>
        <w:spacing w:after="200" w:before="200"/>
        <w:jc w:val="center"/>
      </w:pPr>
      <w:r>
        <w:rPr>
          <w:rFonts w:ascii="Calibri" w:cs="Calibri" w:eastAsia="Calibri" w:hAnsi="Calibri"/>
          <w:b/>
          <w:bCs/>
          <w:color w:val="1F4E79"/>
          <w:sz w:val="44"/>
          <w:szCs w:val="44"/>
        </w:rPr>
        <w:t xml:space="preserve">FPC Mobile</w:t>
      </w:r>
    </w:p>
    <w:p>
      <w:pPr>
        <w:spacing w:after="400"/>
        <w:jc w:val="center"/>
      </w:pPr>
      <w:r>
        <w:rPr>
          <w:rFonts w:ascii="Calibri" w:cs="Calibri" w:eastAsia="Calibri" w:hAnsi="Calibri"/>
          <w:sz w:val="28"/>
          <w:szCs w:val="28"/>
        </w:rPr>
        <w:t xml:space="preserve">Plan de Pruebas y Casos de Prueba</w:t>
      </w:r>
    </w:p>
    <w:p>
      <w:pPr>
        <w:spacing w:after="800"/>
        <w:jc w:val="center"/>
      </w:pPr>
      <w:r>
        <w:rPr>
          <w:rFonts w:ascii="Calibri" w:cs="Calibri" w:eastAsia="Calibri" w:hAnsi="Calibri"/>
          <w:i/>
          <w:iCs/>
          <w:sz w:val="24"/>
          <w:szCs w:val="24"/>
        </w:rPr>
        <w:t xml:space="preserve">Fase 2 — Desarrollo · Aplicación móvil (técnico)</w:t>
      </w:r>
    </w:p>
    <w:p>
      <w:pPr>
        <w:jc w:val="center"/>
      </w:pPr>
      <w:r>
        <w:rPr>
          <w:rFonts w:ascii="Calibri" w:cs="Calibri" w:eastAsia="Calibri" w:hAnsi="Calibri"/>
          <w:sz w:val="22"/>
          <w:szCs w:val="22"/>
        </w:rPr>
        <w:t xml:space="preserve">Equipo: Bastián Núñez · Nicolás Castillo · Nicolás Cifuentes</w:t>
      </w:r>
    </w:p>
    <w:p>
      <w:pPr>
        <w:jc w:val="center"/>
      </w:pPr>
      <w:r>
        <w:rPr>
          <w:rFonts w:ascii="Calibri" w:cs="Calibri" w:eastAsia="Calibri" w:hAnsi="Calibri"/>
          <w:sz w:val="22"/>
          <w:szCs w:val="22"/>
        </w:rPr>
        <w:t xml:space="preserve">Ingeniería en Informática — Duoc UC, sede San Joaquín</w:t>
      </w:r>
    </w:p>
    <w:p>
      <w:pPr>
        <w:spacing w:after="400"/>
        <w:jc w:val="center"/>
      </w:pPr>
      <w:r>
        <w:rPr>
          <w:rFonts w:ascii="Calibri" w:cs="Calibri" w:eastAsia="Calibri" w:hAnsi="Calibri"/>
          <w:sz w:val="22"/>
          <w:szCs w:val="22"/>
        </w:rPr>
        <w:t xml:space="preserve">15 de septiembre de 2026</w:t>
      </w:r>
    </w:p>
    <w:p>
      <w:r>
        <w:br w:type="page"/>
      </w:r>
    </w:p>
    <w:p>
      <w:pPr>
        <w:pStyle w:val="Heading1"/>
        <w:spacing w:after="200" w:before="400"/>
      </w:pPr>
      <w:r>
        <w:t xml:space="preserve">1. Introducción y objetivo</w:t>
      </w:r>
    </w:p>
    <w:p>
      <w:pPr>
        <w:spacing w:after="160"/>
      </w:pPr>
      <w:r>
        <w:rPr>
          <w:rFonts w:ascii="Calibri" w:cs="Calibri" w:eastAsia="Calibri" w:hAnsi="Calibri"/>
          <w:sz w:val="22"/>
          <w:szCs w:val="22"/>
        </w:rPr>
        <w:t xml:space="preserve">Este documento define el plan de pruebas para las funcionalidades del flujo del técnico en la aplicación móvil FPC Mobile: visualización del vehículo asignado, registro de carga, entrega y retiro de cilindros, historial de movimientos, e identificación de cilindros por escaneo de código de barras o por ingreso manual del código. El objetivo es verificar que estas funcionalidades cumplen los requerimientos y las historias de usuario definidos en la Fase 1, antes de dar por completado el sprint de pruebas del proyecto.</w:t>
      </w:r>
    </w:p>
    <w:p>
      <w:pPr>
        <w:pStyle w:val="Heading1"/>
        <w:spacing w:after="200" w:before="400"/>
      </w:pPr>
      <w:r>
        <w:t xml:space="preserve">2. Alcance</w:t>
      </w:r>
    </w:p>
    <w:p>
      <w:pPr>
        <w:spacing w:after="120"/>
      </w:pPr>
      <w:r>
        <w:rPr>
          <w:rFonts w:ascii="Calibri" w:cs="Calibri" w:eastAsia="Calibri" w:hAnsi="Calibri"/>
          <w:b/>
          <w:bCs/>
          <w:sz w:val="22"/>
          <w:szCs w:val="22"/>
        </w:rPr>
        <w:t xml:space="preserve">Incluido en este plan:</w:t>
      </w:r>
    </w:p>
    <w:p>
      <w:pPr>
        <w:pStyle w:val="ListParagraph"/>
        <w:numPr>
          <w:ilvl w:val="0"/>
          <w:numId w:val="2"/>
        </w:numPr>
        <w:spacing w:after="80"/>
      </w:pPr>
      <w:r>
        <w:rPr>
          <w:rFonts w:ascii="Calibri" w:cs="Calibri" w:eastAsia="Calibri" w:hAnsi="Calibri"/>
          <w:sz w:val="22"/>
          <w:szCs w:val="22"/>
        </w:rPr>
        <w:t xml:space="preserve">Visualización del vehículo (camión) asignado al técnico en su jornada.</w:t>
      </w:r>
    </w:p>
    <w:p>
      <w:pPr>
        <w:pStyle w:val="ListParagraph"/>
        <w:numPr>
          <w:ilvl w:val="0"/>
          <w:numId w:val="2"/>
        </w:numPr>
        <w:spacing w:after="80"/>
      </w:pPr>
      <w:r>
        <w:rPr>
          <w:rFonts w:ascii="Calibri" w:cs="Calibri" w:eastAsia="Calibri" w:hAnsi="Calibri"/>
          <w:sz w:val="22"/>
          <w:szCs w:val="22"/>
        </w:rPr>
        <w:t xml:space="preserve">Registro de carga de cilindros al camión.</w:t>
      </w:r>
    </w:p>
    <w:p>
      <w:pPr>
        <w:pStyle w:val="ListParagraph"/>
        <w:numPr>
          <w:ilvl w:val="0"/>
          <w:numId w:val="2"/>
        </w:numPr>
        <w:spacing w:after="80"/>
      </w:pPr>
      <w:r>
        <w:rPr>
          <w:rFonts w:ascii="Calibri" w:cs="Calibri" w:eastAsia="Calibri" w:hAnsi="Calibri"/>
          <w:sz w:val="22"/>
          <w:szCs w:val="22"/>
        </w:rPr>
        <w:t xml:space="preserve">Registro de entrega de cilindros a un cliente.</w:t>
      </w:r>
    </w:p>
    <w:p>
      <w:pPr>
        <w:pStyle w:val="ListParagraph"/>
        <w:numPr>
          <w:ilvl w:val="0"/>
          <w:numId w:val="2"/>
        </w:numPr>
        <w:spacing w:after="80"/>
      </w:pPr>
      <w:r>
        <w:rPr>
          <w:rFonts w:ascii="Calibri" w:cs="Calibri" w:eastAsia="Calibri" w:hAnsi="Calibri"/>
          <w:sz w:val="22"/>
          <w:szCs w:val="22"/>
        </w:rPr>
        <w:t xml:space="preserve">Registro de retiro de cilindros vacíos desde un cliente.</w:t>
      </w:r>
    </w:p>
    <w:p>
      <w:pPr>
        <w:pStyle w:val="ListParagraph"/>
        <w:numPr>
          <w:ilvl w:val="0"/>
          <w:numId w:val="2"/>
        </w:numPr>
        <w:spacing w:after="80"/>
      </w:pPr>
      <w:r>
        <w:rPr>
          <w:rFonts w:ascii="Calibri" w:cs="Calibri" w:eastAsia="Calibri" w:hAnsi="Calibri"/>
          <w:sz w:val="22"/>
          <w:szCs w:val="22"/>
        </w:rPr>
        <w:t xml:space="preserve">Consulta del historial de movimientos del técnico.</w:t>
      </w:r>
    </w:p>
    <w:p>
      <w:pPr>
        <w:pStyle w:val="ListParagraph"/>
        <w:numPr>
          <w:ilvl w:val="0"/>
          <w:numId w:val="2"/>
        </w:numPr>
        <w:spacing w:after="80"/>
      </w:pPr>
      <w:r>
        <w:rPr>
          <w:rFonts w:ascii="Calibri" w:cs="Calibri" w:eastAsia="Calibri" w:hAnsi="Calibri"/>
          <w:sz w:val="22"/>
          <w:szCs w:val="22"/>
        </w:rPr>
        <w:t xml:space="preserve">Identificación de cilindros mediante escaneo de código de barras o mediante ingreso manual del código.</w:t>
      </w:r>
    </w:p>
    <w:p>
      <w:pPr>
        <w:pStyle w:val="ListParagraph"/>
        <w:numPr>
          <w:ilvl w:val="0"/>
          <w:numId w:val="2"/>
        </w:numPr>
        <w:spacing w:after="80"/>
      </w:pPr>
      <w:r>
        <w:rPr>
          <w:rFonts w:ascii="Calibri" w:cs="Calibri" w:eastAsia="Calibri" w:hAnsi="Calibri"/>
          <w:sz w:val="22"/>
          <w:szCs w:val="22"/>
        </w:rPr>
        <w:t xml:space="preserve">Comportamiento de la aplicación en modo sin conexión y su posterior sincronización (transversal a los flujos anteriores).</w:t>
      </w:r>
    </w:p>
    <w:p>
      <w:pPr>
        <w:spacing w:after="120"/>
      </w:pPr>
      <w:r>
        <w:rPr>
          <w:rFonts w:ascii="Calibri" w:cs="Calibri" w:eastAsia="Calibri" w:hAnsi="Calibri"/>
          <w:b/>
          <w:bCs/>
          <w:sz w:val="22"/>
          <w:szCs w:val="22"/>
        </w:rPr>
        <w:t xml:space="preserve">Fuera de alcance de este plan:</w:t>
      </w:r>
    </w:p>
    <w:p>
      <w:pPr>
        <w:pStyle w:val="ListParagraph"/>
        <w:numPr>
          <w:ilvl w:val="0"/>
          <w:numId w:val="2"/>
        </w:numPr>
        <w:spacing w:after="80"/>
      </w:pPr>
      <w:r>
        <w:rPr>
          <w:rFonts w:ascii="Calibri" w:cs="Calibri" w:eastAsia="Calibri" w:hAnsi="Calibri"/>
          <w:sz w:val="22"/>
          <w:szCs w:val="22"/>
        </w:rPr>
        <w:t xml:space="preserve">Las funcionalidades de la plataforma web de administración (mantenedores, tablero del día, ficha de cliente, informe de arriendo), que se cubrirán en un plan de pruebas independiente al cerrar el Sprint 6.</w:t>
      </w:r>
    </w:p>
    <w:p>
      <w:pPr>
        <w:pStyle w:val="ListParagraph"/>
        <w:numPr>
          <w:ilvl w:val="0"/>
          <w:numId w:val="2"/>
        </w:numPr>
        <w:spacing w:after="80"/>
      </w:pPr>
      <w:r>
        <w:rPr>
          <w:rFonts w:ascii="Calibri" w:cs="Calibri" w:eastAsia="Calibri" w:hAnsi="Calibri"/>
          <w:sz w:val="22"/>
          <w:szCs w:val="22"/>
        </w:rPr>
        <w:t xml:space="preserve">Pruebas de carga o estrés sobre el backend (Supabase), no contempladas en el alcance académico del proyecto.</w:t>
      </w:r>
    </w:p>
    <w:p>
      <w:pPr>
        <w:pStyle w:val="Heading1"/>
        <w:spacing w:after="200" w:before="400"/>
      </w:pPr>
      <w:r>
        <w:t xml:space="preserve">3. Estrategia de pruebas</w:t>
      </w:r>
    </w:p>
    <w:p>
      <w:pPr>
        <w:spacing w:after="160"/>
      </w:pPr>
      <w:r>
        <w:rPr>
          <w:rFonts w:ascii="Calibri" w:cs="Calibri" w:eastAsia="Calibri" w:hAnsi="Calibri"/>
          <w:sz w:val="22"/>
          <w:szCs w:val="22"/>
        </w:rPr>
        <w:t xml:space="preserve">Se aplican pruebas funcionales de caja negra sobre cada flujo, complementadas con casos de borde (errores de código, estados inválidos) y con una prueba específica de sincronización sin conexión, dado que esta es un requisito no negociable del proyecto (ver Arquitectura Técnica, sección 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Tipo de prueba</w:t>
            </w:r>
          </w:p>
        </w:tc>
        <w:tc>
          <w:tcPr>
            <w:tcW w:type="dxa" w:w="6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Descripción</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Funcional</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 que cada flujo (carga, entrega, retiro, historial) cumple su resultado esperado con datos válidos.</w:t>
            </w:r>
          </w:p>
        </w:tc>
      </w:tr>
      <w:tr>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 borde / negativa</w:t>
            </w:r>
          </w:p>
        </w:tc>
        <w:tc>
          <w:tcPr>
            <w:tcW w:type="dxa" w:w="6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 el comportamiento del sistema ante códigos inexistentes, cilindros en estado inválido o datos mal ingresados.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 sincronización offline</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 que los movimientos registrados sin conexión se sincronizan correctamente y sin duplicarse al recuperar señal.</w:t>
            </w:r>
          </w:p>
        </w:tc>
      </w:tr>
      <w:tr>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 equivalencia escaneo / manual</w:t>
            </w:r>
          </w:p>
        </w:tc>
        <w:tc>
          <w:tcPr>
            <w:tcW w:type="dxa" w:w="6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 que identificar un cilindro por escaneo o por ingreso manual produce el mismo resultado en el sistema.</w:t>
            </w:r>
          </w:p>
        </w:tc>
      </w:tr>
    </w:tbl>
    <w:p>
      <w:pPr>
        <w:pStyle w:val="Heading1"/>
        <w:spacing w:after="200" w:before="400"/>
      </w:pPr>
      <w:r>
        <w:t xml:space="preserve">4. Criterios de entrada y salida</w:t>
      </w:r>
    </w:p>
    <w:p>
      <w:pPr>
        <w:spacing w:after="120"/>
      </w:pPr>
      <w:r>
        <w:rPr>
          <w:rFonts w:ascii="Calibri" w:cs="Calibri" w:eastAsia="Calibri" w:hAnsi="Calibri"/>
          <w:b/>
          <w:bCs/>
          <w:sz w:val="22"/>
          <w:szCs w:val="22"/>
        </w:rPr>
        <w:t xml:space="preserve">Criterios de entrada (para comenzar a probar):</w:t>
      </w:r>
    </w:p>
    <w:p>
      <w:pPr>
        <w:pStyle w:val="ListParagraph"/>
        <w:numPr>
          <w:ilvl w:val="0"/>
          <w:numId w:val="2"/>
        </w:numPr>
        <w:spacing w:after="80"/>
      </w:pPr>
      <w:r>
        <w:rPr>
          <w:rFonts w:ascii="Calibri" w:cs="Calibri" w:eastAsia="Calibri" w:hAnsi="Calibri"/>
          <w:sz w:val="22"/>
          <w:szCs w:val="22"/>
        </w:rPr>
        <w:t xml:space="preserve">Los módulos de carga, entrega, retiro e historial están implementados y desplegados en un ambiente de pruebas.</w:t>
      </w:r>
    </w:p>
    <w:p>
      <w:pPr>
        <w:pStyle w:val="ListParagraph"/>
        <w:numPr>
          <w:ilvl w:val="0"/>
          <w:numId w:val="2"/>
        </w:numPr>
        <w:spacing w:after="80"/>
      </w:pPr>
      <w:r>
        <w:rPr>
          <w:rFonts w:ascii="Calibri" w:cs="Calibri" w:eastAsia="Calibri" w:hAnsi="Calibri"/>
          <w:sz w:val="22"/>
          <w:szCs w:val="22"/>
        </w:rPr>
        <w:t xml:space="preserve">Existen datos de prueba cargados: al menos un técnico, un camión, clientes y cilindros (con y sin código de barras válido).</w:t>
      </w:r>
    </w:p>
    <w:p>
      <w:pPr>
        <w:spacing w:after="120"/>
      </w:pPr>
      <w:r>
        <w:rPr>
          <w:rFonts w:ascii="Calibri" w:cs="Calibri" w:eastAsia="Calibri" w:hAnsi="Calibri"/>
          <w:b/>
          <w:bCs/>
          <w:sz w:val="22"/>
          <w:szCs w:val="22"/>
        </w:rPr>
        <w:t xml:space="preserve">Criterios de salida (para dar por cerrado este plan):</w:t>
      </w:r>
    </w:p>
    <w:p>
      <w:pPr>
        <w:pStyle w:val="ListParagraph"/>
        <w:numPr>
          <w:ilvl w:val="0"/>
          <w:numId w:val="2"/>
        </w:numPr>
        <w:spacing w:after="80"/>
      </w:pPr>
      <w:r>
        <w:rPr>
          <w:rFonts w:ascii="Calibri" w:cs="Calibri" w:eastAsia="Calibri" w:hAnsi="Calibri"/>
          <w:sz w:val="22"/>
          <w:szCs w:val="22"/>
        </w:rPr>
        <w:t xml:space="preserve">El 100% de los casos de prueba de prioridad Alta fueron ejecutados.</w:t>
      </w:r>
    </w:p>
    <w:p>
      <w:pPr>
        <w:pStyle w:val="ListParagraph"/>
        <w:numPr>
          <w:ilvl w:val="0"/>
          <w:numId w:val="2"/>
        </w:numPr>
        <w:spacing w:after="80"/>
      </w:pPr>
      <w:r>
        <w:rPr>
          <w:rFonts w:ascii="Calibri" w:cs="Calibri" w:eastAsia="Calibri" w:hAnsi="Calibri"/>
          <w:sz w:val="22"/>
          <w:szCs w:val="22"/>
        </w:rPr>
        <w:t xml:space="preserve">No quedan defectos abiertos de severidad crítica o alta relacionados con la pérdida o duplicación de movimientos.</w:t>
      </w:r>
    </w:p>
    <w:p>
      <w:pPr>
        <w:pStyle w:val="ListParagraph"/>
        <w:numPr>
          <w:ilvl w:val="0"/>
          <w:numId w:val="2"/>
        </w:numPr>
        <w:spacing w:after="80"/>
      </w:pPr>
      <w:r>
        <w:rPr>
          <w:rFonts w:ascii="Calibri" w:cs="Calibri" w:eastAsia="Calibri" w:hAnsi="Calibri"/>
          <w:sz w:val="22"/>
          <w:szCs w:val="22"/>
        </w:rPr>
        <w:t xml:space="preserve">Los defectos encontrados quedaron registrados en el Informe de Resultados de Pruebas.</w:t>
      </w:r>
    </w:p>
    <w:p>
      <w:pPr>
        <w:pStyle w:val="Heading1"/>
        <w:spacing w:after="200" w:before="400"/>
      </w:pPr>
      <w:r>
        <w:t xml:space="preserve">5. Ambiente y datos de prueba</w:t>
      </w:r>
    </w:p>
    <w:p>
      <w:pPr>
        <w:pStyle w:val="ListParagraph"/>
        <w:numPr>
          <w:ilvl w:val="0"/>
          <w:numId w:val="2"/>
        </w:numPr>
        <w:spacing w:after="80"/>
      </w:pPr>
      <w:r>
        <w:rPr>
          <w:rFonts w:ascii="Calibri" w:cs="Calibri" w:eastAsia="Calibri" w:hAnsi="Calibri"/>
          <w:sz w:val="22"/>
          <w:szCs w:val="22"/>
        </w:rPr>
        <w:t xml:space="preserve">Dispositivo móvil (o emulador) con la aplicación instalada, con posibilidad de activar/desactivar el modo avión.</w:t>
      </w:r>
    </w:p>
    <w:p>
      <w:pPr>
        <w:pStyle w:val="ListParagraph"/>
        <w:numPr>
          <w:ilvl w:val="0"/>
          <w:numId w:val="2"/>
        </w:numPr>
        <w:spacing w:after="80"/>
      </w:pPr>
      <w:r>
        <w:rPr>
          <w:rFonts w:ascii="Calibri" w:cs="Calibri" w:eastAsia="Calibri" w:hAnsi="Calibri"/>
          <w:sz w:val="22"/>
          <w:szCs w:val="22"/>
        </w:rPr>
        <w:t xml:space="preserve">Backend de pruebas en Supabase, independiente de datos de producción.</w:t>
      </w:r>
    </w:p>
    <w:p>
      <w:pPr>
        <w:pStyle w:val="ListParagraph"/>
        <w:numPr>
          <w:ilvl w:val="0"/>
          <w:numId w:val="2"/>
        </w:numPr>
        <w:spacing w:after="80"/>
      </w:pPr>
      <w:r>
        <w:rPr>
          <w:rFonts w:ascii="Calibri" w:cs="Calibri" w:eastAsia="Calibri" w:hAnsi="Calibri"/>
          <w:sz w:val="22"/>
          <w:szCs w:val="22"/>
        </w:rPr>
        <w:t xml:space="preserve">Al menos 5 cilindros de prueba: algunos con código de barras físico y al menos uno sin código, para poder probar el ingreso manual como corresponde a un caso real.</w:t>
      </w:r>
    </w:p>
    <w:p>
      <w:pPr>
        <w:pStyle w:val="ListParagraph"/>
        <w:numPr>
          <w:ilvl w:val="0"/>
          <w:numId w:val="2"/>
        </w:numPr>
        <w:spacing w:after="80"/>
      </w:pPr>
      <w:r>
        <w:rPr>
          <w:rFonts w:ascii="Calibri" w:cs="Calibri" w:eastAsia="Calibri" w:hAnsi="Calibri"/>
          <w:sz w:val="22"/>
          <w:szCs w:val="22"/>
        </w:rPr>
        <w:t xml:space="preserve">Al menos 2 clientes de prueba y 1 camión con un técnico asignado.</w:t>
      </w:r>
    </w:p>
    <w:p>
      <w:r>
        <w:br w:type="page"/>
      </w:r>
    </w:p>
    <w:p>
      <w:pPr>
        <w:pStyle w:val="Heading1"/>
        <w:spacing w:after="200" w:before="400"/>
      </w:pPr>
      <w:r>
        <w:t xml:space="preserve">6. Casos de prueba</w:t>
      </w:r>
    </w:p>
    <w:p>
      <w:pPr>
        <w:spacing w:after="160"/>
      </w:pPr>
      <w:r>
        <w:rPr>
          <w:rFonts w:ascii="Calibri" w:cs="Calibri" w:eastAsia="Calibri" w:hAnsi="Calibri"/>
          <w:sz w:val="22"/>
          <w:szCs w:val="22"/>
        </w:rPr>
        <w:t xml:space="preserve">Prioridad: A = Alta, M = Media, B = Baja.</w:t>
      </w:r>
    </w:p>
    <w:p>
      <w:pPr>
        <w:pStyle w:val="Heading2"/>
        <w:spacing w:after="150" w:before="300"/>
      </w:pPr>
      <w:r>
        <w:t xml:space="preserve">6.1 Vehículo asignado en la jornada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26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CP-01</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 el vehículo asignado al iniciar sesión</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Iniciar sesión como técnico. 2) Observar la pantalla principal.</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 muestra el camión (patente/alias) asignado al técnico para la jornada actual.</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HU-10</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CP-02</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Técnico sin camión asignado</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Iniciar sesión con un usuario técnico sin camión asociado.</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muestra un mensaje claro indicando que no hay vehículo asignado, sin bloquear la app.</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HU-10 (borde)</w:t>
            </w:r>
          </w:p>
        </w:tc>
      </w:tr>
    </w:tbl>
    <w:p>
      <w:pPr>
        <w:pStyle w:val="Heading2"/>
        <w:spacing w:after="150" w:before="300"/>
      </w:pPr>
      <w:r>
        <w:t xml:space="preserve">6.2 Carga de cilindros al camión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000"/>
        <w:gridCol w:w="24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30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4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CP-03</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carga por escaneo</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"Carga". 2) Escanear el código de barras de un cilindro válido. 3) Confirmar.</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se agrega a la lista de carga del camión con estado "en camión".</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 / HU-02</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CP-04</w:t>
            </w:r>
          </w:p>
        </w:tc>
        <w:tc>
          <w:tcPr>
            <w:tcW w:type="dxa" w:w="2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carga por ingreso manual</w:t>
            </w:r>
          </w:p>
        </w:tc>
        <w:tc>
          <w:tcPr>
            <w:tcW w:type="dxa" w:w="3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"Carga". 2) Elegir "Ingresar código manualmente". 3) Escribir el código del cilindro. 4) Confirmar.</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se agrega a la carga igual que en CP-03.</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 ampliado / SB2-06</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CP-05</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Código inexistente</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"Carga". 2) Ingresar o escanear un código que no existe en el sistema.</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muestra un mensaje de error y no agrega ningún cilindro.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 (validación)</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CP-06</w:t>
            </w:r>
          </w:p>
        </w:tc>
        <w:tc>
          <w:tcPr>
            <w:tcW w:type="dxa" w:w="2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Múltiples cargas en la misma jornada</w:t>
            </w:r>
          </w:p>
        </w:tc>
        <w:tc>
          <w:tcPr>
            <w:tcW w:type="dxa" w:w="3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Registrar una carga. 2) Registrar una segunda carga más tarde en el mismo día.</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Ambas cargas quedan registradas; la segunda no elimina ni sobrescribe la primera.</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RF-12</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CP-07</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Cilindro ya cargado en otro camión</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Intentar cargar un cilindro cuyo estado actual es "en camión" de otro vehículo.</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alerta la inconsistencia antes de confirmar la carga.</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Regla de negocio (nueva)</w:t>
            </w:r>
          </w:p>
        </w:tc>
      </w:tr>
    </w:tbl>
    <w:p>
      <w:pPr>
        <w:pStyle w:val="Heading2"/>
        <w:spacing w:after="150" w:before="300"/>
      </w:pPr>
      <w:r>
        <w:t xml:space="preserve">6.3 Entrega de cilindros a cliente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900"/>
        <w:gridCol w:w="23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4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29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3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CP-08</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entrega por escaneo</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"Entrega". 2) Seleccionar cliente. 3) Escanear el cilindro a entregar. 4) Confirmar.</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cambia su estado a "en cliente" y queda asociado al cliente seleccionado.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 HU-04</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CP-09</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entrega por ingreso manual</w:t>
            </w:r>
          </w:p>
        </w:tc>
        <w:tc>
          <w:tcPr>
            <w:tcW w:type="dxa" w:w="2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"Entrega". 2) Seleccionar cliente. 3) Ingresar el código manualmente. 4) Confirmar.</w:t>
            </w:r>
          </w:p>
        </w:tc>
        <w:tc>
          <w:tcPr>
            <w:tcW w:type="dxa" w:w="23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Mismo resultado que CP-08.</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ampliado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CP-10</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Entregar un cilindro que no está en el camión</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Intentar entregar un cilindro que no figura como cargado en el camión del técnico.</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rechaza o alerta la operación antes de confirmar.</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(validación)</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CP-11</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Verificar cambio de estado y tenedor tras la entrega</w:t>
            </w:r>
          </w:p>
        </w:tc>
        <w:tc>
          <w:tcPr>
            <w:tcW w:type="dxa" w:w="2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Completar una entrega válida (CP-08). 2) Consultar el estado del cilindro.</w:t>
            </w:r>
          </w:p>
        </w:tc>
        <w:tc>
          <w:tcPr>
            <w:tcW w:type="dxa" w:w="23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figura "en cliente" con el cliente y la fecha/hora reales del evento.</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 RF-25</w:t>
            </w:r>
          </w:p>
        </w:tc>
      </w:tr>
    </w:tbl>
    <w:p>
      <w:pPr>
        <w:pStyle w:val="Heading2"/>
        <w:spacing w:after="150" w:before="300"/>
      </w:pPr>
      <w:r>
        <w:t xml:space="preserve">6.4 Retiro de cilindros vacíos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900"/>
        <w:gridCol w:w="23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4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29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3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CP-12</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retiro por escaneo</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"Retiro". 2) Escanear el cilindro vacío del cliente. 3) Confirmar.</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cilindro deja de estar asociado al cliente y vuelve a estado "en camión".</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 HU-05</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CP-13</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Registrar retiro por ingreso manual</w:t>
            </w:r>
          </w:p>
        </w:tc>
        <w:tc>
          <w:tcPr>
            <w:tcW w:type="dxa" w:w="2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"Retiro". 2) Ingresar el código manualmente. 3) Confirmar.</w:t>
            </w:r>
          </w:p>
        </w:tc>
        <w:tc>
          <w:tcPr>
            <w:tcW w:type="dxa" w:w="23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Mismo resultado que CP-12.</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ampliado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CP-14</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Verificar cierre del cálculo de arriendo</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Completar un retiro válido (CP-12). 2) Consultar la ficha del cilindro.</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Deja de contabilizarse el arriendo desde la fecha/hora del retiro.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 RF-25</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CP-15</w:t>
            </w:r>
          </w:p>
        </w:tc>
        <w:tc>
          <w:tcPr>
            <w:tcW w:type="dxa" w:w="24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Retirar un cilindro que no está en ese cliente</w:t>
            </w:r>
          </w:p>
        </w:tc>
        <w:tc>
          <w:tcPr>
            <w:tcW w:type="dxa" w:w="2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Intentar retirar un cilindro que no figura en poder del cliente seleccionado.</w:t>
            </w:r>
          </w:p>
        </w:tc>
        <w:tc>
          <w:tcPr>
            <w:tcW w:type="dxa" w:w="23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rechaza o alerta la operación antes de confirmar.</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(validación)</w:t>
            </w:r>
          </w:p>
        </w:tc>
      </w:tr>
    </w:tbl>
    <w:p>
      <w:pPr>
        <w:pStyle w:val="Heading2"/>
        <w:spacing w:after="150" w:before="300"/>
      </w:pPr>
      <w:r>
        <w:t xml:space="preserve">6.5 Historial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2600"/>
        <w:gridCol w:w="700"/>
        <w:gridCol w:w="11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2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1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CP-16</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Consultar historial de la propia jornada</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Ir a "Historial". 2) Revisar la lista de movimientos del día.</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 listan todas las cargas, entregas y retiros realizados por el técnico en la jornada.</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HU-10</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CP-17</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Fecha y hora correctas en el historial</w:t>
            </w:r>
          </w:p>
        </w:tc>
        <w:tc>
          <w:tcPr>
            <w:tcW w:type="dxa" w:w="2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Registrar un movimiento. 2) Revisarlo en el historial.</w:t>
            </w:r>
          </w:p>
        </w:tc>
        <w:tc>
          <w:tcPr>
            <w:tcW w:type="dxa" w:w="2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movimiento muestra la fecha y hora reales en que ocurrió el evento (fecha_evento).</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RF-24</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CP-18</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Indicador de movimientos no sincronizados</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Registrar un movimiento sin conexión. 2) Revisar el historial antes de sincronizar.</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movimiento aparece marcado visualmente como pendiente de sincronización.</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1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RF-08</w:t>
            </w:r>
          </w:p>
        </w:tc>
      </w:tr>
    </w:tbl>
    <w:p>
      <w:pPr>
        <w:pStyle w:val="Heading2"/>
        <w:spacing w:after="150" w:before="300"/>
      </w:pPr>
      <w:r>
        <w:t xml:space="preserve">6.6 Identificación del cilindro: escaneo vs. ingreso manual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000"/>
        <w:gridCol w:w="2200"/>
        <w:gridCol w:w="700"/>
        <w:gridCol w:w="9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30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2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9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CP-19</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Equivalencia escaneo en los tres flujos</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Repetir CP-03, CP-08 y CP-12 usando escaneo.</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escaneo identifica correctamente el cilindro en carga, entrega y retiro.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RF-02/04/05</w:t>
            </w:r>
          </w:p>
        </w:tc>
      </w:tr>
      <w:tr>
        <w:tc>
          <w:tcPr>
            <w:tcW w:type="dxa" w:w="8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CP-20</w:t>
            </w:r>
          </w:p>
        </w:tc>
        <w:tc>
          <w:tcPr>
            <w:tcW w:type="dxa" w:w="2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Equivalencia ingreso manual en los tres flujos</w:t>
            </w:r>
          </w:p>
        </w:tc>
        <w:tc>
          <w:tcPr>
            <w:tcW w:type="dxa" w:w="30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Repetir CP-04, CP-09 y CP-13 usando ingreso manual.</w:t>
            </w:r>
          </w:p>
        </w:tc>
        <w:tc>
          <w:tcPr>
            <w:tcW w:type="dxa" w:w="22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resultado es idéntico al obtenido por escaneo para el mismo cilindro.</w:t>
            </w:r>
          </w:p>
        </w:tc>
        <w:tc>
          <w:tcPr>
            <w:tcW w:type="dxa" w:w="7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9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RF-02/04/05 ampliado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CP-21</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Código manual con formato inválido</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Ingresar manualmente un código con formato incorrecto (letras/símbolos no válidos, o largo distinto al esperado).</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 sistema muestra un error de validación y no continúa con la operación.</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RF-02/04/05 (validación)</w:t>
            </w:r>
          </w:p>
        </w:tc>
      </w:tr>
    </w:tbl>
    <w:p>
      <w:pPr>
        <w:pStyle w:val="Heading2"/>
        <w:spacing w:after="150" w:before="300"/>
      </w:pPr>
      <w:r>
        <w:t xml:space="preserve">6.7 Operación sin conexión (transversal)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400"/>
        <w:gridCol w:w="2100"/>
        <w:gridCol w:w="700"/>
        <w:gridCol w:w="900"/>
      </w:tblGrid>
      <w:tr>
        <w:trPr>
          <w:tblHeader/>
        </w:trPr>
        <w:tc>
          <w:tcPr>
            <w:tcW w:type="dxa" w:w="8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ID</w:t>
            </w:r>
          </w:p>
        </w:tc>
        <w:tc>
          <w:tcPr>
            <w:tcW w:type="dxa" w:w="2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 de prueba</w:t>
            </w:r>
          </w:p>
        </w:tc>
        <w:tc>
          <w:tcPr>
            <w:tcW w:type="dxa" w:w="34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Pasos</w:t>
            </w:r>
          </w:p>
        </w:tc>
        <w:tc>
          <w:tcPr>
            <w:tcW w:type="dxa" w:w="21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Resultado esperado</w:t>
            </w:r>
          </w:p>
        </w:tc>
        <w:tc>
          <w:tcPr>
            <w:tcW w:type="dxa" w:w="7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Prio.</w:t>
            </w:r>
          </w:p>
        </w:tc>
        <w:tc>
          <w:tcPr>
            <w:tcW w:type="dxa" w:w="9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Relacionado</w:t>
            </w:r>
          </w:p>
        </w:tc>
      </w:tr>
      <w:tr>
        <w:tc>
          <w:tcPr>
            <w:tcW w:type="dxa" w:w="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CP-22</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Prueba de modo avión (no duplicación)</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Activar el modo avión en el dispositivo. 2) Registrar una carga y dos entregas. 3) Desactivar el modo avión y esperar la sincronización automática. 4) Revisar el panel web / base de datos.</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Aparecen exactamente 3 movimientos nuevos (1 carga + 2 entregas), sin duplicados, aunque se reintente el envío.</w:t>
            </w:r>
          </w:p>
        </w:tc>
        <w:tc>
          <w:tcPr>
            <w:tcW w:type="dxa" w:w="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t>
            </w:r>
          </w:p>
        </w:tc>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RF-06 / RF-07 / RNF-01 / RNF-02</w:t>
            </w:r>
          </w:p>
        </w:tc>
      </w:tr>
    </w:tbl>
    <w:p>
      <w:pPr>
        <w:spacing w:after="200"/>
      </w:pPr>
      <w:r>
        <w:rPr>
          <w:rFonts w:ascii="Calibri" w:cs="Calibri" w:eastAsia="Calibri" w:hAnsi="Calibri"/>
          <w:i/>
          <w:iCs/>
          <w:color w:val="555555"/>
          <w:sz w:val="20"/>
          <w:szCs w:val="20"/>
        </w:rPr>
        <w:t xml:space="preserve">CP-22 corresponde a la prueba ya definida como crítica en el documento de Arquitectura Técnica (sección 6): decide si la aplicación sirve para el reparto interregional en la Sexta y Séptima Región.</w:t>
      </w:r>
    </w:p>
    <w:p>
      <w:r>
        <w:br w:type="page"/>
      </w:r>
    </w:p>
    <w:p>
      <w:pPr>
        <w:pStyle w:val="Heading1"/>
        <w:spacing w:after="200" w:before="400"/>
      </w:pPr>
      <w:r>
        <w:t xml:space="preserve">7. Matriz de trazabilidad (resumen)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Requerimiento / Historia</w:t>
            </w:r>
          </w:p>
        </w:tc>
        <w:tc>
          <w:tcPr>
            <w:tcW w:type="dxa" w:w="4600"/>
            <w:shd w:fill="1F4E79" w:color="auto"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Casos de prueba asociados</w:t>
            </w:r>
          </w:p>
        </w:tc>
      </w:tr>
      <w:tr>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RF-02 / HU-02 — Carga de cilindros</w:t>
            </w:r>
          </w:p>
        </w:tc>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CP-03, CP-04, CP-05, CP-06, CP-07, CP-19, CP-20, CP-21</w:t>
            </w:r>
          </w:p>
        </w:tc>
      </w:tr>
      <w:tr>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RF-04 / HU-04 — Entrega de cilindros</w:t>
            </w:r>
          </w:p>
        </w:tc>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CP-08, CP-09, CP-10, CP-11, CP-19, CP-20, CP-21</w:t>
            </w:r>
          </w:p>
        </w:tc>
      </w:tr>
      <w:tr>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RF-05 / HU-05 — Retiro de cilindros</w:t>
            </w:r>
          </w:p>
        </w:tc>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CP-12, CP-13, CP-14, CP-15, CP-19, CP-20, CP-21</w:t>
            </w:r>
          </w:p>
        </w:tc>
      </w:tr>
      <w:tr>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HU-10 — Vista restringida por camión / jornada</w:t>
            </w:r>
          </w:p>
        </w:tc>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CP-01, CP-02, CP-16</w:t>
            </w:r>
          </w:p>
        </w:tc>
      </w:tr>
      <w:tr>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RF-08 — Indicador de sincronización pendiente</w:t>
            </w:r>
          </w:p>
        </w:tc>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CP-18</w:t>
            </w:r>
          </w:p>
        </w:tc>
      </w:tr>
      <w:tr>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RF-24 — Registro de fecha real del evento</w:t>
            </w:r>
          </w:p>
        </w:tc>
        <w:tc>
          <w:tcPr>
            <w:tcW w:type="dxa" w:w="4600"/>
            <w:shd w:fill="F2F6FA" w:color="auto"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CP-17</w:t>
            </w:r>
          </w:p>
        </w:tc>
      </w:tr>
      <w:tr>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RF-06 / RF-07 / RNF-01 / RNF-02 — Operación y sincronización sin conexión</w:t>
            </w:r>
          </w:p>
        </w:tc>
        <w:tc>
          <w:tcPr>
            <w:tcW w:type="dxa" w:w="4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CP-22</w:t>
            </w:r>
          </w:p>
        </w:tc>
      </w:tr>
    </w:tbl>
    <w:p>
      <w:pPr>
        <w:pStyle w:val="Heading1"/>
        <w:spacing w:after="200" w:before="400"/>
      </w:pPr>
      <w:r>
        <w:t xml:space="preserve">8. Riesgos y consideraciones</w:t>
      </w:r>
    </w:p>
    <w:p>
      <w:pPr>
        <w:pStyle w:val="ListParagraph"/>
        <w:numPr>
          <w:ilvl w:val="0"/>
          <w:numId w:val="2"/>
        </w:numPr>
        <w:spacing w:after="80"/>
      </w:pPr>
      <w:r>
        <w:rPr>
          <w:rFonts w:ascii="Calibri" w:cs="Calibri" w:eastAsia="Calibri" w:hAnsi="Calibri"/>
          <w:sz w:val="22"/>
          <w:szCs w:val="22"/>
        </w:rPr>
        <w:t xml:space="preserve">CP-22 (modo avión) depende de tener el endpoint de sincronización por lotes ya implementado (Sprint 4); no puede ejecutarse antes de eso.</w:t>
      </w:r>
    </w:p>
    <w:p>
      <w:pPr>
        <w:pStyle w:val="ListParagraph"/>
        <w:numPr>
          <w:ilvl w:val="0"/>
          <w:numId w:val="2"/>
        </w:numPr>
        <w:spacing w:after="80"/>
      </w:pPr>
      <w:r>
        <w:rPr>
          <w:rFonts w:ascii="Calibri" w:cs="Calibri" w:eastAsia="Calibri" w:hAnsi="Calibri"/>
          <w:sz w:val="22"/>
          <w:szCs w:val="22"/>
        </w:rPr>
        <w:t xml:space="preserve">Los casos de ingreso manual (CP-04, CP-09, CP-13, CP-20, CP-21) dependen de que la pantalla de ingreso manual definida en el Sprint 2 (SB2-06) esté construida.</w:t>
      </w:r>
    </w:p>
    <w:p>
      <w:pPr>
        <w:pStyle w:val="ListParagraph"/>
        <w:numPr>
          <w:ilvl w:val="0"/>
          <w:numId w:val="2"/>
        </w:numPr>
        <w:spacing w:after="80"/>
      </w:pPr>
      <w:r>
        <w:rPr>
          <w:rFonts w:ascii="Calibri" w:cs="Calibri" w:eastAsia="Calibri" w:hAnsi="Calibri"/>
          <w:sz w:val="22"/>
          <w:szCs w:val="22"/>
        </w:rPr>
        <w:t xml:space="preserve">Se recomienda ejecutar primero los casos de prioridad Alta (A) y dejar los de prioridad Media/Baja para una segunda ronda si el tiempo del sprint de pruebas es limitado.</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2026-09-23T11:41:06.554Z</dcterms:created>
  <dcterms:modified xsi:type="dcterms:W3CDTF">2026-09-23T11:41:06.564Z</dcterms:modified>
</cp:coreProperties>
</file>

<file path=docProps/custom.xml><?xml version="1.0" encoding="utf-8"?>
<Properties xmlns="http://schemas.openxmlformats.org/officeDocument/2006/custom-properties" xmlns:vt="http://schemas.openxmlformats.org/officeDocument/2006/docPropsVTypes"/>
</file>