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pageBreakBefore/>
        <w:spacing w:before="120" w:after="0"/>
        <w:rPr/>
      </w:pPr>
      <w:bookmarkStart w:id="0" w:name="_Toc389557323"/>
      <w:bookmarkEnd w:id="0"/>
      <w:r>
        <w:rPr/>
        <w:t>1. ABOUT ANNANDALE AND ESKDALE</w:t>
      </w:r>
    </w:p>
    <w:p>
      <w:pPr>
        <w:pStyle w:val="Normal"/>
        <w:jc w:val="both"/>
        <w:rPr/>
      </w:pPr>
      <w:r>
        <w:rPr/>
      </w:r>
    </w:p>
    <w:p>
      <w:pPr>
        <w:pStyle w:val="Normal"/>
        <w:spacing w:lineRule="auto" w:line="240"/>
        <w:jc w:val="both"/>
        <w:rPr>
          <w:b/>
        </w:rPr>
      </w:pPr>
      <w:r>
        <w:rPr/>
        <w:t xml:space="preserve">Annandale and Eskdale lies in the east of Dumfries and Galloway, , and is bordered by the Nithsdale area in the west, South Lanarkshire in the north, Scottish Borders in the east and Cumbria in the south.  </w:t>
      </w:r>
      <w:r>
        <w:rPr>
          <w:rFonts w:cs="Perpetua"/>
        </w:rPr>
        <w:t>Most of its southern boundary is made up of the Solway Firth Coastline. Two main rivers, the Annan and the Esk run through the area draining into the Solway Firth. The Southern Uplands form the northern boundary.</w:t>
      </w:r>
      <w:r>
        <w:rPr/>
        <w:t xml:space="preserve"> Covering 156,286 hectares, it accounts for around a quarter of the total area of Dumfries and Galloway.</w:t>
      </w:r>
      <w:r>
        <w:rPr>
          <w:b/>
        </w:rPr>
        <w:t xml:space="preserve"> </w:t>
      </w:r>
    </w:p>
    <w:p>
      <w:pPr>
        <w:pStyle w:val="Normal"/>
        <w:jc w:val="both"/>
        <w:rPr>
          <w:b/>
        </w:rPr>
      </w:pPr>
      <w:r>
        <w:rPr>
          <w:b/>
        </w:rPr>
      </w:r>
    </w:p>
    <w:p>
      <w:pPr>
        <w:pStyle w:val="Normal"/>
        <w:jc w:val="both"/>
        <w:rPr>
          <w:b/>
        </w:rPr>
      </w:pPr>
      <w:r>
        <w:rPr>
          <w:b/>
        </w:rPr>
        <w:t>Urban-Rural Classification</w:t>
      </w:r>
    </w:p>
    <w:p>
      <w:pPr>
        <w:pStyle w:val="Normal"/>
        <w:jc w:val="both"/>
        <w:rPr/>
      </w:pPr>
      <w:r>
        <w:rPr/>
        <w:t>The Scottish Government produces an urban-rural classification, which is based on settlement size defined by the General Register Office for Scotland (GROS) and accessibility based on an analysis of the time taken to drive to larger settlements.  Each data zone in Scotland is then classified under one of six categories:</w:t>
      </w:r>
    </w:p>
    <w:p>
      <w:pPr>
        <w:pStyle w:val="ListParagraph"/>
        <w:numPr>
          <w:ilvl w:val="0"/>
          <w:numId w:val="1"/>
        </w:numPr>
        <w:jc w:val="both"/>
        <w:rPr/>
      </w:pPr>
      <w:r>
        <w:rPr/>
        <w:t>Large Urban Areas – Settlements of over 125,000 people.</w:t>
      </w:r>
    </w:p>
    <w:p>
      <w:pPr>
        <w:pStyle w:val="ListParagraph"/>
        <w:numPr>
          <w:ilvl w:val="0"/>
          <w:numId w:val="1"/>
        </w:numPr>
        <w:jc w:val="both"/>
        <w:rPr/>
      </w:pPr>
      <w:r>
        <w:rPr/>
        <w:t>Other Urban Areas – Settlements of 10,000 to 125,000 people.</w:t>
      </w:r>
    </w:p>
    <w:p>
      <w:pPr>
        <w:pStyle w:val="ListParagraph"/>
        <w:numPr>
          <w:ilvl w:val="0"/>
          <w:numId w:val="1"/>
        </w:numPr>
        <w:jc w:val="both"/>
        <w:rPr/>
      </w:pPr>
      <w:r>
        <w:rPr/>
        <w:t>Accessible Small Towns – Settlements of between 3,000 and 10,000 people and within 30 minutes’ drive of a settlement of 10,000 or more.</w:t>
      </w:r>
    </w:p>
    <w:p>
      <w:pPr>
        <w:pStyle w:val="ListParagraph"/>
        <w:numPr>
          <w:ilvl w:val="0"/>
          <w:numId w:val="1"/>
        </w:numPr>
        <w:jc w:val="both"/>
        <w:rPr/>
      </w:pPr>
      <w:r>
        <w:rPr/>
        <w:t>Remote Small Towns – Settlements of between 3,000 and 10,000 people and with a drive time of over 30 minutes to a settlement of 10,000 or more.</w:t>
      </w:r>
    </w:p>
    <w:p>
      <w:pPr>
        <w:pStyle w:val="ListParagraph"/>
        <w:numPr>
          <w:ilvl w:val="0"/>
          <w:numId w:val="1"/>
        </w:numPr>
        <w:jc w:val="both"/>
        <w:rPr/>
      </w:pPr>
      <w:r>
        <w:rPr/>
        <w:t>Accessible Rural – Settlements of less than 3,000 people and within 30 minutes’ drive of a settlement of 10,000 or more.</w:t>
      </w:r>
    </w:p>
    <w:p>
      <w:pPr>
        <w:pStyle w:val="ListParagraph"/>
        <w:numPr>
          <w:ilvl w:val="0"/>
          <w:numId w:val="1"/>
        </w:numPr>
        <w:jc w:val="both"/>
        <w:rPr/>
      </w:pPr>
      <w:r>
        <w:rPr/>
        <w:t>Remote Rural – Settlements of less than 3,000 people and with a drive time of over 30 minutes to a settlement of 10,000 or more.</w:t>
      </w:r>
    </w:p>
    <w:p>
      <w:pPr>
        <w:pStyle w:val="Normal"/>
        <w:jc w:val="both"/>
        <w:rPr>
          <w:b/>
        </w:rPr>
      </w:pPr>
      <w:r>
        <w:rPr>
          <w:b/>
        </w:rPr>
      </w:r>
    </w:p>
    <w:p>
      <w:pPr>
        <w:pStyle w:val="Normal"/>
        <w:jc w:val="both"/>
        <w:rPr/>
      </w:pPr>
      <w:r>
        <w:rPr/>
        <w:t>As illustrated below, over half of the population of Annandale and Eskdale live in rural areas.  The remainder live in accessible small towns.</w:t>
      </w:r>
    </w:p>
    <w:p>
      <w:pPr>
        <w:pStyle w:val="Normal"/>
        <w:jc w:val="both"/>
        <w:rPr>
          <w:b/>
        </w:rPr>
      </w:pPr>
      <w:r>
        <w:rPr>
          <w:b/>
        </w:rPr>
      </w:r>
    </w:p>
    <w:p>
      <w:pPr>
        <w:pStyle w:val="Normal"/>
        <w:jc w:val="both"/>
        <w:rPr>
          <w:b/>
        </w:rPr>
      </w:pPr>
      <w:r>
        <w:rPr>
          <w:b/>
        </w:rPr>
        <w:t xml:space="preserve">Figure 1.1: % of Population by Urban/Rural Classification </w:t>
      </w:r>
    </w:p>
    <w:p>
      <w:pPr>
        <w:pStyle w:val="Normal"/>
        <w:jc w:val="both"/>
        <w:rPr>
          <w:b/>
        </w:rPr>
      </w:pPr>
      <w:r>
        <w:rPr>
          <w:b/>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524"/>
        <w:gridCol w:w="1285"/>
        <w:gridCol w:w="1285"/>
        <w:gridCol w:w="1284"/>
        <w:gridCol w:w="1285"/>
        <w:gridCol w:w="1285"/>
        <w:gridCol w:w="1291"/>
      </w:tblGrid>
      <w:tr>
        <w:trPr>
          <w:cantSplit w:val="false"/>
        </w:trPr>
        <w:tc>
          <w:tcPr>
            <w:tcW w:w="15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103" w:type="dxa"/>
            </w:tcMar>
          </w:tcPr>
          <w:p>
            <w:pPr>
              <w:pStyle w:val="Normal"/>
              <w:spacing w:before="0" w:after="0"/>
              <w:jc w:val="both"/>
              <w:rPr>
                <w:b/>
              </w:rPr>
            </w:pPr>
            <w:r>
              <w:rPr>
                <w:b/>
              </w:rPr>
            </w:r>
          </w:p>
        </w:tc>
        <w:tc>
          <w:tcPr>
            <w:tcW w:w="1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103" w:type="dxa"/>
            </w:tcMar>
            <w:vAlign w:val="center"/>
          </w:tcPr>
          <w:p>
            <w:pPr>
              <w:pStyle w:val="Normal"/>
              <w:spacing w:before="0" w:after="0"/>
              <w:jc w:val="center"/>
              <w:rPr>
                <w:b/>
              </w:rPr>
            </w:pPr>
            <w:r>
              <w:rPr>
                <w:b/>
              </w:rPr>
              <w:t>Large Urban</w:t>
            </w:r>
          </w:p>
        </w:tc>
        <w:tc>
          <w:tcPr>
            <w:tcW w:w="1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103" w:type="dxa"/>
            </w:tcMar>
            <w:vAlign w:val="center"/>
          </w:tcPr>
          <w:p>
            <w:pPr>
              <w:pStyle w:val="Normal"/>
              <w:spacing w:before="0" w:after="0"/>
              <w:jc w:val="center"/>
              <w:rPr>
                <w:b/>
              </w:rPr>
            </w:pPr>
            <w:r>
              <w:rPr>
                <w:b/>
              </w:rPr>
              <w:t>Other Urban</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103" w:type="dxa"/>
            </w:tcMar>
            <w:vAlign w:val="center"/>
          </w:tcPr>
          <w:p>
            <w:pPr>
              <w:pStyle w:val="Normal"/>
              <w:spacing w:before="0" w:after="0"/>
              <w:jc w:val="center"/>
              <w:rPr>
                <w:b/>
              </w:rPr>
            </w:pPr>
            <w:r>
              <w:rPr>
                <w:b/>
              </w:rPr>
              <w:t>Accessible Small Town</w:t>
            </w:r>
          </w:p>
        </w:tc>
        <w:tc>
          <w:tcPr>
            <w:tcW w:w="1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103" w:type="dxa"/>
            </w:tcMar>
            <w:vAlign w:val="center"/>
          </w:tcPr>
          <w:p>
            <w:pPr>
              <w:pStyle w:val="Normal"/>
              <w:spacing w:before="0" w:after="0"/>
              <w:jc w:val="center"/>
              <w:rPr>
                <w:b/>
              </w:rPr>
            </w:pPr>
            <w:r>
              <w:rPr>
                <w:b/>
              </w:rPr>
              <w:t>Remote Small Town</w:t>
            </w:r>
          </w:p>
        </w:tc>
        <w:tc>
          <w:tcPr>
            <w:tcW w:w="1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103" w:type="dxa"/>
            </w:tcMar>
            <w:vAlign w:val="center"/>
          </w:tcPr>
          <w:p>
            <w:pPr>
              <w:pStyle w:val="Normal"/>
              <w:spacing w:before="0" w:after="0"/>
              <w:jc w:val="center"/>
              <w:rPr>
                <w:b/>
              </w:rPr>
            </w:pPr>
            <w:r>
              <w:rPr>
                <w:b/>
              </w:rPr>
              <w:t>Accessible Rural</w:t>
            </w:r>
          </w:p>
        </w:tc>
        <w:tc>
          <w:tcPr>
            <w:tcW w:w="12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103" w:type="dxa"/>
            </w:tcMar>
            <w:vAlign w:val="center"/>
          </w:tcPr>
          <w:p>
            <w:pPr>
              <w:pStyle w:val="Normal"/>
              <w:spacing w:before="0" w:after="0"/>
              <w:jc w:val="center"/>
              <w:rPr>
                <w:b/>
              </w:rPr>
            </w:pPr>
            <w:r>
              <w:rPr>
                <w:b/>
              </w:rPr>
              <w:t>Remote Rural</w:t>
            </w:r>
          </w:p>
        </w:tc>
      </w:tr>
      <w:tr>
        <w:trPr>
          <w:cantSplit w:val="false"/>
        </w:trPr>
        <w:tc>
          <w:tcPr>
            <w:tcW w:w="15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b/>
              </w:rPr>
            </w:pPr>
            <w:r>
              <w:rPr>
                <w:b/>
              </w:rPr>
              <w:t>Annandale and Eskdale</w:t>
            </w:r>
          </w:p>
        </w:tc>
        <w:tc>
          <w:tcPr>
            <w:tcW w:w="1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w:t>
            </w:r>
          </w:p>
        </w:tc>
        <w:tc>
          <w:tcPr>
            <w:tcW w:w="1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41</w:t>
            </w:r>
          </w:p>
        </w:tc>
        <w:tc>
          <w:tcPr>
            <w:tcW w:w="1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w:t>
            </w:r>
          </w:p>
        </w:tc>
        <w:tc>
          <w:tcPr>
            <w:tcW w:w="1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36</w:t>
            </w:r>
          </w:p>
        </w:tc>
        <w:tc>
          <w:tcPr>
            <w:tcW w:w="12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23</w:t>
            </w:r>
          </w:p>
        </w:tc>
      </w:tr>
      <w:tr>
        <w:trPr>
          <w:trHeight w:val="372" w:hRule="atLeast"/>
          <w:cantSplit w:val="false"/>
        </w:trPr>
        <w:tc>
          <w:tcPr>
            <w:tcW w:w="15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b/>
              </w:rPr>
            </w:pPr>
            <w:r>
              <w:rPr>
                <w:b/>
              </w:rPr>
              <w:t>Nithsdale</w:t>
            </w:r>
          </w:p>
        </w:tc>
        <w:tc>
          <w:tcPr>
            <w:tcW w:w="1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w:t>
            </w:r>
          </w:p>
        </w:tc>
        <w:tc>
          <w:tcPr>
            <w:tcW w:w="1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55</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w:t>
            </w:r>
          </w:p>
        </w:tc>
        <w:tc>
          <w:tcPr>
            <w:tcW w:w="1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9</w:t>
            </w:r>
          </w:p>
        </w:tc>
        <w:tc>
          <w:tcPr>
            <w:tcW w:w="1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22</w:t>
            </w:r>
          </w:p>
        </w:tc>
        <w:tc>
          <w:tcPr>
            <w:tcW w:w="12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13</w:t>
            </w:r>
          </w:p>
        </w:tc>
      </w:tr>
      <w:tr>
        <w:trPr>
          <w:trHeight w:val="435" w:hRule="atLeast"/>
          <w:cantSplit w:val="false"/>
        </w:trPr>
        <w:tc>
          <w:tcPr>
            <w:tcW w:w="15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b/>
              </w:rPr>
            </w:pPr>
            <w:r>
              <w:rPr>
                <w:b/>
              </w:rPr>
              <w:t>Stewartry</w:t>
            </w:r>
          </w:p>
        </w:tc>
        <w:tc>
          <w:tcPr>
            <w:tcW w:w="1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w:t>
            </w:r>
          </w:p>
        </w:tc>
        <w:tc>
          <w:tcPr>
            <w:tcW w:w="1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19</w:t>
            </w:r>
          </w:p>
        </w:tc>
        <w:tc>
          <w:tcPr>
            <w:tcW w:w="1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29</w:t>
            </w:r>
          </w:p>
        </w:tc>
        <w:tc>
          <w:tcPr>
            <w:tcW w:w="1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12</w:t>
            </w:r>
          </w:p>
        </w:tc>
        <w:tc>
          <w:tcPr>
            <w:tcW w:w="12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40</w:t>
            </w:r>
          </w:p>
        </w:tc>
      </w:tr>
      <w:tr>
        <w:trPr>
          <w:trHeight w:val="413" w:hRule="atLeast"/>
          <w:cantSplit w:val="false"/>
        </w:trPr>
        <w:tc>
          <w:tcPr>
            <w:tcW w:w="15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b/>
              </w:rPr>
            </w:pPr>
            <w:r>
              <w:rPr>
                <w:b/>
              </w:rPr>
              <w:t>Wigtown</w:t>
            </w:r>
          </w:p>
        </w:tc>
        <w:tc>
          <w:tcPr>
            <w:tcW w:w="1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w:t>
            </w:r>
          </w:p>
        </w:tc>
        <w:tc>
          <w:tcPr>
            <w:tcW w:w="1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36</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w:t>
            </w:r>
          </w:p>
        </w:tc>
        <w:tc>
          <w:tcPr>
            <w:tcW w:w="1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14</w:t>
            </w:r>
          </w:p>
        </w:tc>
        <w:tc>
          <w:tcPr>
            <w:tcW w:w="1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23</w:t>
            </w:r>
          </w:p>
        </w:tc>
        <w:tc>
          <w:tcPr>
            <w:tcW w:w="12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27</w:t>
            </w:r>
          </w:p>
        </w:tc>
      </w:tr>
      <w:tr>
        <w:trPr>
          <w:cantSplit w:val="false"/>
        </w:trPr>
        <w:tc>
          <w:tcPr>
            <w:tcW w:w="15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b/>
              </w:rPr>
            </w:pPr>
            <w:r>
              <w:rPr>
                <w:b/>
              </w:rPr>
              <w:t>Dumfries and Galloway</w:t>
            </w:r>
          </w:p>
        </w:tc>
        <w:tc>
          <w:tcPr>
            <w:tcW w:w="1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w:t>
            </w:r>
          </w:p>
        </w:tc>
        <w:tc>
          <w:tcPr>
            <w:tcW w:w="1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28</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17</w:t>
            </w:r>
          </w:p>
        </w:tc>
        <w:tc>
          <w:tcPr>
            <w:tcW w:w="1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8</w:t>
            </w:r>
          </w:p>
        </w:tc>
        <w:tc>
          <w:tcPr>
            <w:tcW w:w="1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24</w:t>
            </w:r>
          </w:p>
        </w:tc>
        <w:tc>
          <w:tcPr>
            <w:tcW w:w="12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23</w:t>
            </w:r>
          </w:p>
        </w:tc>
      </w:tr>
      <w:tr>
        <w:trPr>
          <w:trHeight w:val="412" w:hRule="atLeast"/>
          <w:cantSplit w:val="false"/>
        </w:trPr>
        <w:tc>
          <w:tcPr>
            <w:tcW w:w="15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b/>
              </w:rPr>
            </w:pPr>
            <w:r>
              <w:rPr>
                <w:b/>
              </w:rPr>
              <w:t>Scotland</w:t>
            </w:r>
          </w:p>
        </w:tc>
        <w:tc>
          <w:tcPr>
            <w:tcW w:w="1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39</w:t>
            </w:r>
          </w:p>
        </w:tc>
        <w:tc>
          <w:tcPr>
            <w:tcW w:w="1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30</w:t>
            </w:r>
          </w:p>
        </w:tc>
        <w:tc>
          <w:tcPr>
            <w:tcW w:w="1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9</w:t>
            </w:r>
          </w:p>
        </w:tc>
        <w:tc>
          <w:tcPr>
            <w:tcW w:w="1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4</w:t>
            </w:r>
          </w:p>
        </w:tc>
        <w:tc>
          <w:tcPr>
            <w:tcW w:w="1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12</w:t>
            </w:r>
          </w:p>
        </w:tc>
        <w:tc>
          <w:tcPr>
            <w:tcW w:w="12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rPr>
            </w:pPr>
            <w:r>
              <w:rPr>
                <w:b/>
              </w:rPr>
              <w:t>7</w:t>
            </w:r>
          </w:p>
        </w:tc>
      </w:tr>
    </w:tbl>
    <w:p>
      <w:pPr>
        <w:pStyle w:val="Normal"/>
        <w:jc w:val="both"/>
        <w:rPr>
          <w:b/>
          <w:caps/>
          <w:color w:val="76923C"/>
          <w:sz w:val="20"/>
          <w:szCs w:val="20"/>
        </w:rPr>
      </w:pPr>
      <w:r>
        <w:rPr>
          <w:b/>
          <w:caps/>
          <w:color w:val="76923C"/>
          <w:sz w:val="20"/>
          <w:szCs w:val="20"/>
        </w:rPr>
        <w:t>Source: Scottish Neighbourhood Statistics</w:t>
      </w:r>
    </w:p>
    <w:sectPr>
      <w:headerReference w:type="default" r:id="rId2"/>
      <w:headerReference w:type="first" r:id="rId3"/>
      <w:type w:val="nextPage"/>
      <w:pgSz w:w="11906" w:h="16838"/>
      <w:pgMar w:left="1440" w:right="1440" w:header="708" w:top="1440" w:footer="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0</w:t>
    </w:r>
    <w: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docDefaults>
    <w:rPrDefault>
      <w:rPr>
        <w:rFonts w:ascii="Calibri" w:hAnsi="Calibri" w:eastAsia="Calibri" w:cs=""/>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800b26"/>
    <w:pPr>
      <w:widowControl/>
      <w:suppressAutoHyphens w:val="true"/>
      <w:bidi w:val="0"/>
      <w:spacing w:lineRule="atLeast" w:line="280" w:before="0" w:after="0"/>
      <w:jc w:val="left"/>
    </w:pPr>
    <w:rPr>
      <w:rFonts w:ascii="Calibri" w:hAnsi="Calibri" w:eastAsia="Calibri" w:cs="Times New Roman"/>
      <w:color w:val="00000A"/>
      <w:sz w:val="22"/>
      <w:szCs w:val="22"/>
      <w:lang w:val="en-GB" w:eastAsia="en-US" w:bidi="ar-SA"/>
    </w:rPr>
  </w:style>
  <w:style w:type="paragraph" w:styleId="Heading1">
    <w:name w:val="Heading 1"/>
    <w:uiPriority w:val="9"/>
    <w:qFormat/>
    <w:link w:val="Heading1Char"/>
    <w:rsid w:val="00ed472c"/>
    <w:basedOn w:val="Normal"/>
    <w:next w:val="Normal"/>
    <w:pPr>
      <w:keepNext/>
      <w:keepLines/>
      <w:spacing w:before="120" w:after="0"/>
      <w:outlineLvl w:val="0"/>
    </w:pPr>
    <w:rPr>
      <w:rFonts w:cs=""/>
      <w:b/>
      <w:bCs/>
      <w:caps/>
      <w:color w:val="76923C"/>
      <w:sz w:val="28"/>
      <w:szCs w:val="28"/>
    </w:rPr>
  </w:style>
  <w:style w:type="paragraph" w:styleId="Heading2">
    <w:name w:val="Heading 2"/>
    <w:uiPriority w:val="9"/>
    <w:qFormat/>
    <w:unhideWhenUsed/>
    <w:link w:val="Heading2Char"/>
    <w:rsid w:val="002d6ab3"/>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ed472c"/>
    <w:basedOn w:val="DefaultParagraphFont"/>
    <w:rPr>
      <w:rFonts w:ascii="Calibri" w:hAnsi="Calibri" w:cs=""/>
      <w:b/>
      <w:bCs/>
      <w:caps/>
      <w:color w:val="76923C"/>
      <w:sz w:val="28"/>
      <w:szCs w:val="28"/>
    </w:rPr>
  </w:style>
  <w:style w:type="character" w:styleId="Heading2Char" w:customStyle="1">
    <w:name w:val="Heading 2 Char"/>
    <w:uiPriority w:val="9"/>
    <w:link w:val="Heading2"/>
    <w:rsid w:val="002d6ab3"/>
    <w:basedOn w:val="DefaultParagraphFont"/>
    <w:rPr>
      <w:rFonts w:ascii="Cambria" w:hAnsi="Cambria" w:cs=""/>
      <w:b/>
      <w:bCs/>
      <w:color w:val="4F81BD"/>
      <w:sz w:val="26"/>
      <w:szCs w:val="26"/>
    </w:rPr>
  </w:style>
  <w:style w:type="character" w:styleId="BalloonTextChar" w:customStyle="1">
    <w:name w:val="Balloon Text Char"/>
    <w:uiPriority w:val="99"/>
    <w:semiHidden/>
    <w:link w:val="BalloonText"/>
    <w:rsid w:val="00117a4d"/>
    <w:basedOn w:val="DefaultParagraphFont"/>
    <w:rPr>
      <w:rFonts w:ascii="Tahoma" w:hAnsi="Tahoma" w:cs="Tahoma"/>
      <w:sz w:val="16"/>
      <w:szCs w:val="16"/>
    </w:rPr>
  </w:style>
  <w:style w:type="character" w:styleId="InternetLink">
    <w:name w:val="Internet Link"/>
    <w:uiPriority w:val="99"/>
    <w:unhideWhenUsed/>
    <w:rsid w:val="00a07d5d"/>
    <w:basedOn w:val="DefaultParagraphFont"/>
    <w:rPr>
      <w:color w:val="0000FF"/>
      <w:u w:val="single"/>
      <w:lang w:val="zxx" w:eastAsia="zxx" w:bidi="zxx"/>
    </w:rPr>
  </w:style>
  <w:style w:type="character" w:styleId="FootnoteTextChar" w:customStyle="1">
    <w:name w:val="Footnote Text Char"/>
    <w:uiPriority w:val="99"/>
    <w:semiHidden/>
    <w:link w:val="FootnoteText"/>
    <w:rsid w:val="00a07d5d"/>
    <w:basedOn w:val="DefaultParagraphFont"/>
    <w:rPr>
      <w:rFonts w:cs="Calibri"/>
      <w:sz w:val="20"/>
      <w:szCs w:val="20"/>
    </w:rPr>
  </w:style>
  <w:style w:type="character" w:styleId="Footnotereference">
    <w:name w:val="footnote reference"/>
    <w:uiPriority w:val="99"/>
    <w:semiHidden/>
    <w:unhideWhenUsed/>
    <w:rsid w:val="00a07d5d"/>
    <w:basedOn w:val="DefaultParagraphFont"/>
    <w:rPr>
      <w:vertAlign w:val="superscript"/>
    </w:rPr>
  </w:style>
  <w:style w:type="character" w:styleId="HeaderChar" w:customStyle="1">
    <w:name w:val="Header Char"/>
    <w:uiPriority w:val="99"/>
    <w:link w:val="Header"/>
    <w:rsid w:val="00f53c58"/>
    <w:basedOn w:val="DefaultParagraphFont"/>
    <w:rPr>
      <w:rFonts w:ascii="Calibri" w:hAnsi="Calibri" w:cs="Times New Roman"/>
    </w:rPr>
  </w:style>
  <w:style w:type="character" w:styleId="FooterChar" w:customStyle="1">
    <w:name w:val="Footer Char"/>
    <w:uiPriority w:val="99"/>
    <w:link w:val="Footer"/>
    <w:rsid w:val="00f53c58"/>
    <w:basedOn w:val="DefaultParagraphFont"/>
    <w:rPr>
      <w:rFonts w:ascii="Calibri" w:hAnsi="Calibri" w:cs="Times New Roman"/>
    </w:rPr>
  </w:style>
  <w:style w:type="character" w:styleId="FollowedHyperlink">
    <w:name w:val="FollowedHyperlink"/>
    <w:uiPriority w:val="99"/>
    <w:semiHidden/>
    <w:unhideWhenUsed/>
    <w:rsid w:val="00b61d84"/>
    <w:basedOn w:val="DefaultParagraphFont"/>
    <w:rPr>
      <w:color w:val="800080"/>
      <w:u w:val="single"/>
    </w:rPr>
  </w:style>
  <w:style w:type="character" w:styleId="ListLabel1">
    <w:name w:val="ListLabel 1"/>
    <w:rPr>
      <w:rFonts w:cs="Courier New"/>
    </w:rPr>
  </w:style>
  <w:style w:type="character" w:styleId="ListLabel2">
    <w:name w:val="ListLabel 2"/>
    <w:rPr>
      <w:rFonts w:cs="Calibri"/>
    </w:rPr>
  </w:style>
  <w:style w:type="character" w:styleId="FootnoteAnchor">
    <w:name w:val="Footnote Anchor"/>
    <w:rPr>
      <w:vertAlign w:val="superscript"/>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2d6ab3"/>
    <w:pPr>
      <w:widowControl/>
      <w:suppressAutoHyphens w:val="true"/>
      <w:bidi w:val="0"/>
      <w:spacing w:lineRule="auto" w:line="240" w:before="0" w:after="0"/>
      <w:jc w:val="left"/>
    </w:pPr>
    <w:rPr>
      <w:rFonts w:ascii="Calibri" w:hAnsi="Calibri" w:eastAsia="Calibri" w:cs=""/>
      <w:color w:val="00000A"/>
      <w:sz w:val="22"/>
      <w:szCs w:val="22"/>
      <w:lang w:val="en-GB" w:eastAsia="en-US" w:bidi="ar-SA"/>
    </w:rPr>
  </w:style>
  <w:style w:type="paragraph" w:styleId="ListParagraph">
    <w:name w:val="List Paragraph"/>
    <w:uiPriority w:val="34"/>
    <w:qFormat/>
    <w:rsid w:val="002d6ab3"/>
    <w:basedOn w:val="Normal"/>
    <w:pPr>
      <w:spacing w:lineRule="auto" w:line="240"/>
      <w:ind w:left="720" w:right="0" w:hanging="0"/>
    </w:pPr>
    <w:rPr/>
  </w:style>
  <w:style w:type="paragraph" w:styleId="ContentsHeading">
    <w:name w:val="Contents Heading"/>
    <w:uiPriority w:val="39"/>
    <w:qFormat/>
    <w:semiHidden/>
    <w:unhideWhenUsed/>
    <w:rsid w:val="002d6ab3"/>
    <w:basedOn w:val="Heading1"/>
    <w:next w:val="Normal"/>
    <w:pPr/>
    <w:rPr>
      <w:lang w:val="en-US" w:eastAsia="ja-JP"/>
    </w:rPr>
  </w:style>
  <w:style w:type="paragraph" w:styleId="BalloonText">
    <w:name w:val="Balloon Text"/>
    <w:uiPriority w:val="99"/>
    <w:semiHidden/>
    <w:unhideWhenUsed/>
    <w:link w:val="BalloonTextChar"/>
    <w:rsid w:val="00117a4d"/>
    <w:basedOn w:val="Normal"/>
    <w:pPr>
      <w:spacing w:lineRule="auto" w:line="240"/>
    </w:pPr>
    <w:rPr>
      <w:rFonts w:ascii="Tahoma" w:hAnsi="Tahoma" w:cs="Tahoma"/>
      <w:sz w:val="16"/>
      <w:szCs w:val="16"/>
    </w:rPr>
  </w:style>
  <w:style w:type="paragraph" w:styleId="Footnotetext">
    <w:name w:val="footnote text"/>
    <w:uiPriority w:val="99"/>
    <w:semiHidden/>
    <w:unhideWhenUsed/>
    <w:link w:val="FootnoteTextChar"/>
    <w:rsid w:val="00a07d5d"/>
    <w:basedOn w:val="Normal"/>
    <w:pPr>
      <w:spacing w:lineRule="auto" w:line="240"/>
    </w:pPr>
    <w:rPr>
      <w:rFonts w:ascii="Calibri" w:hAnsi="Calibri" w:cs="Calibri"/>
      <w:sz w:val="20"/>
      <w:szCs w:val="20"/>
    </w:rPr>
  </w:style>
  <w:style w:type="paragraph" w:styleId="Header">
    <w:name w:val="Header"/>
    <w:uiPriority w:val="99"/>
    <w:unhideWhenUsed/>
    <w:link w:val="HeaderChar"/>
    <w:rsid w:val="00f53c58"/>
    <w:basedOn w:val="Normal"/>
    <w:pPr>
      <w:tabs>
        <w:tab w:val="center" w:pos="4513" w:leader="none"/>
        <w:tab w:val="right" w:pos="9026" w:leader="none"/>
      </w:tabs>
      <w:spacing w:lineRule="auto" w:line="240"/>
    </w:pPr>
    <w:rPr/>
  </w:style>
  <w:style w:type="paragraph" w:styleId="Footer">
    <w:name w:val="Footer"/>
    <w:uiPriority w:val="99"/>
    <w:unhideWhenUsed/>
    <w:link w:val="FooterChar"/>
    <w:rsid w:val="00f53c58"/>
    <w:basedOn w:val="Normal"/>
    <w:pPr>
      <w:tabs>
        <w:tab w:val="center" w:pos="4513" w:leader="none"/>
        <w:tab w:val="right" w:pos="9026" w:leader="none"/>
      </w:tabs>
      <w:spacing w:lineRule="auto" w:line="240"/>
    </w:pPr>
    <w:rPr/>
  </w:style>
  <w:style w:type="paragraph" w:styleId="Contents1">
    <w:name w:val="Contents 1"/>
    <w:uiPriority w:val="39"/>
    <w:unhideWhenUsed/>
    <w:rsid w:val="002a4178"/>
    <w:basedOn w:val="Normal"/>
    <w:next w:val="Normal"/>
    <w:autoRedefine/>
    <w:pPr>
      <w:spacing w:before="0" w:after="100"/>
    </w:pPr>
    <w:rPr/>
  </w:style>
  <w:style w:type="paragraph" w:styleId="Footnote">
    <w:name w:val="Footnote"/>
    <w:basedOn w:val="Normal"/>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117a4d"/>
    <w:pPr>
      <w:spacing w:lineRule="auto" w:after="0" w:line="24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customStyle="1" w:styleId="TableGrid1">
    <w:name w:val="Table Grid1"/>
    <w:basedOn w:val="TableNormal"/>
    <w:uiPriority w:val="59"/>
    <w:rsid w:val="00a07d5d"/>
    <w:pPr>
      <w:spacing w:lineRule="auto" w:after="0" w:line="240"/>
    </w:pPr>
    <w:rPr>
      <w:rFonts w:eastAsiaTheme="minorHAnsi"/>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customStyle="1" w:styleId="TableGrid2">
    <w:name w:val="Table Grid2"/>
    <w:basedOn w:val="TableNormal"/>
    <w:uiPriority w:val="59"/>
    <w:rsid w:val="00871de1"/>
    <w:pPr>
      <w:spacing w:lineRule="auto" w:after="0" w:line="240"/>
    </w:pPr>
    <w:rPr>
      <w:rFonts w:eastAsiaTheme="minorHAnsi"/>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customStyle="1" w:styleId="TableGrid3">
    <w:name w:val="Table Grid3"/>
    <w:basedOn w:val="TableNormal"/>
    <w:uiPriority w:val="59"/>
    <w:rsid w:val="00871de1"/>
    <w:pPr>
      <w:spacing w:lineRule="auto" w:after="0" w:line="240"/>
    </w:pPr>
    <w:rPr>
      <w:rFonts w:eastAsiaTheme="minorHAnsi"/>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8A921-D4AE-46A4-B3B9-55A582F91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2014-03-21T14:07:00Z</dcterms:created>
  <dc:creator>David Clelland</dc:creator>
  <dc:language>en-GB</dc:language>
  <cp:lastModifiedBy>David Clelland</cp:lastModifiedBy>
  <cp:lastPrinted>2014-06-03T10:09:00Z</cp:lastPrinted>
  <dcterms:modified xsi:type="dcterms:W3CDTF">2014-06-13T14:45:00Z</dcterms:modified>
  <cp:revision>171</cp:revision>
</cp:coreProperties>
</file>