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Plus Jakarta Sans" w:hAnsi="Plus Jakarta Sans"/>
          <w:b/>
          <w:color w:val="262B4A"/>
          <w:sz w:val="44"/>
        </w:rPr>
        <w:t>📱 09 · Low-Fidelity &amp; High-Level (Hi-Fi) Interactive Prototypes</w:t>
      </w:r>
    </w:p>
    <w:p>
      <w:pPr>
        <w:spacing w:after="280"/>
      </w:pPr>
      <w:r>
        <w:rPr>
          <w:rFonts w:ascii="Plus Jakarta Sans" w:hAnsi="Plus Jakarta Sans"/>
          <w:b/>
          <w:color w:val="DE8BA8"/>
          <w:sz w:val="24"/>
        </w:rPr>
        <w:t>ReRouteHer — AI-Powered Skill Readiness &amp; Career Re-entry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0F4"/>
            <w:tcBorders>
              <w:left w:val="single" w:sz="32" w:space="0" w:color="DE8BA8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262B4A"/>
              </w:rPr>
              <w:t xml:space="preserve">Course / Team Code: </w:t>
            </w:r>
            <w:r>
              <w:t>5120-TM07</w:t>
              <w:br/>
            </w:r>
            <w:r>
              <w:rPr>
                <w:b/>
                <w:color w:val="262B4A"/>
              </w:rPr>
              <w:t xml:space="preserve">Figma Canvas: </w:t>
            </w:r>
            <w:r>
              <w:t>https://www.figma.com/design/wwl5kUAg2RJF8anRURdf1n/5120-TM07</w:t>
              <w:br/>
            </w:r>
            <w:r>
              <w:rPr>
                <w:b/>
                <w:color w:val="262B4A"/>
              </w:rPr>
              <w:t xml:space="preserve">Live Interactive Prototype: </w:t>
            </w:r>
            <w:r>
              <w:t>https://prototype.curl.my/</w:t>
              <w:br/>
            </w:r>
            <w:r>
              <w:rPr>
                <w:b/>
                <w:color w:val="262B4A"/>
              </w:rPr>
              <w:t xml:space="preserve">GitHub Repositories: </w:t>
            </w:r>
            <w:r>
              <w:t>ryus0006/rerouteher-ui &amp; ncm233/reroutehers-prototype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262B4A"/>
          <w:sz w:val="30"/>
        </w:rPr>
        <w:t>1. Executive Summary &amp; Prototyping Objectives</w:t>
      </w:r>
    </w:p>
    <w:p>
      <w:r>
        <w:t xml:space="preserve">Returning to formal employment after a prolonged caregiving career break is fraught with severe emotional and cognitive hurdles: returners frequently experience </w:t>
      </w:r>
      <w:r>
        <w:rPr>
          <w:b/>
        </w:rPr>
        <w:t>imposter syndrome</w:t>
      </w:r>
      <w:r>
        <w:t xml:space="preserve">, struggle to articulate their transferable capabilities, and encounter a </w:t>
      </w:r>
      <w:r>
        <w:rPr>
          <w:b/>
        </w:rPr>
        <w:t>"wall of 20+ overwhelming job requirements"</w:t>
      </w:r>
      <w:r>
        <w:t xml:space="preserve"> on traditional job boards.</w:t>
      </w:r>
    </w:p>
    <w:p>
      <w:r>
        <w:rPr>
          <w:b/>
          <w:color w:val="DE8BA8"/>
        </w:rPr>
        <w:t>ReRouteHer</w:t>
      </w:r>
      <w:r>
        <w:t xml:space="preserve"> addresses this gap through an empathy-led, data-backed career re-entry readiness engine. The prototyping phase followed an iterative double-diamond design lifecycle, progressing from conceptual low-fidelity (Lo-Fi) structural wireframes to a high-level, interactive high-fidelity (Hi-Fi) prototype.</w:t>
      </w:r>
    </w:p>
    <w:p>
      <w:pPr>
        <w:spacing w:before="320" w:after="120"/>
      </w:pPr>
      <w:r>
        <w:rPr>
          <w:b/>
          <w:color w:val="262B4A"/>
          <w:sz w:val="30"/>
        </w:rPr>
        <w:t>2. Low-Fidelity (Lo-Fi) Prototypes &amp; Wireframe Architecture</w:t>
      </w:r>
    </w:p>
    <w:p>
      <w:pPr>
        <w:spacing w:before="160" w:after="80"/>
      </w:pPr>
      <w:r>
        <w:rPr>
          <w:b/>
          <w:color w:val="3B4B7C"/>
          <w:sz w:val="25"/>
        </w:rPr>
        <w:t>2.1 Design Rationale &amp; Information Hierarchy</w:t>
      </w:r>
    </w:p>
    <w:p>
      <w:r>
        <w:t>The initial low-fidelity wireframes established the foundational four-step sequential journey, deliberately stripping away visual embellishments to validate three core design hypotheses:</w:t>
      </w:r>
    </w:p>
    <w:p>
      <w:pPr>
        <w:pStyle w:val="ListBullet"/>
        <w:spacing w:after="60"/>
      </w:pPr>
      <w:r>
        <w:rPr>
          <w:b/>
          <w:color w:val="262B4A"/>
        </w:rPr>
        <w:t xml:space="preserve">Zero-Friction Intake: </w:t>
      </w:r>
      <w:r>
        <w:t>Eliminating multi-page tedious questionnaires in favor of an automated 2-step input (CV document parsing + natural language career break description).</w:t>
      </w:r>
    </w:p>
    <w:p>
      <w:pPr>
        <w:pStyle w:val="ListBullet"/>
        <w:spacing w:after="60"/>
      </w:pPr>
      <w:r>
        <w:rPr>
          <w:b/>
          <w:color w:val="262B4A"/>
        </w:rPr>
        <w:t xml:space="preserve">Reflective vs. Exploratory Separation: </w:t>
      </w:r>
      <w:r>
        <w:t>Separating the historical baseline (Skill Snapshot — where she is coming from) from the aspirational target (Target Role &amp; Gap — where she wants to aim).</w:t>
      </w:r>
    </w:p>
    <w:p>
      <w:pPr>
        <w:pStyle w:val="ListBullet"/>
        <w:spacing w:after="60"/>
      </w:pPr>
      <w:r>
        <w:rPr>
          <w:b/>
          <w:color w:val="262B4A"/>
        </w:rPr>
        <w:t xml:space="preserve">Anti-Overwhelm Focus: </w:t>
      </w:r>
      <w:r>
        <w:t>Guaranteeing a strict maximum cap of 3 actionable focus areas, replacing demoralizing comprehensive requirement checklists.</w:t>
      </w:r>
    </w:p>
    <w:p>
      <w:pPr>
        <w:spacing w:after="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5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fi_prototypes_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086"/>
          <w:sz w:val="18"/>
        </w:rPr>
        <w:t>Figure 1: ReRouteHer Low-Fidelity (Lo-Fi) Wireframe Architecture Board (4-Step Sequential UX Flow)</w:t>
      </w:r>
    </w:p>
    <w:p>
      <w:pPr>
        <w:spacing w:before="160" w:after="80"/>
      </w:pPr>
      <w:r>
        <w:rPr>
          <w:b/>
          <w:color w:val="3B4B7C"/>
          <w:sz w:val="25"/>
        </w:rPr>
        <w:t>2.2 Screen-by-Screen Lo-Fi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2E0"/>
          <w:bottom w:val="single" w:sz="8" w:space="0" w:color="3B4B7C"/>
          <w:insideH w:val="single" w:sz="4" w:space="0" w:color="D6D2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Lo-Fi Screen Name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Functional Modules &amp; Layout Strategy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User Experience Intent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01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Landing Page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• Minimalist top navigation with brand mark</w:t>
              <w:br/>
              <w:t>• Hero header with bold value proposition</w:t>
              <w:br/>
              <w:t>• Prominent primary CTA button ('Start Your Journey')</w:t>
              <w:br/>
              <w:t>• 3-column value cards (Break Experience, Weighted Score, Top 3 Focus)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Instills immediate confidence and sets clear expectations of zero manual friction.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02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Profile &amp; Experience Intake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• Drag-and-drop CV upload dropzone (PDF/DOCX)</w:t>
              <w:br/>
              <w:t>• Duration selector (0.5 to 15 years)</w:t>
              <w:br/>
              <w:t>• Free-text multi-line textarea with example suggestion chips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Bypasses repetitive form fields, allowing returners to express real-world experiences in their own words.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03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Baseline Skill Snapshot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• Non-locking 'Background Baseline' header</w:t>
              <w:br/>
              <w:t>• Two-column skill container: Extracted CV Skills vs. Reframed Break Skills</w:t>
              <w:br/>
              <w:t>• O*NET crosswalk indicator badge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8"/>
              </w:rPr>
              <w:t>Validates both professional achievements and caregiving competencies on an equal footing.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04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Target Role &amp; Gap Analysis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• Interactive target role selector tabs</w:t>
              <w:br/>
              <w:t>• Semicircular readiness gauge displaying current baseline %</w:t>
              <w:br/>
              <w:t>• Capped Top 3 focus areas with projected readiness boost tags</w:t>
              <w:br/>
              <w:t>• 'Explore Upskilling Paths' CTA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8"/>
              </w:rPr>
              <w:t>Replaces failure anxiety with an actionable, bite-sized growth plan.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262B4A"/>
          <w:sz w:val="30"/>
        </w:rPr>
        <w:t>3. High-Fidelity (Hi-Fi) Interactive Prototype</w:t>
      </w:r>
    </w:p>
    <w:p>
      <w:r>
        <w:t>The high-fidelity prototype transforms the validated wireframes into a soothing, empowering, state-of-the-art interactive web application built with modern glassmorphism aesthetics and data-backed O*NET taxonomic mapping.</w:t>
      </w:r>
    </w:p>
    <w:p>
      <w:pPr>
        <w:spacing w:after="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5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fi_prototypes_showcas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086"/>
          <w:sz w:val="18"/>
        </w:rPr>
        <w:t>Figure 2: ReRouteHer High-Fidelity (Hi-Fi) UI Showcase (Ethereal Butterfly Theme &amp; Glassmorphism System)</w:t>
      </w:r>
    </w:p>
    <w:p>
      <w:pPr>
        <w:spacing w:before="160" w:after="80"/>
      </w:pPr>
      <w:r>
        <w:rPr>
          <w:b/>
          <w:color w:val="3B4B7C"/>
          <w:sz w:val="25"/>
        </w:rPr>
        <w:t>3.1 Design System &amp; Visual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2E0"/>
          <w:bottom w:val="single" w:sz="8" w:space="0" w:color="3B4B7C"/>
          <w:insideH w:val="single" w:sz="4" w:space="0" w:color="D6D2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Token Name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Hex Code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Tailwind / CSS Var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Semantics &amp; Psychological Function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Primary Blush Pink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#DE8BA8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--pink-500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Metamorphosis, empathy, primary gradient CTA button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Soft Lavender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#B4A2D4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--violet-400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Transmutation, cognitive calming, ethereal depth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Periwinkle Blue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#7E92CA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--blue-600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Trust, professional stability, technical skill tags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Mint Green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#337857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--mint-600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O*NET validated break achievements, high confidence badge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Amber Gold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#96540D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--amber-700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Priority focus area uplift badges (+% gain)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Midnight Ink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#262B4A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--ink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High-contrast primary typography &amp; UI structure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Frosted Canvas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#FCF8FA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--grad-soft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Multi-stop ethereal soft gradient page background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b/>
          <w:color w:val="3B4B7C"/>
          <w:sz w:val="25"/>
        </w:rPr>
        <w:t>3.2 Detailed Screen-by-Screen Hi-Fi Specifications</w:t>
      </w:r>
    </w:p>
    <w:p>
      <w:pPr>
        <w:spacing w:before="120" w:after="40"/>
      </w:pPr>
      <w:r>
        <w:rPr>
          <w:b/>
          <w:color w:val="3B4B7C"/>
          <w:sz w:val="22"/>
        </w:rPr>
        <w:t>Screen 1 · Landing Page (E1)</w:t>
      </w:r>
    </w:p>
    <w:p>
      <w:pPr>
        <w:pStyle w:val="ListBullet"/>
        <w:spacing w:after="40"/>
      </w:pPr>
      <w:r>
        <w:rPr>
          <w:b/>
          <w:color w:val="262B4A"/>
        </w:rPr>
        <w:t xml:space="preserve">Hero Artwork: </w:t>
      </w:r>
      <w:r>
        <w:t>Ethereal multi-layered butterfly oil painting with radial alpha-mask gradient blending (85% opacity).</w:t>
      </w:r>
    </w:p>
    <w:p>
      <w:pPr>
        <w:pStyle w:val="ListBullet"/>
        <w:spacing w:after="40"/>
      </w:pPr>
      <w:r>
        <w:rPr>
          <w:b/>
          <w:color w:val="262B4A"/>
        </w:rPr>
        <w:t xml:space="preserve">Journey Rail: </w:t>
      </w:r>
      <w:r>
        <w:t>3-step interactive visual progress stepper (Upload CV ➔ Describe Break ➔ See Fit &amp; Top Gaps).</w:t>
      </w:r>
    </w:p>
    <w:p>
      <w:pPr>
        <w:pStyle w:val="ListBullet"/>
        <w:spacing w:after="40"/>
      </w:pPr>
      <w:r>
        <w:rPr>
          <w:b/>
          <w:color w:val="262B4A"/>
        </w:rPr>
        <w:t xml:space="preserve">Parallax Dynamics: </w:t>
      </w:r>
      <w:r>
        <w:t>Smooth GSAP &amp; ScrollTrigger orbital physics and soft floating star highlights.</w:t>
      </w:r>
    </w:p>
    <w:p>
      <w:pPr>
        <w:spacing w:before="120" w:after="40"/>
      </w:pPr>
      <w:r>
        <w:rPr>
          <w:b/>
          <w:color w:val="3B4B7C"/>
          <w:sz w:val="22"/>
        </w:rPr>
        <w:t>Screen 2 · Two-Stage Intake Flow (E2a &amp; E2b)</w:t>
      </w:r>
    </w:p>
    <w:p>
      <w:pPr>
        <w:pStyle w:val="ListBullet"/>
        <w:spacing w:after="40"/>
      </w:pPr>
      <w:r>
        <w:rPr>
          <w:b/>
          <w:color w:val="262B4A"/>
        </w:rPr>
        <w:t xml:space="preserve">Stage 1 (CV Dropzone): </w:t>
      </w:r>
      <w:r>
        <w:t>Client-side validated file dropzone (.pdf/.docx, &lt;=10MB) with sample resume fast-loaders.</w:t>
      </w:r>
    </w:p>
    <w:p>
      <w:pPr>
        <w:pStyle w:val="ListBullet"/>
        <w:spacing w:after="40"/>
      </w:pPr>
      <w:r>
        <w:rPr>
          <w:b/>
          <w:color w:val="262B4A"/>
        </w:rPr>
        <w:t xml:space="preserve">Stage 2 (Career Break NLP): </w:t>
      </w:r>
      <w:r>
        <w:t>Dual-input system featuring a duration slider (0.5 to 15 years) and a natural language textarea with instant suggestion chips (+Childcare, +Budgeting, +Volunteering, +Self-study).</w:t>
      </w:r>
    </w:p>
    <w:p>
      <w:pPr>
        <w:spacing w:before="120" w:after="40"/>
      </w:pPr>
      <w:r>
        <w:rPr>
          <w:b/>
          <w:color w:val="3B4B7C"/>
          <w:sz w:val="22"/>
        </w:rPr>
        <w:t>Screen 3 · Read-Only Skill Snapshot (E3)</w:t>
      </w:r>
    </w:p>
    <w:p>
      <w:pPr>
        <w:pStyle w:val="ListBullet"/>
        <w:spacing w:after="40"/>
      </w:pPr>
      <w:r>
        <w:rPr>
          <w:b/>
          <w:color w:val="262B4A"/>
        </w:rPr>
        <w:t xml:space="preserve">Occupation Baseline Card: </w:t>
      </w:r>
      <w:r>
        <w:t>Displays classifier-matched role (e.g. 'Operation Research Analyst') with a 'High confidence match' mint badge, emphasizing a non-binding historical reflection.</w:t>
      </w:r>
    </w:p>
    <w:p>
      <w:pPr>
        <w:pStyle w:val="ListBullet"/>
        <w:spacing w:after="40"/>
      </w:pPr>
      <w:r>
        <w:rPr>
          <w:b/>
          <w:color w:val="262B4A"/>
        </w:rPr>
        <w:t xml:space="preserve">Two-Column Skill Inventory: </w:t>
      </w:r>
      <w:r>
        <w:t>Compact pill chips ('SkillChip') displaying Extracted CV Skills (with hover evidence tooltips and &gt;12 collapse toggle) alongside Reframed Break Skills (mint green O*NET verified tags).</w:t>
      </w:r>
    </w:p>
    <w:p>
      <w:pPr>
        <w:pStyle w:val="ListBullet"/>
        <w:spacing w:after="40"/>
      </w:pPr>
      <w:r>
        <w:rPr>
          <w:b/>
          <w:color w:val="262B4A"/>
        </w:rPr>
        <w:t xml:space="preserve">Crosswalk Bridge Banner: </w:t>
      </w:r>
      <w:r>
        <w:t>Interactive banner detailing how natural language break inputs map directly into standard O*NET competency taxonomies.</w:t>
      </w:r>
    </w:p>
    <w:p>
      <w:pPr>
        <w:spacing w:before="120" w:after="40"/>
      </w:pPr>
      <w:r>
        <w:rPr>
          <w:b/>
          <w:color w:val="3B4B7C"/>
          <w:sz w:val="22"/>
        </w:rPr>
        <w:t>Screen 4 · Target Role &amp; Readiness Gap Diagnostic Engine (E4)</w:t>
      </w:r>
    </w:p>
    <w:p>
      <w:pPr>
        <w:pStyle w:val="ListBullet"/>
        <w:spacing w:after="40"/>
      </w:pPr>
      <w:r>
        <w:rPr>
          <w:b/>
          <w:color w:val="262B4A"/>
        </w:rPr>
        <w:t xml:space="preserve">Interactive Role Selector: </w:t>
      </w:r>
      <w:r>
        <w:t>Pill tabs enabling instantaneous switching between target roles (Operation Research Analyst, Data Analyst, MIS Analyst, UX/UI).</w:t>
      </w:r>
    </w:p>
    <w:p>
      <w:pPr>
        <w:pStyle w:val="ListBullet"/>
        <w:spacing w:after="40"/>
      </w:pPr>
      <w:r>
        <w:rPr>
          <w:b/>
          <w:color w:val="262B4A"/>
        </w:rPr>
        <w:t xml:space="preserve">210° Arc Readiness Gauge: </w:t>
      </w:r>
      <w:r>
        <w:t>Animated SVG sweep gauge indicating '62.6% READY TODAY' paired with a high-visibility summary: '62.6% today → 84.3% after your focus areas'.</w:t>
      </w:r>
    </w:p>
    <w:p>
      <w:pPr>
        <w:pStyle w:val="ListBullet"/>
        <w:spacing w:after="40"/>
      </w:pPr>
      <w:r>
        <w:rPr>
          <w:b/>
          <w:color w:val="262B4A"/>
        </w:rPr>
        <w:t xml:space="preserve">Prioritized Top 3 Focus Areas: </w:t>
      </w:r>
      <w:r>
        <w:t>Ranked high-impact requirements (e.g. 1. Mathematics +6.7%, 2. AI Assistants +7.5%, 3. Verify AI Output +7.5%) with guaranteed role-skill vs AI-literacy balancing.</w:t>
      </w:r>
    </w:p>
    <w:p>
      <w:pPr>
        <w:pStyle w:val="ListBullet"/>
        <w:spacing w:after="40"/>
      </w:pPr>
      <w:r>
        <w:rPr>
          <w:b/>
          <w:color w:val="262B4A"/>
        </w:rPr>
        <w:t xml:space="preserve">Transparent Weighting Card: </w:t>
      </w:r>
      <w:r>
        <w:t>Explains why the percentage score is importance-weighted rather than a raw ratio count, building genuine trust.</w:t>
      </w:r>
    </w:p>
    <w:p>
      <w:pPr>
        <w:spacing w:after="120"/>
      </w:pPr>
    </w:p>
    <w:p>
      <w:pPr>
        <w:spacing w:before="320" w:after="120"/>
      </w:pPr>
      <w:r>
        <w:rPr>
          <w:b/>
          <w:color w:val="262B4A"/>
          <w:sz w:val="30"/>
        </w:rPr>
        <w:t>4. Usability Testing &amp; Iterative Design Refinement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2E0"/>
          <w:bottom w:val="single" w:sz="8" w:space="0" w:color="3B4B7C"/>
          <w:insideH w:val="single" w:sz="4" w:space="0" w:color="D6D2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Iteration Phase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Identified User Pain Point / Feedback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262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Implemented Design Solution in Hi-Fi Prototype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Lo-Fi Concept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Generic role selection felt restrictive and forced returners into boxes prematurely.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Introduced the Read-Only Skill Snapshot step as a reflective baseline before prompting role selection.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Initial Hi-Fi (v1.0)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AI literacy skills flooded the focus list, crowding out essential domain technical skills.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Engineered the pickFocusAreas algorithm: guarantees 1 AI-literacy slot and reserves remaining slots for core domain role skills.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User Feedback (v1.1)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Long CV skill lists created vertical scrolling clutter and cognitive fatigue.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DFBFC"/>
          </w:tcPr>
          <w:p>
            <w:pPr>
              <w:spacing w:after="0"/>
            </w:pPr>
            <w:r>
              <w:rPr>
                <w:color w:val="262B4A"/>
                <w:sz w:val="17"/>
              </w:rPr>
              <w:t>Created compact pill chips ('SkillChip') with hover evidence tooltips and a 'Show all / Show fewer' collapse toggle.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Team Review (v2.0)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Perceived disconnect between raw skill count (e.g. 7 of 10) and percentage readiness (62.6%).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8F5FA"/>
          </w:tcPr>
          <w:p>
            <w:pPr>
              <w:spacing w:after="0"/>
            </w:pPr>
            <w:r>
              <w:rPr>
                <w:color w:val="262B4A"/>
                <w:sz w:val="17"/>
              </w:rPr>
              <w:t>Added the Importance-Weighted Formula Card, clearly explaining weighting factors and O*NET skill benchmarks.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262B4A"/>
          <w:sz w:val="30"/>
        </w:rPr>
        <w:t>5. Deliverable Links &amp; Interactive Prototype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EF3E7"/>
            <w:tcBorders>
              <w:left w:val="single" w:sz="32" w:space="0" w:color="235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235C41"/>
              </w:rPr>
              <w:t xml:space="preserve">🌐 Live Deployed Prototype URL: </w:t>
            </w:r>
            <w:r>
              <w:t>https://prototype.curl.my/</w:t>
              <w:br/>
              <w:br/>
            </w:r>
            <w:r>
              <w:rPr>
                <w:b/>
                <w:color w:val="235C41"/>
              </w:rPr>
              <w:t xml:space="preserve">🎨 Figma Interactive Design Canvas: </w:t>
            </w:r>
            <w:r>
              <w:t>https://www.figma.com/design/wwl5kUAg2RJF8anRURdf1n/5120-TM07?node-id=0-1&amp;t=8vvvEvjkLIAUzMhL-1</w:t>
              <w:br/>
              <w:br/>
            </w:r>
            <w:r>
              <w:rPr>
                <w:b/>
                <w:color w:val="235C41"/>
              </w:rPr>
              <w:t>💻 Local Development &amp; Execution Commands:</w:t>
              <w:br/>
            </w:r>
            <w:r>
              <w:t>• Install dependencies: npm install</w:t>
              <w:br/>
              <w:t>• Start development server: npm run dev (http://localhost:5173)</w:t>
              <w:br/>
              <w:t>• Run unit test suite: npm run test:unit (26 passing tests)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Plus Jakarta Sans" w:hAnsi="Plus Jakarta Sans"/>
      <w:color w:val="262B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