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40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Ilu</w:t>
      </w:r>
      <w:r>
        <w:t xml:space="preserve"> </w:t>
      </w:r>
      <w:r>
        <w:t xml:space="preserve">jest</w:t>
      </w:r>
      <w:r>
        <w:t xml:space="preserve"> </w:t>
      </w:r>
      <w:r>
        <w:t xml:space="preserve">w Polsce</w:t>
      </w:r>
      <w:r>
        <w:t xml:space="preserve"> </w:t>
      </w:r>
      <w:r>
        <w:t xml:space="preserve">cudzoziemców?</w:t>
      </w:r>
      <w:r>
        <w:t xml:space="preserve"> </w:t>
      </w:r>
      <w:r>
        <w:t xml:space="preserve">Ujęcie</w:t>
      </w:r>
      <w:r>
        <w:t xml:space="preserve"> </w:t>
      </w:r>
      <w:r>
        <w:t xml:space="preserve">statystyczne</w:t>
      </w:r>
      <w:r>
        <w:t xml:space="preserve"> </w:t>
      </w:r>
      <w:r>
        <w:t xml:space="preserve">i</w:t>
      </w:r>
      <w:r>
        <w:t xml:space="preserve"> </w:t>
      </w:r>
      <w:r>
        <w:t xml:space="preserve">ekonomiczne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Maciej</w:t>
      </w:r>
      <w:r>
        <w:t xml:space="preserve"> </w:t>
      </w:r>
      <w:r>
        <w:t xml:space="preserve">Beręsewicz,</w:t>
      </w:r>
      <w:r>
        <w:t xml:space="preserve"> </w:t>
      </w:r>
      <w:r>
        <w:t xml:space="preserve">prof.</w:t>
      </w:r>
      <w:r>
        <w:t xml:space="preserve"> </w:t>
      </w:r>
      <w:r>
        <w:t xml:space="preserve">UEP</w:t>
      </w:r>
    </w:p>
    <w:bookmarkStart w:id="20" w:name="wprowadzenie"/>
    <w:p>
      <w:pPr>
        <w:pStyle w:val="Heading1"/>
      </w:pPr>
      <w:r>
        <w:t xml:space="preserve">1. Wprowadzenie</w:t>
      </w:r>
    </w:p>
    <w:p>
      <w:pPr>
        <w:pStyle w:val="FirstParagraph"/>
      </w:pPr>
      <w:r>
        <w:t xml:space="preserve">Jednym z kluczowych zagadnień w statystyce publicznej stanowiących</w:t>
      </w:r>
      <w:r>
        <w:t xml:space="preserve"> </w:t>
      </w:r>
      <w:r>
        <w:t xml:space="preserve">istotne wyzwanie metodologiczne jest estymacja wielkości populacji.</w:t>
      </w:r>
      <w:r>
        <w:t xml:space="preserve"> </w:t>
      </w:r>
      <w:r>
        <w:t xml:space="preserve">Informacja o liczbie osób mieszkających w danym kraju lub regionie, czy</w:t>
      </w:r>
      <w:r>
        <w:t xml:space="preserve"> </w:t>
      </w:r>
      <w:r>
        <w:t xml:space="preserve">też stanowiących populację określoną w inny sposób aniżeli</w:t>
      </w:r>
      <w:r>
        <w:t xml:space="preserve"> </w:t>
      </w:r>
      <w:r>
        <w:t xml:space="preserve">przestrzennie, ma bowiem istotny wpływ na wiele aspektów życia, takich</w:t>
      </w:r>
      <w:r>
        <w:t xml:space="preserve"> </w:t>
      </w:r>
      <w:r>
        <w:t xml:space="preserve">jak podział funduszy europejskich, środków na ochronę zdrowia czy</w:t>
      </w:r>
      <w:r>
        <w:t xml:space="preserve"> </w:t>
      </w:r>
      <w:r>
        <w:t xml:space="preserve">kalkulację PKB. Jednocześnie strategia i wizja rozwoju spisów</w:t>
      </w:r>
      <w:r>
        <w:t xml:space="preserve"> </w:t>
      </w:r>
      <w:r>
        <w:t xml:space="preserve">powszechnych formułowana przez Eurostat kładzie główny nacisk na ideę</w:t>
      </w:r>
      <w:r>
        <w:t xml:space="preserve"> </w:t>
      </w:r>
      <w:r>
        <w:t xml:space="preserve">odejścia od tradycyjnego spisu organizowanego w odstępach</w:t>
      </w:r>
      <w:r>
        <w:t xml:space="preserve"> </w:t>
      </w:r>
      <w:r>
        <w:t xml:space="preserve">dziesięcioletnich na rzecz kroczącego spisu wirtualnego bazującego na</w:t>
      </w:r>
      <w:r>
        <w:t xml:space="preserve"> </w:t>
      </w:r>
      <w:r>
        <w:t xml:space="preserve">źródłach administracyjnych uzupełnionych o badania reprezentacyjne.</w:t>
      </w:r>
      <w:r>
        <w:t xml:space="preserve"> </w:t>
      </w:r>
      <w:r>
        <w:t xml:space="preserve">Powyższe działania są wynikiem funkcjonowania w statystyce publicznej</w:t>
      </w:r>
      <w:r>
        <w:t xml:space="preserve"> </w:t>
      </w:r>
      <w:r>
        <w:t xml:space="preserve">nowego paradygmatu, w którym kładzie się nacisk na ponowne wykorzystanie</w:t>
      </w:r>
      <w:r>
        <w:t xml:space="preserve"> </w:t>
      </w:r>
      <w:r>
        <w:t xml:space="preserve">wszystkich dostępnych źródeł danych zamiast tworzenia nowych.</w:t>
      </w:r>
    </w:p>
    <w:p>
      <w:pPr>
        <w:pStyle w:val="BodyText"/>
      </w:pPr>
      <w:r>
        <w:t xml:space="preserve">Wykorzystanie ,,niestatystycznych’’ źródeł danych prowadzi jednak do</w:t>
      </w:r>
      <w:r>
        <w:t xml:space="preserve"> </w:t>
      </w:r>
      <w:r>
        <w:t xml:space="preserve">powstania problemów natury metodologicznej. Jako przykład można podać</w:t>
      </w:r>
      <w:r>
        <w:t xml:space="preserve"> </w:t>
      </w:r>
      <w:r>
        <w:t xml:space="preserve">zrealizowaną przez GUS pracę eksperymentalną ,,Populacja cudzoziemców w</w:t>
      </w:r>
      <w:r>
        <w:t xml:space="preserve"> </w:t>
      </w:r>
      <w:r>
        <w:t xml:space="preserve">Polsce w czasie COVID-19’’</w:t>
      </w:r>
      <w:r>
        <w:t xml:space="preserve"> </w:t>
      </w:r>
      <w:r>
        <w:t xml:space="preserve">(Główny Urząd Statystyczny 2020)</w:t>
      </w:r>
      <w:r>
        <w:t xml:space="preserve">, w której w oparciu o</w:t>
      </w:r>
      <w:r>
        <w:t xml:space="preserve"> </w:t>
      </w:r>
      <w:r>
        <w:t xml:space="preserve">dziewięć rejestrów administracyjnych oszacowano, że w dniu w dniu</w:t>
      </w:r>
      <w:r>
        <w:t xml:space="preserve"> </w:t>
      </w:r>
      <w:r>
        <w:t xml:space="preserve">31.12.2019 w Polsce przebywało 2,1 mln. obcokrajowców. Można zadać</w:t>
      </w:r>
      <w:r>
        <w:t xml:space="preserve"> </w:t>
      </w:r>
      <w:r>
        <w:t xml:space="preserve">pytanie, jak bliska prawdy jest ta wartość? Jaki wpływ na ten szacunek</w:t>
      </w:r>
      <w:r>
        <w:t xml:space="preserve"> </w:t>
      </w:r>
      <w:r>
        <w:t xml:space="preserve">mają błędy nielosowe i w jaki sposób możemy go ewentualnie skorygować?</w:t>
      </w:r>
      <w:r>
        <w:t xml:space="preserve"> </w:t>
      </w:r>
      <w:r>
        <w:t xml:space="preserve">Ważna jest również kwestia precyzji uzyskanych szacunków i sposobu jej</w:t>
      </w:r>
      <w:r>
        <w:t xml:space="preserve"> </w:t>
      </w:r>
      <w:r>
        <w:t xml:space="preserve">wyznaczania. Z ekonomicznego punktu widzenia kluczowa jest bowiem</w:t>
      </w:r>
      <w:r>
        <w:t xml:space="preserve"> </w:t>
      </w:r>
      <w:r>
        <w:t xml:space="preserve">wiarygodność szacunków wskaźników, takich jak stopa bezrobocia czy PKB.</w:t>
      </w:r>
      <w:r>
        <w:t xml:space="preserve"> </w:t>
      </w:r>
      <w:r>
        <w:t xml:space="preserve">Służy ona bowiem do oceny tego, w jakim stopniu poszerzają one wiedzę</w:t>
      </w:r>
      <w:r>
        <w:t xml:space="preserve"> </w:t>
      </w:r>
      <w:r>
        <w:t xml:space="preserve">z zakresu sytuacji gospodarczej. Z tej perspektywy istotne jest zatem</w:t>
      </w:r>
      <w:r>
        <w:t xml:space="preserve"> </w:t>
      </w:r>
      <w:r>
        <w:t xml:space="preserve">określenie, na ile informacje zawarte w rejestrach administracyjnych są</w:t>
      </w:r>
      <w:r>
        <w:t xml:space="preserve"> </w:t>
      </w:r>
      <w:r>
        <w:t xml:space="preserve">wystarczające jako źródło wiedzy. Uzyskanie odpowiedzi na wyżej</w:t>
      </w:r>
      <w:r>
        <w:t xml:space="preserve"> </w:t>
      </w:r>
      <w:r>
        <w:t xml:space="preserve">postawione pytania z jednej strony wypełni lukę metodologiczną, z</w:t>
      </w:r>
      <w:r>
        <w:t xml:space="preserve"> </w:t>
      </w:r>
      <w:r>
        <w:t xml:space="preserve">drugiej zaś strony służyć będzie wypracowaniu metodyki estymacji</w:t>
      </w:r>
      <w:r>
        <w:t xml:space="preserve"> </w:t>
      </w:r>
      <w:r>
        <w:t xml:space="preserve">charakterystyk populacji cudzoziemców w Polsce, która pozwoli poszerzyć</w:t>
      </w:r>
      <w:r>
        <w:t xml:space="preserve"> </w:t>
      </w:r>
      <w:r>
        <w:t xml:space="preserve">wiedzę na temat tej populacji.</w:t>
      </w:r>
    </w:p>
    <w:p>
      <w:pPr>
        <w:pStyle w:val="BodyText"/>
      </w:pPr>
      <w:r>
        <w:t xml:space="preserve">Kolejnym wyzwaniem jest określenie wielkości populacji uchodźców</w:t>
      </w:r>
      <w:r>
        <w:t xml:space="preserve"> </w:t>
      </w:r>
      <w:r>
        <w:t xml:space="preserve">w przypadku konfliktów zbrojnych czy katastrof naturalnych. W wyniku</w:t>
      </w:r>
      <w:r>
        <w:t xml:space="preserve"> </w:t>
      </w:r>
      <w:r>
        <w:t xml:space="preserve">napaści Rosji na Ukrainę zanotowano ponad 10 mln przekroczeń polskiej</w:t>
      </w:r>
      <w:r>
        <w:t xml:space="preserve"> </w:t>
      </w:r>
      <w:r>
        <w:t xml:space="preserve">granicy ze strony Ukrainy</w:t>
      </w:r>
      <w:r>
        <w:t xml:space="preserve"> </w:t>
      </w:r>
      <w:r>
        <w:t xml:space="preserve">(Komenda Główna Straży Granicznej 2023)</w:t>
      </w:r>
      <w:r>
        <w:t xml:space="preserve">, a w szczytowym momencie blisko 1,4</w:t>
      </w:r>
      <w:r>
        <w:t xml:space="preserve"> </w:t>
      </w:r>
      <w:r>
        <w:t xml:space="preserve">mln obywateli Ukrainy korzystało ze specjalnego statusu UKR</w:t>
      </w:r>
      <w:r>
        <w:t xml:space="preserve"> </w:t>
      </w:r>
      <w:r>
        <w:t xml:space="preserve">(Kancelaria Prezesa Rady Ministrów 2023)</w:t>
      </w:r>
      <w:r>
        <w:t xml:space="preserve">,</w:t>
      </w:r>
      <w:r>
        <w:t xml:space="preserve"> </w:t>
      </w:r>
      <w:r>
        <w:t xml:space="preserve">który m.in. umożliwia uzyskanie numeru PESEL, legalny pobyt, ułatwienia</w:t>
      </w:r>
      <w:r>
        <w:t xml:space="preserve"> </w:t>
      </w:r>
      <w:r>
        <w:t xml:space="preserve">w kontaktach z urzędami oraz instytucjami państwowymi czy wykonywanie</w:t>
      </w:r>
      <w:r>
        <w:t xml:space="preserve"> </w:t>
      </w:r>
      <w:r>
        <w:t xml:space="preserve">pracy. Status UKR zostaje odebrany w momencie przebywania poza Polską</w:t>
      </w:r>
      <w:r>
        <w:t xml:space="preserve"> </w:t>
      </w:r>
      <w:r>
        <w:t xml:space="preserve">ponad miesiąc, a określenie faktycznej liczby uchodźców jest kluczowe do</w:t>
      </w:r>
      <w:r>
        <w:t xml:space="preserve"> </w:t>
      </w:r>
      <w:r>
        <w:t xml:space="preserve">określenia m.in. populacji rezydującej, czyli przebywającej ponad 12</w:t>
      </w:r>
      <w:r>
        <w:t xml:space="preserve"> </w:t>
      </w:r>
      <w:r>
        <w:t xml:space="preserve">miesięcy na terenie Polski.</w:t>
      </w:r>
    </w:p>
    <w:p>
      <w:pPr>
        <w:pStyle w:val="BodyText"/>
      </w:pPr>
      <w:r>
        <w:t xml:space="preserve">Celem niniejszego artykułu jest przedstawienie problemów związanych z</w:t>
      </w:r>
      <w:r>
        <w:t xml:space="preserve"> </w:t>
      </w:r>
      <w:r>
        <w:t xml:space="preserve">określeniem liczby cudzoziemców w Polsce w świetle istniejących źródeł</w:t>
      </w:r>
      <w:r>
        <w:t xml:space="preserve"> </w:t>
      </w:r>
      <w:r>
        <w:t xml:space="preserve">danych (statystycznych i niestatystycznych). Sekcja</w:t>
      </w:r>
      <w:r>
        <w:t xml:space="preserve"> </w:t>
      </w:r>
      <w:hyperlink w:anchor="sec-problematyka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zawiera podstawowe informacje o pomiarze wielkości populacji. Sekcja</w:t>
      </w:r>
      <w:r>
        <w:t xml:space="preserve"> </w:t>
      </w:r>
      <w:hyperlink w:anchor="sec-populacja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omawia istniejące szacunki wielkości populacji</w:t>
      </w:r>
      <w:r>
        <w:t xml:space="preserve"> </w:t>
      </w:r>
      <w:r>
        <w:t xml:space="preserve">cudzoziemców w Polsce w świetle dostępnych źródeł danych. Artykuł kończy</w:t>
      </w:r>
      <w:r>
        <w:t xml:space="preserve"> </w:t>
      </w:r>
      <w:r>
        <w:t xml:space="preserve">się podsumowaniem oraz wybraną literaturą.</w:t>
      </w:r>
    </w:p>
    <w:bookmarkEnd w:id="20"/>
    <w:bookmarkStart w:id="24" w:name="sec-problematyka"/>
    <w:p>
      <w:pPr>
        <w:pStyle w:val="Heading1"/>
      </w:pPr>
      <w:r>
        <w:t xml:space="preserve">2. Problematyka pomiaru wielkości populacji</w:t>
      </w:r>
    </w:p>
    <w:bookmarkStart w:id="21" w:name="populacja-trudna-do-zbadania"/>
    <w:p>
      <w:pPr>
        <w:pStyle w:val="Heading2"/>
      </w:pPr>
      <w:r>
        <w:t xml:space="preserve">2.1 Populacja trudna do zbadania</w:t>
      </w:r>
    </w:p>
    <w:p>
      <w:pPr>
        <w:pStyle w:val="FirstParagraph"/>
      </w:pPr>
      <w:r>
        <w:t xml:space="preserve">Beręsewicz, Gudaszewski, i Szymkowiak (2019)</w:t>
      </w:r>
      <w:r>
        <w:t xml:space="preserve"> </w:t>
      </w:r>
      <w:r>
        <w:t xml:space="preserve">w artykule poświęconym szacunkowi wielkości populacji</w:t>
      </w:r>
      <w:r>
        <w:t xml:space="preserve"> </w:t>
      </w:r>
      <w:r>
        <w:t xml:space="preserve">cudzoziemców w Polsce na koniec 2015 i 2016r wymieniają następujące</w:t>
      </w:r>
      <w:r>
        <w:t xml:space="preserve"> </w:t>
      </w:r>
      <w:r>
        <w:t xml:space="preserve">populacje trudne do zbadania:</w:t>
      </w:r>
    </w:p>
    <w:p>
      <w:pPr>
        <w:numPr>
          <w:ilvl w:val="0"/>
          <w:numId w:val="1001"/>
        </w:numPr>
        <w:pStyle w:val="Compact"/>
      </w:pPr>
      <w:r>
        <w:t xml:space="preserve">te których jednostki trudno wylosować do próby (ang.</w:t>
      </w:r>
      <w:r>
        <w:t xml:space="preserve"> </w:t>
      </w:r>
      <w:r>
        <w:rPr>
          <w:iCs/>
          <w:i/>
        </w:rPr>
        <w:t xml:space="preserve">hard-to-sample</w:t>
      </w:r>
      <w:r>
        <w:t xml:space="preserve">) – w przypadku populacji trudnych do zbadania</w:t>
      </w:r>
      <w:r>
        <w:t xml:space="preserve"> </w:t>
      </w:r>
      <w:r>
        <w:t xml:space="preserve">bardzo rzadko zdarza się, aby istniał właściwy operat losowania,</w:t>
      </w:r>
      <w:r>
        <w:t xml:space="preserve"> </w:t>
      </w:r>
      <w:r>
        <w:t xml:space="preserve">z którego jednostki można byłoby wylosować do próby wykorzystując</w:t>
      </w:r>
      <w:r>
        <w:t xml:space="preserve"> </w:t>
      </w:r>
      <w:r>
        <w:t xml:space="preserve">odpowiedni schemat jej pobierania. Przykładem tego typu populacji</w:t>
      </w:r>
      <w:r>
        <w:t xml:space="preserve"> </w:t>
      </w:r>
      <w:r>
        <w:t xml:space="preserve">mogą być osoby bezdomne lub pracujący cudzoziemcy;</w:t>
      </w:r>
    </w:p>
    <w:p>
      <w:pPr>
        <w:numPr>
          <w:ilvl w:val="0"/>
          <w:numId w:val="1001"/>
        </w:numPr>
        <w:pStyle w:val="Compact"/>
      </w:pPr>
      <w:r>
        <w:t xml:space="preserve">te których jednostki trudno jest zidentyfikować (ang.</w:t>
      </w:r>
      <w:r>
        <w:t xml:space="preserve"> </w:t>
      </w:r>
      <w:r>
        <w:rPr>
          <w:iCs/>
          <w:i/>
        </w:rPr>
        <w:t xml:space="preserve">hard-to-identify</w:t>
      </w:r>
      <w:r>
        <w:t xml:space="preserve">) – w niektórych przypadkach, szczególnie w</w:t>
      </w:r>
      <w:r>
        <w:t xml:space="preserve"> </w:t>
      </w:r>
      <w:r>
        <w:t xml:space="preserve">odniesieniu do stygmatyzowanych grup społecznych, członkowie</w:t>
      </w:r>
      <w:r>
        <w:t xml:space="preserve"> </w:t>
      </w:r>
      <w:r>
        <w:t xml:space="preserve">populacji mogą nie chcieć udostępnić swoich cech, co wiązać się może</w:t>
      </w:r>
      <w:r>
        <w:t xml:space="preserve"> </w:t>
      </w:r>
      <w:r>
        <w:t xml:space="preserve">z lękiem przed ujawnieniem nielegalnego lub wstydliwego statusu</w:t>
      </w:r>
      <w:r>
        <w:t xml:space="preserve"> </w:t>
      </w:r>
      <w:r>
        <w:t xml:space="preserve">społecznego. Przykład tego typu populacji stanowić mogą narkomani,</w:t>
      </w:r>
      <w:r>
        <w:t xml:space="preserve"> </w:t>
      </w:r>
      <w:r>
        <w:t xml:space="preserve">alkoholicy czy różne mniejszości (na przykład osoby LGBT, wyznawcy</w:t>
      </w:r>
      <w:r>
        <w:t xml:space="preserve"> </w:t>
      </w:r>
      <w:r>
        <w:t xml:space="preserve">określonych religii czy ideologii);</w:t>
      </w:r>
    </w:p>
    <w:p>
      <w:pPr>
        <w:numPr>
          <w:ilvl w:val="0"/>
          <w:numId w:val="1001"/>
        </w:numPr>
        <w:pStyle w:val="Compact"/>
      </w:pPr>
      <w:r>
        <w:t xml:space="preserve">te których jednostki trudno znaleźć i nawiązać z nimi kontakt (ang.</w:t>
      </w:r>
      <w:r>
        <w:t xml:space="preserve"> </w:t>
      </w:r>
      <w:r>
        <w:rPr>
          <w:iCs/>
          <w:i/>
        </w:rPr>
        <w:t xml:space="preserve">hard-to-find-and-contact</w:t>
      </w:r>
      <w:r>
        <w:t xml:space="preserve">) – trudność w nawiązaniu kontaktu</w:t>
      </w:r>
      <w:r>
        <w:t xml:space="preserve"> </w:t>
      </w:r>
      <w:r>
        <w:t xml:space="preserve">związana jest przede wszystkim z mobilnością tego typu populacji.</w:t>
      </w:r>
      <w:r>
        <w:t xml:space="preserve"> </w:t>
      </w:r>
      <w:r>
        <w:t xml:space="preserve">Przykładem takiej populacji mogą być niezameldowani cudzoziemcy,</w:t>
      </w:r>
      <w:r>
        <w:t xml:space="preserve"> </w:t>
      </w:r>
      <w:r>
        <w:t xml:space="preserve">członkowie koczowniczych kultur (Beduini z południowo-zachodniej</w:t>
      </w:r>
      <w:r>
        <w:t xml:space="preserve"> </w:t>
      </w:r>
      <w:r>
        <w:t xml:space="preserve">Azji czy Tuaregowie z Afryki Północnej), mniejszości wędrowne</w:t>
      </w:r>
      <w:r>
        <w:t xml:space="preserve"> </w:t>
      </w:r>
      <w:r>
        <w:t xml:space="preserve">(Romowie w Europie), osoby bezdomne;</w:t>
      </w:r>
    </w:p>
    <w:p>
      <w:pPr>
        <w:numPr>
          <w:ilvl w:val="0"/>
          <w:numId w:val="1001"/>
        </w:numPr>
        <w:pStyle w:val="Compact"/>
      </w:pPr>
      <w:r>
        <w:t xml:space="preserve">te której jednostki trudno namówić do wzięcia udziału w badaniu</w:t>
      </w:r>
      <w:r>
        <w:t xml:space="preserve"> </w:t>
      </w:r>
      <w:r>
        <w:t xml:space="preserve">(ang.</w:t>
      </w:r>
      <w:r>
        <w:t xml:space="preserve"> </w:t>
      </w:r>
      <w:r>
        <w:rPr>
          <w:iCs/>
          <w:i/>
        </w:rPr>
        <w:t xml:space="preserve">hard-to-persuade</w:t>
      </w:r>
      <w:r>
        <w:t xml:space="preserve">) – niechęć do wzięcia udziału w badaniu</w:t>
      </w:r>
      <w:r>
        <w:t xml:space="preserve"> </w:t>
      </w:r>
      <w:r>
        <w:t xml:space="preserve">związana może być z drażliwością poruszanej tematyki, bądź z brakiem</w:t>
      </w:r>
      <w:r>
        <w:t xml:space="preserve"> </w:t>
      </w:r>
      <w:r>
        <w:t xml:space="preserve">czasu. Przykładem tego typu populacji mogą być aktywni zawodowo,</w:t>
      </w:r>
      <w:r>
        <w:t xml:space="preserve"> </w:t>
      </w:r>
      <w:r>
        <w:t xml:space="preserve">pracujący w szarej czy czarnej strefie, cudzoziemcy;</w:t>
      </w:r>
    </w:p>
    <w:p>
      <w:pPr>
        <w:numPr>
          <w:ilvl w:val="0"/>
          <w:numId w:val="1001"/>
        </w:numPr>
        <w:pStyle w:val="Compact"/>
      </w:pPr>
      <w:r>
        <w:t xml:space="preserve">te której jednostki można zachęcić do wzięcia udziału w badaniu, ale</w:t>
      </w:r>
      <w:r>
        <w:t xml:space="preserve"> </w:t>
      </w:r>
      <w:r>
        <w:t xml:space="preserve">ciężko przeprowadzić wywiad (ang.</w:t>
      </w:r>
      <w:r>
        <w:t xml:space="preserve"> </w:t>
      </w:r>
      <w:r>
        <w:rPr>
          <w:iCs/>
          <w:i/>
        </w:rPr>
        <w:t xml:space="preserve">hard-to-interview</w:t>
      </w:r>
      <w:r>
        <w:t xml:space="preserve">) – trudność w</w:t>
      </w:r>
      <w:r>
        <w:t xml:space="preserve"> </w:t>
      </w:r>
      <w:r>
        <w:t xml:space="preserve">przeprowadzeniu wywiadu może wynikać z tego, że należy uzyskać na</w:t>
      </w:r>
      <w:r>
        <w:t xml:space="preserve"> </w:t>
      </w:r>
      <w:r>
        <w:t xml:space="preserve">udział w badaniu danej jednostki zgody przełożonego, opiekuna</w:t>
      </w:r>
      <w:r>
        <w:t xml:space="preserve"> </w:t>
      </w:r>
      <w:r>
        <w:t xml:space="preserve">prawnego czy rodzica. Przykład tego typu populacji stanowić mogą</w:t>
      </w:r>
      <w:r>
        <w:t xml:space="preserve"> </w:t>
      </w:r>
      <w:r>
        <w:t xml:space="preserve">więźniowie, osoby niepełnosprawne psychicznie, czy cudzoziemcy nie</w:t>
      </w:r>
      <w:r>
        <w:t xml:space="preserve"> </w:t>
      </w:r>
      <w:r>
        <w:t xml:space="preserve">znający języka danego kraju.</w:t>
      </w:r>
    </w:p>
    <w:p>
      <w:pPr>
        <w:pStyle w:val="FirstParagraph"/>
      </w:pPr>
      <w:r>
        <w:t xml:space="preserve">Powyższe klasyfikacje odnoszą się do populacji cudzoziemców w Polsce,</w:t>
      </w:r>
      <w:r>
        <w:t xml:space="preserve"> </w:t>
      </w:r>
      <w:r>
        <w:t xml:space="preserve">której jednostki trudno wylosować do próby (brak pełnego operatu</w:t>
      </w:r>
      <w:r>
        <w:t xml:space="preserve"> </w:t>
      </w:r>
      <w:r>
        <w:t xml:space="preserve">losowania oraz kompleksowych źródeł danych statystycznych, z których</w:t>
      </w:r>
      <w:r>
        <w:t xml:space="preserve"> </w:t>
      </w:r>
      <w:r>
        <w:t xml:space="preserve">można czerpać wiedzę na temat cudzoziemców), z którą trudno nawiązać</w:t>
      </w:r>
      <w:r>
        <w:t xml:space="preserve"> </w:t>
      </w:r>
      <w:r>
        <w:t xml:space="preserve">kontakt (mobilność cudzoziemców na rynku pracy, brak stałego miejsca</w:t>
      </w:r>
      <w:r>
        <w:t xml:space="preserve"> </w:t>
      </w:r>
      <w:r>
        <w:t xml:space="preserve">zamieszkania, czy też bariera językowa).</w:t>
      </w:r>
    </w:p>
    <w:p>
      <w:pPr>
        <w:pStyle w:val="BodyText"/>
      </w:pPr>
      <w:r>
        <w:t xml:space="preserve">W Polsce, w przeciwieństwie do krajów anglosaskich (np. Wielkiej</w:t>
      </w:r>
      <w:r>
        <w:t xml:space="preserve"> </w:t>
      </w:r>
      <w:r>
        <w:t xml:space="preserve">Brytanii czy USA), dysponujemy rejestrem populacji (PESEL), który z</w:t>
      </w:r>
      <w:r>
        <w:t xml:space="preserve"> </w:t>
      </w:r>
      <w:r>
        <w:t xml:space="preserve">definicji powinien pokrywać całą populację cudzoziemców</w:t>
      </w:r>
      <w:r>
        <w:t xml:space="preserve"> </w:t>
      </w:r>
      <w:r>
        <w:t xml:space="preserve">(por. Józefowski i Rynarzewska-Pietrzak 2010; Gołata 2018; Wallgren i Wallgren 2014)</w:t>
      </w:r>
      <w:r>
        <w:t xml:space="preserve">.</w:t>
      </w:r>
      <w:r>
        <w:t xml:space="preserve"> </w:t>
      </w:r>
      <w:r>
        <w:t xml:space="preserve">Jednakże, nie wszyscy cudzoziemcy posiadają numer PESEL, a dane</w:t>
      </w:r>
      <w:r>
        <w:t xml:space="preserve"> </w:t>
      </w:r>
      <w:r>
        <w:t xml:space="preserve">w rejestrze mogą być nieaktualne. Nawet gdybyśmy dysponowali wieloma</w:t>
      </w:r>
      <w:r>
        <w:t xml:space="preserve"> </w:t>
      </w:r>
      <w:r>
        <w:t xml:space="preserve">rejestrami (np. ZUS, NFZ czy Urzędu ds. Cudzoziemców) to pewne</w:t>
      </w:r>
      <w:r>
        <w:t xml:space="preserve"> </w:t>
      </w:r>
      <w:r>
        <w:t xml:space="preserve">subpopulacje cudzoziemców będą w nich nieobserwowane m.in.</w:t>
      </w:r>
      <w:r>
        <w:t xml:space="preserve"> </w:t>
      </w:r>
      <w:r>
        <w:t xml:space="preserve">krótkookresowi migranci pracujący nielegalnie, czy migranci przebywający</w:t>
      </w:r>
      <w:r>
        <w:t xml:space="preserve"> </w:t>
      </w:r>
      <w:r>
        <w:t xml:space="preserve">na terenie kraju bez ważnych dokumentów umożliwiających pobyt.</w:t>
      </w:r>
      <w:r>
        <w:t xml:space="preserve"> </w:t>
      </w:r>
      <w:r>
        <w:t xml:space="preserve">W literaturze przedmiotu proponuje się jednak pewne rozwiązania, które</w:t>
      </w:r>
      <w:r>
        <w:t xml:space="preserve"> </w:t>
      </w:r>
      <w:r>
        <w:t xml:space="preserve">stanowić mogą swego rodzaju remedium na problemy związane z określeniem</w:t>
      </w:r>
      <w:r>
        <w:t xml:space="preserve"> </w:t>
      </w:r>
      <w:r>
        <w:t xml:space="preserve">rzeczywistych rozmiarów populacji trudnych do zbadania. Należą one do</w:t>
      </w:r>
      <w:r>
        <w:t xml:space="preserve"> </w:t>
      </w:r>
      <w:r>
        <w:t xml:space="preserve">grupy technik określanych wspólnym terminem</w:t>
      </w:r>
      <w:r>
        <w:t xml:space="preserve"> </w:t>
      </w:r>
      <w:r>
        <w:rPr>
          <w:iCs/>
          <w:i/>
        </w:rPr>
        <w:t xml:space="preserve">capture-recapture</w:t>
      </w:r>
      <w:r>
        <w:t xml:space="preserve"> </w:t>
      </w:r>
      <w:r>
        <w:t xml:space="preserve">(CR),</w:t>
      </w:r>
      <w:r>
        <w:t xml:space="preserve"> </w:t>
      </w:r>
      <w:r>
        <w:t xml:space="preserve">które w głównej mierze opierają się na wykorzystaniu wielu</w:t>
      </w:r>
      <w:r>
        <w:t xml:space="preserve"> </w:t>
      </w:r>
      <w:r>
        <w:t xml:space="preserve">zintegrowanych rejestrów do oszacowania całkowitej populacji</w:t>
      </w:r>
      <w:r>
        <w:t xml:space="preserve"> </w:t>
      </w:r>
      <w:r>
        <w:t xml:space="preserve">(zarejestrowanej i niezarejestrowanej, por.</w:t>
      </w:r>
      <w:r>
        <w:t xml:space="preserve"> </w:t>
      </w:r>
      <w:r>
        <w:t xml:space="preserve">Böhning, Bunge, i Heijden (2018)</w:t>
      </w:r>
      <w:r>
        <w:t xml:space="preserve">;</w:t>
      </w:r>
      <w:r>
        <w:t xml:space="preserve"> </w:t>
      </w:r>
      <w:r>
        <w:t xml:space="preserve">L.-C. Zhang i Chambers (2019)</w:t>
      </w:r>
      <w:r>
        <w:t xml:space="preserve">).</w:t>
      </w:r>
    </w:p>
    <w:bookmarkEnd w:id="21"/>
    <w:bookmarkStart w:id="23" w:name="Xaadafc110e807e8ad9c229bc2c2538421f7c684"/>
    <w:p>
      <w:pPr>
        <w:pStyle w:val="Heading2"/>
      </w:pPr>
      <w:r>
        <w:t xml:space="preserve">2.2 Estymacja wielkości populacji na podstawie źródeł administracyjnych</w:t>
      </w:r>
    </w:p>
    <w:p>
      <w:pPr>
        <w:pStyle w:val="FirstParagraph"/>
      </w:pPr>
      <w:r>
        <w:t xml:space="preserve">W literaturze wymienia się następujące założenia metod CR w</w:t>
      </w:r>
      <w:r>
        <w:t xml:space="preserve"> </w:t>
      </w:r>
      <w:r>
        <w:t xml:space="preserve">zastosowaniach populacyjnych</w:t>
      </w:r>
      <w:r>
        <w:t xml:space="preserve"> </w:t>
      </w:r>
      <w:r>
        <w:t xml:space="preserve">(Wolter 1986)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populacja jest zamknięta</w:t>
      </w:r>
      <w:r>
        <w:t xml:space="preserve"> </w:t>
      </w:r>
      <w:r>
        <w:t xml:space="preserve">(brak zgonów/urodzeń) – rejestr wg stanu</w:t>
      </w:r>
      <w:r>
        <w:t xml:space="preserve"> </w:t>
      </w:r>
      <w:r>
        <w:t xml:space="preserve">na określony dzień,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źródła muszą być niezależne</w:t>
      </w:r>
      <w:r>
        <w:t xml:space="preserve"> </w:t>
      </w:r>
      <w:r>
        <w:t xml:space="preserve">– uwzględnienie rejestrów policji,</w:t>
      </w:r>
      <w:r>
        <w:t xml:space="preserve"> </w:t>
      </w:r>
      <w:r>
        <w:t xml:space="preserve">uwzględnienie co najmniej 3 źródeł i/lub estymatorów opracowanych</w:t>
      </w:r>
      <w:r>
        <w:t xml:space="preserve"> </w:t>
      </w:r>
      <w:r>
        <w:t xml:space="preserve">dla źródeł zależnych,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homogeniczność przynależności do rejestrów</w:t>
      </w:r>
      <w:r>
        <w:t xml:space="preserve"> </w:t>
      </w:r>
      <w:r>
        <w:t xml:space="preserve">– wykorzystujemy</w:t>
      </w:r>
      <w:r>
        <w:t xml:space="preserve"> </w:t>
      </w:r>
      <w:r>
        <w:t xml:space="preserve">zmienne społeczno-demograficzne i zakładamy homogeniczność w tych</w:t>
      </w:r>
      <w:r>
        <w:t xml:space="preserve"> </w:t>
      </w:r>
      <w:r>
        <w:t xml:space="preserve">grupach,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brak błędów łączenia</w:t>
      </w:r>
      <w:r>
        <w:t xml:space="preserve"> </w:t>
      </w:r>
      <w:r>
        <w:t xml:space="preserve">– łączymy rejestry po kluczu, ewentualnie</w:t>
      </w:r>
      <w:r>
        <w:t xml:space="preserve"> </w:t>
      </w:r>
      <w:r>
        <w:t xml:space="preserve">uwzględniamy błąd wynikający z probabilistycznego łączenia rekordów,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brak błędów pokrycia</w:t>
      </w:r>
      <w:r>
        <w:t xml:space="preserve"> </w:t>
      </w:r>
      <w:r>
        <w:t xml:space="preserve">– wykorzystujemy rejestry aktualizowane w</w:t>
      </w:r>
      <w:r>
        <w:t xml:space="preserve"> </w:t>
      </w:r>
      <w:r>
        <w:t xml:space="preserve">ujęciu miesięcznym/kwartalnym.</w:t>
      </w:r>
    </w:p>
    <w:p>
      <w:pPr>
        <w:pStyle w:val="FirstParagraph"/>
      </w:pPr>
      <w:r>
        <w:t xml:space="preserve">Należy jednak zaznaczyć, że istnieje wiele metod, które uwzględniają</w:t>
      </w:r>
      <w:r>
        <w:t xml:space="preserve"> </w:t>
      </w:r>
      <w:r>
        <w:t xml:space="preserve">złamanie tych założeń. W szczególności należy tutaj wymienić:</w:t>
      </w:r>
      <w:r>
        <w:t xml:space="preserve"> </w:t>
      </w:r>
      <w:r>
        <w:t xml:space="preserve">L. Zhang (2019)</w:t>
      </w:r>
      <w:r>
        <w:t xml:space="preserve">, który rozważa przypadek rejestru administracyjnego oraz</w:t>
      </w:r>
      <w:r>
        <w:t xml:space="preserve"> </w:t>
      </w:r>
      <w:r>
        <w:t xml:space="preserve">pospisowego badania kontrolnego (ang.</w:t>
      </w:r>
      <w:r>
        <w:t xml:space="preserve"> </w:t>
      </w:r>
      <w:r>
        <w:rPr>
          <w:iCs/>
          <w:i/>
        </w:rPr>
        <w:t xml:space="preserve">post-enumeration survey</w:t>
      </w:r>
      <w:r>
        <w:t xml:space="preserve">)</w:t>
      </w:r>
      <w:r>
        <w:t xml:space="preserve"> </w:t>
      </w:r>
      <w:r>
        <w:t xml:space="preserve">ograniczając wymienione założenia, jak również</w:t>
      </w:r>
      <w:r>
        <w:t xml:space="preserve"> </w:t>
      </w:r>
      <w:r>
        <w:t xml:space="preserve">Nour (1982)</w:t>
      </w:r>
      <w:r>
        <w:t xml:space="preserve">,</w:t>
      </w:r>
      <w:r>
        <w:t xml:space="preserve"> </w:t>
      </w:r>
      <w:r>
        <w:t xml:space="preserve">Wolter (1986)</w:t>
      </w:r>
      <w:r>
        <w:t xml:space="preserve">,</w:t>
      </w:r>
      <w:r>
        <w:t xml:space="preserve"> </w:t>
      </w:r>
      <w:r>
        <w:t xml:space="preserve">Chatterjee i Bhuyan (2017)</w:t>
      </w:r>
      <w:r>
        <w:t xml:space="preserve">,</w:t>
      </w:r>
      <w:r>
        <w:t xml:space="preserve"> </w:t>
      </w:r>
      <w:r>
        <w:t xml:space="preserve">Chatterjee i Mukherjee (2021)</w:t>
      </w:r>
      <w:r>
        <w:t xml:space="preserve">,</w:t>
      </w:r>
      <w:r>
        <w:t xml:space="preserve"> </w:t>
      </w:r>
      <w:r>
        <w:t xml:space="preserve">Chatterjee i Bhuyan (2019)</w:t>
      </w:r>
      <w:r>
        <w:t xml:space="preserve">, którzy rozważają przypadek dwóch lub więcej</w:t>
      </w:r>
      <w:r>
        <w:t xml:space="preserve"> </w:t>
      </w:r>
      <w:r>
        <w:t xml:space="preserve">skorelowanych zmiennych czy też</w:t>
      </w:r>
      <w:r>
        <w:t xml:space="preserve"> </w:t>
      </w:r>
      <w:r>
        <w:t xml:space="preserve">Ding i Fienberg (1994)</w:t>
      </w:r>
      <w:r>
        <w:t xml:space="preserve">,</w:t>
      </w:r>
      <w:r>
        <w:t xml:space="preserve"> </w:t>
      </w:r>
      <w:r>
        <w:t xml:space="preserve">Di Consiglio i Tuoto (2015)</w:t>
      </w:r>
      <w:r>
        <w:t xml:space="preserve">,</w:t>
      </w:r>
      <w:r>
        <w:t xml:space="preserve"> </w:t>
      </w:r>
      <w:r>
        <w:t xml:space="preserve">Di Cecco i in. (2018)</w:t>
      </w:r>
      <w:r>
        <w:t xml:space="preserve">,</w:t>
      </w:r>
      <w:r>
        <w:t xml:space="preserve"> </w:t>
      </w:r>
      <w:r>
        <w:t xml:space="preserve">Di Consiglio, Tuoto, i Zhang (2019)</w:t>
      </w:r>
      <w:r>
        <w:t xml:space="preserve">, którzy uwzględniają błędy łączenia</w:t>
      </w:r>
      <w:r>
        <w:t xml:space="preserve"> </w:t>
      </w:r>
      <w:r>
        <w:t xml:space="preserve">między rejestrami w estymacji wielkości populacji.</w:t>
      </w:r>
    </w:p>
    <w:p>
      <w:pPr>
        <w:pStyle w:val="BodyText"/>
      </w:pPr>
      <w:r>
        <w:t xml:space="preserve">W najprostszym przypadku, gdy dysponujemy dwoma źródłami danych i</w:t>
      </w:r>
      <w:r>
        <w:t xml:space="preserve"> </w:t>
      </w:r>
      <w:r>
        <w:t xml:space="preserve">wszystkie powyższe założenia są spełnione, do oszacowania wielkości</w:t>
      </w:r>
      <w:r>
        <w:t xml:space="preserve"> </w:t>
      </w:r>
      <w:r>
        <w:t xml:space="preserve">populacji możemy zastosować estymator Lincolna-Petersena dany wzorem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m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gdzie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będzie wielkością pierwszego źródła,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będzie wielkością</w:t>
      </w:r>
      <w:r>
        <w:t xml:space="preserve"> </w:t>
      </w:r>
      <w:r>
        <w:t xml:space="preserve">drugiego źródła, a </w:t>
      </w:r>
      <m:oMath>
        <m:r>
          <m:t>m</m:t>
        </m:r>
      </m:oMath>
      <w:r>
        <w:t xml:space="preserve"> </w:t>
      </w:r>
      <w:r>
        <w:t xml:space="preserve">będzie częścią wspólną obydwu źródeł (por.</w:t>
      </w:r>
      <w:r>
        <w:t xml:space="preserve"> </w:t>
      </w:r>
      <w:r>
        <w:t xml:space="preserve">Brittain i Böhning (2009)</w:t>
      </w:r>
      <w:r>
        <w:t xml:space="preserve">).</w:t>
      </w:r>
    </w:p>
    <w:p>
      <w:pPr>
        <w:pStyle w:val="BodyText"/>
      </w:pPr>
      <w:r>
        <w:t xml:space="preserve">Przykładowo,</w:t>
      </w:r>
      <w:r>
        <w:t xml:space="preserve"> </w:t>
      </w:r>
      <w:r>
        <w:t xml:space="preserve">Susanna C. Gerritse, van der Heijden, i Bakker (2015)</w:t>
      </w:r>
      <w:r>
        <w:t xml:space="preserve">,</w:t>
      </w:r>
      <w:r>
        <w:t xml:space="preserve"> </w:t>
      </w:r>
      <w:r>
        <w:t xml:space="preserve">Susanna Charlotte Gerritse (2016)</w:t>
      </w:r>
      <w:r>
        <w:t xml:space="preserve"> </w:t>
      </w:r>
      <w:r>
        <w:t xml:space="preserve">zastosowali metodę CR do oszacowania liczby obywateli Polski</w:t>
      </w:r>
      <w:r>
        <w:t xml:space="preserve"> </w:t>
      </w:r>
      <w:r>
        <w:t xml:space="preserve">przebywających w Holandii w 2009 roku. W tym celu wykorzystali dwa</w:t>
      </w:r>
      <w:r>
        <w:t xml:space="preserve"> </w:t>
      </w:r>
      <w:r>
        <w:t xml:space="preserve">źródła danych: Rejestr Populacji (</w:t>
      </w:r>
      <w:r>
        <w:rPr>
          <w:iCs/>
          <w:i/>
        </w:rPr>
        <w:t xml:space="preserve">Gemeentelijke BasisAdministratie</w:t>
      </w:r>
      <w:r>
        <w:t xml:space="preserve">;</w:t>
      </w:r>
      <w:r>
        <w:t xml:space="preserve"> </w:t>
      </w:r>
      <w:r>
        <w:t xml:space="preserve">GBA) oraz rejestr Policji (</w:t>
      </w:r>
      <w:r>
        <w:rPr>
          <w:iCs/>
          <w:i/>
        </w:rPr>
        <w:t xml:space="preserve">HerKenningsdienst Systeem</w:t>
      </w:r>
      <w:r>
        <w:t xml:space="preserve">; HKS) uzyskując</w:t>
      </w:r>
      <w:r>
        <w:t xml:space="preserve"> </w:t>
      </w:r>
      <w:r>
        <w:t xml:space="preserve">następującą poniższą tablicę</w:t>
      </w:r>
    </w:p>
    <w:bookmarkStart w:id="22" w:name="tbl-grritse-2016"/>
    <w:p>
      <w:pPr>
        <w:pStyle w:val="TableCaption"/>
      </w:pPr>
      <w:r>
        <w:t xml:space="preserve">Tabela 1: Liczba obywateli Polski w dwóch rejestrach w Holandii w 2009r.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1: Liczba obywateli Polski w dwóch rejestrach w Holandii w 2009r. 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HKS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39 488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?</w:t>
            </w:r>
          </w:p>
        </w:tc>
      </w:tr>
    </w:tbl>
    <w:bookmarkEnd w:id="22"/>
    <w:p>
      <w:pPr>
        <w:pStyle w:val="BodyText"/>
      </w:pPr>
      <w:r>
        <w:t xml:space="preserve">Źródło: Opracowanie własne na podstawie</w:t>
      </w:r>
      <w:r>
        <w:t xml:space="preserve"> </w:t>
      </w:r>
      <w:r>
        <w:t xml:space="preserve">Susanna Charlotte Gerritse (2016)</w:t>
      </w:r>
      <w:r>
        <w:t xml:space="preserve">.</w:t>
      </w:r>
    </w:p>
    <w:p>
      <w:pPr>
        <w:pStyle w:val="BodyText"/>
      </w:pPr>
      <w:r>
        <w:t xml:space="preserve">Na podstawie tablicy</w:t>
      </w:r>
      <w:r>
        <w:t xml:space="preserve"> </w:t>
      </w:r>
      <w:hyperlink w:anchor="tbl-grritse-201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Susanna Charlotte Gerritse (2016)</w:t>
      </w:r>
      <w:r>
        <w:t xml:space="preserve"> </w:t>
      </w:r>
      <w:r>
        <w:t xml:space="preserve">oszacowała wielkość populacji obywateli Polski Holandii na blisko 193</w:t>
      </w:r>
      <w:r>
        <w:t xml:space="preserve"> </w:t>
      </w:r>
      <w:r>
        <w:t xml:space="preserve">tys. Dla porównania, według Narodowego Spisu Powszechnego Ludności i</w:t>
      </w:r>
      <w:r>
        <w:t xml:space="preserve"> </w:t>
      </w:r>
      <w:r>
        <w:t xml:space="preserve">Mieszkań 2011 (NSP 2021) Polskich emigrantów przebywających czasowo</w:t>
      </w:r>
      <w:r>
        <w:t xml:space="preserve"> </w:t>
      </w:r>
      <w:r>
        <w:t xml:space="preserve">w Holandii było 106 tys.</w:t>
      </w:r>
    </w:p>
    <w:p>
      <w:pPr>
        <w:pStyle w:val="BodyText"/>
      </w:pPr>
      <w:r>
        <w:t xml:space="preserve">Niestety, aktualnie w Polsce niemożliwe jest dokonanie podobnego</w:t>
      </w:r>
      <w:r>
        <w:t xml:space="preserve"> </w:t>
      </w:r>
      <w:r>
        <w:t xml:space="preserve">szacunku na podstawie danych pochodzących z Policji (Krajowy System</w:t>
      </w:r>
      <w:r>
        <w:t xml:space="preserve"> </w:t>
      </w:r>
      <w:r>
        <w:t xml:space="preserve">Informacji Policji; KSIP) ponieważ regulacje prawne uniemożliwiają</w:t>
      </w:r>
      <w:r>
        <w:t xml:space="preserve"> </w:t>
      </w:r>
      <w:r>
        <w:t xml:space="preserve">przekazanie identyfikowalnych danych z KSIP Głównemu Urzędowi</w:t>
      </w:r>
      <w:r>
        <w:t xml:space="preserve"> </w:t>
      </w:r>
      <w:r>
        <w:t xml:space="preserve">Statystycznemu. Jedyną możliwością zastosowania metod CR jest</w:t>
      </w:r>
      <w:r>
        <w:t xml:space="preserve"> </w:t>
      </w:r>
      <w:r>
        <w:t xml:space="preserve">wykorzystanie i zintegrowanie wszelkich dostępnych źródeł</w:t>
      </w:r>
      <w:r>
        <w:t xml:space="preserve"> </w:t>
      </w:r>
      <w:r>
        <w:t xml:space="preserve">administracyjnych, a następnie zastosowania zaproponowanych w</w:t>
      </w:r>
      <w:r>
        <w:t xml:space="preserve"> </w:t>
      </w:r>
      <w:r>
        <w:t xml:space="preserve">literaturze rozwiązań z zakresu CR. Pewne sugestie, jak można tego</w:t>
      </w:r>
      <w:r>
        <w:t xml:space="preserve"> </w:t>
      </w:r>
      <w:r>
        <w:t xml:space="preserve">dokonać przedstawili</w:t>
      </w:r>
      <w:r>
        <w:t xml:space="preserve"> </w:t>
      </w:r>
      <w:r>
        <w:t xml:space="preserve">L.-C. Zhang i Dunne (2017)</w:t>
      </w:r>
      <w:r>
        <w:t xml:space="preserve">, którzy dokonali szacunku</w:t>
      </w:r>
      <w:r>
        <w:t xml:space="preserve"> </w:t>
      </w:r>
      <w:r>
        <w:t xml:space="preserve">wielkości populacji w Irlandii nie posiadając odpowiednika rejestru</w:t>
      </w:r>
      <w:r>
        <w:t xml:space="preserve"> </w:t>
      </w:r>
      <w:r>
        <w:t xml:space="preserve">PESEL. Wykorzystali w tym celu</w:t>
      </w:r>
      <w:r>
        <w:t xml:space="preserve"> </w:t>
      </w:r>
      <w:r>
        <w:rPr>
          <w:iCs/>
          <w:i/>
        </w:rPr>
        <w:t xml:space="preserve">Person Activity Register</w:t>
      </w:r>
      <w:r>
        <w:t xml:space="preserve"> </w:t>
      </w:r>
      <w:r>
        <w:t xml:space="preserve">(PAR), który</w:t>
      </w:r>
      <w:r>
        <w:t xml:space="preserve"> </w:t>
      </w:r>
      <w:r>
        <w:t xml:space="preserve">składa się z 10 zintegrowanych rejestrów do określenia aktywności</w:t>
      </w:r>
      <w:r>
        <w:t xml:space="preserve"> </w:t>
      </w:r>
      <w:r>
        <w:t xml:space="preserve">ludności (tzw. śladów życia; ang.</w:t>
      </w:r>
      <w:r>
        <w:t xml:space="preserve"> </w:t>
      </w:r>
      <w:r>
        <w:rPr>
          <w:iCs/>
          <w:i/>
        </w:rPr>
        <w:t xml:space="preserve">signs-of-life</w:t>
      </w:r>
      <w:r>
        <w:t xml:space="preserve">) oraz rejestr praw</w:t>
      </w:r>
      <w:r>
        <w:t xml:space="preserve"> </w:t>
      </w:r>
      <w:r>
        <w:t xml:space="preserve">jazdy (RPJ). Jako drugie źródło w metodzie CR wykorzystali fakt</w:t>
      </w:r>
      <w:r>
        <w:t xml:space="preserve"> </w:t>
      </w:r>
      <w:r>
        <w:t xml:space="preserve">odnawiania praw jazdy lub ubieganie się o nowe w danym roku na podstawie</w:t>
      </w:r>
      <w:r>
        <w:t xml:space="preserve"> </w:t>
      </w:r>
      <w:r>
        <w:t xml:space="preserve">RPJ.</w:t>
      </w:r>
    </w:p>
    <w:p>
      <w:pPr>
        <w:pStyle w:val="BodyText"/>
      </w:pPr>
      <w:r>
        <w:t xml:space="preserve">Zastosowanie tego podejścia w praktyce jest ściśle związane z jakością</w:t>
      </w:r>
      <w:r>
        <w:t xml:space="preserve"> </w:t>
      </w:r>
      <w:r>
        <w:t xml:space="preserve">danych administracyjnych, a błędy pokrycia czy też łączenia będą</w:t>
      </w:r>
      <w:r>
        <w:t xml:space="preserve"> </w:t>
      </w:r>
      <w:r>
        <w:t xml:space="preserve">przekładały się na obciążenie szacunków. Kluczowe jest również</w:t>
      </w:r>
      <w:r>
        <w:t xml:space="preserve"> </w:t>
      </w:r>
      <w:r>
        <w:t xml:space="preserve">porównanie uzyskanych szacunków z wszelkimi dostępnymi źródłami danych</w:t>
      </w:r>
      <w:r>
        <w:t xml:space="preserve"> </w:t>
      </w:r>
      <w:r>
        <w:t xml:space="preserve">zarówno tymi ze statystyki publicznej (jak spisy), jak i spoza (np. big</w:t>
      </w:r>
      <w:r>
        <w:t xml:space="preserve"> </w:t>
      </w:r>
      <w:r>
        <w:t xml:space="preserve">data).</w:t>
      </w:r>
    </w:p>
    <w:bookmarkEnd w:id="23"/>
    <w:bookmarkEnd w:id="24"/>
    <w:bookmarkStart w:id="45" w:name="sec-populacja"/>
    <w:p>
      <w:pPr>
        <w:pStyle w:val="Heading1"/>
      </w:pPr>
      <w:r>
        <w:t xml:space="preserve">3. Populacja cudzoziemców w Polsce w świetle dostępnych danych</w:t>
      </w:r>
    </w:p>
    <w:bookmarkStart w:id="31" w:name="sec-gus-rejestry"/>
    <w:p>
      <w:pPr>
        <w:pStyle w:val="Heading2"/>
      </w:pPr>
      <w:r>
        <w:t xml:space="preserve">3.1 Rejestry administracyjne</w:t>
      </w:r>
    </w:p>
    <w:p>
      <w:pPr>
        <w:pStyle w:val="FirstParagraph"/>
      </w:pPr>
      <w:r>
        <w:t xml:space="preserve">Zgodnie z wiedzą autora, jedynym opracowaniem zawierającym ocenę</w:t>
      </w:r>
      <w:r>
        <w:t xml:space="preserve"> </w:t>
      </w:r>
      <w:r>
        <w:t xml:space="preserve">polskich rejestrów administracyjnych w odniesieniu do populacji</w:t>
      </w:r>
      <w:r>
        <w:t xml:space="preserve"> </w:t>
      </w:r>
      <w:r>
        <w:t xml:space="preserve">cudzoziemców jest wspominana praca eksperymentalna</w:t>
      </w:r>
      <w:r>
        <w:t xml:space="preserve"> </w:t>
      </w:r>
      <w:r>
        <w:t xml:space="preserve">Główny Urząd Statystyczny (2020)</w:t>
      </w:r>
      <w:r>
        <w:t xml:space="preserve">.</w:t>
      </w:r>
      <w:r>
        <w:t xml:space="preserve"> </w:t>
      </w:r>
      <w:r>
        <w:t xml:space="preserve">Wcześniejsze szacunki wykorzystujące metodę CR w Polsce zawarte były w</w:t>
      </w:r>
      <w:r>
        <w:t xml:space="preserve"> </w:t>
      </w:r>
      <w:r>
        <w:t xml:space="preserve">pracy metodologicznej pt. ,,Cudzoziemcy na krajowym rynku pracy w ujęciu</w:t>
      </w:r>
      <w:r>
        <w:t xml:space="preserve"> </w:t>
      </w:r>
      <w:r>
        <w:t xml:space="preserve">regionalnym’’</w:t>
      </w:r>
      <w:r>
        <w:t xml:space="preserve"> </w:t>
      </w:r>
      <w:r>
        <w:t xml:space="preserve">(Główny Urząd Statystyczny 2019)</w:t>
      </w:r>
      <w:r>
        <w:t xml:space="preserve"> </w:t>
      </w:r>
      <w:r>
        <w:t xml:space="preserve">oraz publikacji</w:t>
      </w:r>
      <w:r>
        <w:t xml:space="preserve"> </w:t>
      </w:r>
      <w:r>
        <w:t xml:space="preserve">Beręsewicz, Gudaszewski, i Szymkowiak (2019)</w:t>
      </w:r>
      <w:r>
        <w:t xml:space="preserve">.</w:t>
      </w:r>
    </w:p>
    <w:p>
      <w:pPr>
        <w:pStyle w:val="BodyText"/>
      </w:pPr>
      <w:r>
        <w:t xml:space="preserve">W tej pracy</w:t>
      </w:r>
      <w:r>
        <w:t xml:space="preserve"> </w:t>
      </w:r>
      <w:r>
        <w:t xml:space="preserve">Główny Urząd Statystyczny (2020)</w:t>
      </w:r>
      <w:r>
        <w:t xml:space="preserve"> </w:t>
      </w:r>
      <w:r>
        <w:t xml:space="preserve">zespół GUS podjął problem wyznaczenia</w:t>
      </w:r>
      <w:r>
        <w:t xml:space="preserve"> </w:t>
      </w:r>
      <w:r>
        <w:t xml:space="preserve">populacji cudzoziemców na podstawie zintegrowanych rejestrów</w:t>
      </w:r>
      <w:r>
        <w:t xml:space="preserve"> </w:t>
      </w:r>
      <w:r>
        <w:t xml:space="preserve">administracyjnych oszacowując, że na koniec grudnia 2019 roku w Polsce</w:t>
      </w:r>
      <w:r>
        <w:t xml:space="preserve"> </w:t>
      </w:r>
      <w:r>
        <w:t xml:space="preserve">przebywało 2,1 mln cudzoziemców, z czego obywatele Ukrainy, Białorusi</w:t>
      </w:r>
      <w:r>
        <w:t xml:space="preserve"> </w:t>
      </w:r>
      <w:r>
        <w:t xml:space="preserve">oraz Rosji stanowili odpowiednio: 1 351 tys., 105 tys. oraz 37 tys.</w:t>
      </w:r>
    </w:p>
    <w:p>
      <w:pPr>
        <w:pStyle w:val="BodyText"/>
      </w:pPr>
      <w:r>
        <w:t xml:space="preserve">Integracji danych dokonano z wykorzystaniem identyfikatorów tj. numerów</w:t>
      </w:r>
      <w:r>
        <w:t xml:space="preserve"> </w:t>
      </w:r>
      <w:r>
        <w:t xml:space="preserve">PESEL, a tablica</w:t>
      </w:r>
      <w:r>
        <w:t xml:space="preserve"> </w:t>
      </w:r>
      <w:hyperlink w:anchor="tbl-eksp-2019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przedstawia informacje o liczbie</w:t>
      </w:r>
      <w:r>
        <w:t xml:space="preserve"> </w:t>
      </w:r>
      <w:r>
        <w:t xml:space="preserve">cudzoziemców w poszczególnych rejestrach omawianych w tym projekcie.</w:t>
      </w:r>
    </w:p>
    <w:bookmarkStart w:id="25" w:name="tbl-eksp-2019"/>
    <w:p>
      <w:pPr>
        <w:pStyle w:val="TableCaption"/>
      </w:pPr>
      <w:r>
        <w:t xml:space="preserve">Tabela 2: Liczba cudzoziemców według występowania w źródłowych rejestrach</w:t>
      </w:r>
      <w:r>
        <w:t xml:space="preserve"> </w:t>
      </w:r>
      <w:r>
        <w:t xml:space="preserve">administracyjnych według stanu na 31.12.2019 r. Skróty odnoszą się do</w:t>
      </w:r>
      <w:r>
        <w:t xml:space="preserve"> </w:t>
      </w:r>
      <w:r>
        <w:t xml:space="preserve">ministerstw będących gestorami rejestrów administracyjnych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2: Liczba cudzoziemców według występowania w źródłowych rejestrach administracyjnych według stanu na 31.12.2019 r. Skróty odnoszą się do ministerstw będących gestorami rejestrów administracyjnych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Rejestr źródłowy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Liczba cudzoziemców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263 976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UdSC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426 266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696 434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919 491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MRPiPS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767 033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MNiSW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66 824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18 032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60 198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1 230 717</w:t>
            </w:r>
          </w:p>
        </w:tc>
      </w:tr>
    </w:tbl>
    <w:bookmarkEnd w:id="25"/>
    <w:p>
      <w:pPr>
        <w:pStyle w:val="BodyText"/>
      </w:pPr>
      <w:r>
        <w:t xml:space="preserve">Źródło: Opracowanie własne na podstawie</w:t>
      </w:r>
      <w:r>
        <w:t xml:space="preserve"> </w:t>
      </w:r>
      <w:r>
        <w:t xml:space="preserve">Główny Urząd Statystyczny (2020)</w:t>
      </w:r>
      <w:r>
        <w:t xml:space="preserve">.</w:t>
      </w:r>
    </w:p>
    <w:p>
      <w:pPr>
        <w:pStyle w:val="BodyText"/>
      </w:pPr>
      <w:r>
        <w:t xml:space="preserve">Liczba cudzoziemców zidentyfikowana między rejestrami znacząco się</w:t>
      </w:r>
      <w:r>
        <w:t xml:space="preserve"> </w:t>
      </w:r>
      <w:r>
        <w:t xml:space="preserve">różni. Liczba cudzoziemców wykazana w rejestrze PESEL jest bardzo niska</w:t>
      </w:r>
      <w:r>
        <w:t xml:space="preserve"> </w:t>
      </w:r>
      <w:r>
        <w:t xml:space="preserve">co wynika to z faktu uwzględnienia subpopulacji cudzoziemców</w:t>
      </w:r>
      <w:r>
        <w:t xml:space="preserve"> </w:t>
      </w:r>
      <w:r>
        <w:t xml:space="preserve">zameldowanych na pobyt czasowy lub stały.</w:t>
      </w:r>
    </w:p>
    <w:p>
      <w:pPr>
        <w:pStyle w:val="BodyText"/>
      </w:pPr>
      <w:r>
        <w:t xml:space="preserve">Występowanie cudzoziemców w rozważanych rejestrach przedstawiono w</w:t>
      </w:r>
      <w:r>
        <w:t xml:space="preserve"> </w:t>
      </w:r>
      <w:r>
        <w:t xml:space="preserve">tablicy</w:t>
      </w:r>
      <w:r>
        <w:t xml:space="preserve"> </w:t>
      </w:r>
      <w:hyperlink w:anchor="tbl-zbiory-2019">
        <w:r>
          <w:rPr>
            <w:rStyle w:val="Hyperlink"/>
          </w:rPr>
          <w:t xml:space="preserve">3</w:t>
        </w:r>
      </w:hyperlink>
      <w:r>
        <w:t xml:space="preserve">.</w:t>
      </w:r>
    </w:p>
    <w:bookmarkStart w:id="26" w:name="tbl-zbiory-2019"/>
    <w:p>
      <w:pPr>
        <w:pStyle w:val="TableCaption"/>
      </w:pPr>
      <w:r>
        <w:t xml:space="preserve">Tabela 3: Liczba cudzoziemców według liczby rejestrów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3: Liczba cudzoziemców według liczby rejestrów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Współwystępowanie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Liczba cudzoziemców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 1 zbiorze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988 235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 2 zbiorach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461 233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 3 zbiorach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303 767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 4 zbiorach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222 911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 5 zbiorach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111 896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 6 zbiorach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17 921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 7 zbiorach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 8 zbiorach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 9 zbiorach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6"/>
    <w:p>
      <w:pPr>
        <w:pStyle w:val="BodyText"/>
      </w:pPr>
      <w:r>
        <w:t xml:space="preserve">Źródło: Opracowanie własne na podstawie</w:t>
      </w:r>
      <w:r>
        <w:t xml:space="preserve"> </w:t>
      </w:r>
      <w:r>
        <w:t xml:space="preserve">Główny Urząd Statystyczny (2020)</w:t>
      </w:r>
      <w:r>
        <w:t xml:space="preserve">.</w:t>
      </w:r>
    </w:p>
    <w:p>
      <w:pPr>
        <w:pStyle w:val="BodyText"/>
      </w:pPr>
      <w:r>
        <w:t xml:space="preserve">Od 2019 roku sytuacja w Polsce uległa zmianie. Napaść Rosji na Ukrainę</w:t>
      </w:r>
      <w:r>
        <w:t xml:space="preserve"> </w:t>
      </w:r>
      <w:r>
        <w:t xml:space="preserve">spowodowała znaczący wzrost liczby obywateli Ukrainy (głównie kobiet</w:t>
      </w:r>
      <w:r>
        <w:t xml:space="preserve"> </w:t>
      </w:r>
      <w:r>
        <w:t xml:space="preserve">i dzieci) w Polsce.</w:t>
      </w:r>
    </w:p>
    <w:p>
      <w:pPr>
        <w:pStyle w:val="BodyText"/>
      </w:pPr>
      <w:r>
        <w:t xml:space="preserve">Rysunek</w:t>
      </w:r>
      <w:r>
        <w:t xml:space="preserve"> </w:t>
      </w:r>
      <w:hyperlink w:anchor="fig-ukr-status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przedstawia liczbę cudzoziemców posiadających</w:t>
      </w:r>
      <w:r>
        <w:t xml:space="preserve"> </w:t>
      </w:r>
      <w:r>
        <w:t xml:space="preserve">status UKR (w tys.) w okresie od 14 kwietnia 2022 do 21 lutego 2023.</w:t>
      </w:r>
      <w:r>
        <w:t xml:space="preserve"> </w:t>
      </w:r>
      <w:r>
        <w:t xml:space="preserve">Początkowa liczba wynosiła ponad 908,5 tys. a końcowa 986 tys.</w:t>
      </w:r>
      <w:r>
        <w:t xml:space="preserve"> </w:t>
      </w:r>
      <w:r>
        <w:t xml:space="preserve">W szczytowym monecie (6 października 2020) liczba osób ze statusem UKR</w:t>
      </w:r>
      <w:r>
        <w:t xml:space="preserve"> </w:t>
      </w:r>
      <w:r>
        <w:t xml:space="preserve">wynosiła blisko 1,4 mln. Gwałtowny spadek związany jest m.in.</w:t>
      </w:r>
      <w:r>
        <w:t xml:space="preserve"> </w:t>
      </w:r>
      <w:r>
        <w:t xml:space="preserve">z rozpoczęciem roku szkolnego oraz innymi przyczynami, a opóźnienie</w:t>
      </w:r>
      <w:r>
        <w:t xml:space="preserve"> </w:t>
      </w:r>
      <w:r>
        <w:t xml:space="preserve">w raportowaniu wskazuje na znaczną zmianę w październiku oraz</w:t>
      </w:r>
      <w:r>
        <w:t xml:space="preserve"> </w:t>
      </w:r>
      <w:r>
        <w:t xml:space="preserve">listopadzie. Widać także lekki wzrost liczby osób ze statusem UKR w</w:t>
      </w:r>
      <w:r>
        <w:t xml:space="preserve"> </w:t>
      </w:r>
      <w:r>
        <w:t xml:space="preserve">2023r., ale dostępne dane nie pozwalają określić, czy są to osoby nowe</w:t>
      </w:r>
      <w:r>
        <w:t xml:space="preserve"> </w:t>
      </w:r>
      <w:r>
        <w:t xml:space="preserve">czy uzyskujące status UKR po raz kolejny.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ukr-status"/>
          <w:p>
            <w:pPr>
              <w:pStyle w:val="Figure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pan-artykul_files/figure-docx/fig-ukr-status-1.jpe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Rysunek 1: Liczba obywateli Ukrainy ze statusem UKR (w tys.) w okresie od 14 kwietnia 2022 do 21 lutego 2023</w:t>
            </w:r>
          </w:p>
          <w:bookmarkEnd w:id="30"/>
        </w:tc>
      </w:tr>
    </w:tbl>
    <w:p>
      <w:pPr>
        <w:pStyle w:val="BodyText"/>
      </w:pPr>
      <w:r>
        <w:t xml:space="preserve">Źródło: Opracowanie własne na podstawie</w:t>
      </w:r>
      <w:r>
        <w:t xml:space="preserve"> </w:t>
      </w:r>
      <w:r>
        <w:t xml:space="preserve">Kancelaria Prezesa Rady Ministrów (2023)</w:t>
      </w:r>
      <w:r>
        <w:t xml:space="preserve">.</w:t>
      </w:r>
    </w:p>
    <w:p>
      <w:pPr>
        <w:pStyle w:val="BodyText"/>
      </w:pPr>
      <w:r>
        <w:t xml:space="preserve">Jeżeli rejestry administracyjne mają zastąpić spisy powszechne to ocena</w:t>
      </w:r>
      <w:r>
        <w:t xml:space="preserve"> </w:t>
      </w:r>
      <w:r>
        <w:t xml:space="preserve">ich jakości oraz integracja nie tylko z wykorzystaniem numeru PESEL jest</w:t>
      </w:r>
      <w:r>
        <w:t xml:space="preserve"> </w:t>
      </w:r>
      <w:r>
        <w:t xml:space="preserve">kluczowa. Należy jednak pamiętać, że uzyskane wyniki mogą być</w:t>
      </w:r>
      <w:r>
        <w:t xml:space="preserve"> </w:t>
      </w:r>
      <w:r>
        <w:t xml:space="preserve">porównywalne w czasie, dlatego należy również odnieść się do wyników</w:t>
      </w:r>
      <w:r>
        <w:t xml:space="preserve"> </w:t>
      </w:r>
      <w:r>
        <w:t xml:space="preserve">najnowszego spisu z marca 2021 roku.</w:t>
      </w:r>
    </w:p>
    <w:bookmarkEnd w:id="31"/>
    <w:bookmarkStart w:id="34" w:name="X597cc9c0b0ba761b457a318be131c617c53c52f"/>
    <w:p>
      <w:pPr>
        <w:pStyle w:val="Heading2"/>
      </w:pPr>
      <w:r>
        <w:t xml:space="preserve">3.2 Narodowy Spis Powszechny Ludności i Mieszkań 2021</w:t>
      </w:r>
    </w:p>
    <w:p>
      <w:pPr>
        <w:pStyle w:val="FirstParagraph"/>
      </w:pPr>
      <w:r>
        <w:t xml:space="preserve">Tablica</w:t>
      </w:r>
      <w:r>
        <w:t xml:space="preserve"> </w:t>
      </w:r>
      <w:hyperlink w:anchor="tbl-nsp-2021-results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zawiera wyniki Narodowego Spisu</w:t>
      </w:r>
      <w:r>
        <w:t xml:space="preserve"> </w:t>
      </w:r>
      <w:r>
        <w:t xml:space="preserve">Powszechnego Ludności i Mieszkań 2021 (NSP 2021) w zakresie liczby</w:t>
      </w:r>
      <w:r>
        <w:t xml:space="preserve"> </w:t>
      </w:r>
      <w:r>
        <w:t xml:space="preserve">cudzoziemców według obywatelstwa oraz długości pobytu. Kolumna</w:t>
      </w:r>
      <w:r>
        <w:t xml:space="preserve"> </w:t>
      </w:r>
      <w:r>
        <w:rPr>
          <w:iCs/>
          <w:i/>
        </w:rPr>
        <w:t xml:space="preserve">stali</w:t>
      </w:r>
      <w:r>
        <w:t xml:space="preserve"> </w:t>
      </w:r>
      <w:r>
        <w:t xml:space="preserve">odnosi się do tzw. ludności wg definicji krajowej</w:t>
      </w:r>
      <w:r>
        <w:rPr>
          <w:rStyle w:val="FootnoteReference"/>
        </w:rPr>
        <w:footnoteReference w:id="32"/>
      </w:r>
      <w:r>
        <w:t xml:space="preserve">, natomiast kolumna</w:t>
      </w:r>
      <w:r>
        <w:t xml:space="preserve"> </w:t>
      </w:r>
      <w:r>
        <w:rPr>
          <w:iCs/>
          <w:i/>
        </w:rPr>
        <w:t xml:space="preserve">stali i czasowi</w:t>
      </w:r>
      <w:r>
        <w:t xml:space="preserve"> </w:t>
      </w:r>
      <w:r>
        <w:t xml:space="preserve">odnosi się do ludności bez względu na okres</w:t>
      </w:r>
      <w:r>
        <w:t xml:space="preserve"> </w:t>
      </w:r>
      <w:r>
        <w:t xml:space="preserve">przebywania. Należy zaznaczyć, że dane zawarte w tablicy</w:t>
      </w:r>
      <w:r>
        <w:t xml:space="preserve"> </w:t>
      </w:r>
      <w:hyperlink w:anchor="tbl-nsp-2021-results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są oznaczone przez GUS jako wstępne i mogące</w:t>
      </w:r>
      <w:r>
        <w:t xml:space="preserve"> </w:t>
      </w:r>
      <w:r>
        <w:t xml:space="preserve">ulec zmianie. Zgodnie z tymi szacunkami liczba cudzoziemców w Polsce</w:t>
      </w:r>
      <w:r>
        <w:t xml:space="preserve"> </w:t>
      </w:r>
      <w:r>
        <w:t xml:space="preserve">wynosiła blisko 1,5 mln, z czego większość stanowili obywatele krajów</w:t>
      </w:r>
      <w:r>
        <w:t xml:space="preserve"> </w:t>
      </w:r>
      <w:r>
        <w:t xml:space="preserve">Europy (bez Unii Europejskiej). Niestety, w momencie przygotowywania</w:t>
      </w:r>
      <w:r>
        <w:t xml:space="preserve"> </w:t>
      </w:r>
      <w:r>
        <w:t xml:space="preserve">artykułu GUS nie udostępnił szczegółowych informacji o obywatelstwie.</w:t>
      </w:r>
      <w:r>
        <w:t xml:space="preserve"> </w:t>
      </w:r>
      <w:r>
        <w:t xml:space="preserve">Jednak można domniemywać, że większość z grupy 1,1 mln cudzoziemców</w:t>
      </w:r>
      <w:r>
        <w:t xml:space="preserve"> </w:t>
      </w:r>
      <w:r>
        <w:t xml:space="preserve">stanowią obywatele i obywatelki Ukrainy. We wszystkich przypadkach</w:t>
      </w:r>
      <w:r>
        <w:t xml:space="preserve"> </w:t>
      </w:r>
      <w:r>
        <w:t xml:space="preserve">wymienionych w tablicy</w:t>
      </w:r>
      <w:r>
        <w:t xml:space="preserve"> </w:t>
      </w:r>
      <w:hyperlink w:anchor="tbl-nsp-2021-results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relacja liczby</w:t>
      </w:r>
      <w:r>
        <w:t xml:space="preserve"> </w:t>
      </w:r>
      <w:r>
        <w:t xml:space="preserve">cudzoziemców przebywających czasowo do stałych mieszkańców była wyższa</w:t>
      </w:r>
      <w:r>
        <w:t xml:space="preserve"> </w:t>
      </w:r>
      <w:r>
        <w:t xml:space="preserve">niż 5, a w przypadku</w:t>
      </w:r>
      <w:r>
        <w:t xml:space="preserve"> </w:t>
      </w:r>
      <w:r>
        <w:rPr>
          <w:iCs/>
          <w:i/>
        </w:rPr>
        <w:t xml:space="preserve">pozostałych krajów Europy</w:t>
      </w:r>
      <w:r>
        <w:t xml:space="preserve"> </w:t>
      </w:r>
      <w:r>
        <w:t xml:space="preserve">wynosiła ponad 12.</w:t>
      </w:r>
    </w:p>
    <w:bookmarkStart w:id="33" w:name="tbl-nsp-2021-results"/>
    <w:p>
      <w:pPr>
        <w:pStyle w:val="TableCaption"/>
      </w:pPr>
      <w:r>
        <w:t xml:space="preserve">Tabela 4: Cudzoziemcy wg grup krajów obywatelstwa oraz długości pobytu według NSP 2021 (w tys., stan na 31.03.2021)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4: Cudzoziemcy wg grup krajów obywatelstwa oraz długości pobytu według NSP 2021 (w tys., stan na 31.03.2021)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obywatelstwo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stali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stali i czasowi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relacja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ogółem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111,8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1 459,2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Pozostałe kraje Europy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80,7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1 132,2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Azja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145,6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Kraje Unii Europejskiej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Afryka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Ameryka Północna i Środkowa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14,7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Ameryka Południowa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Australia i Oceania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Bezpaństwowcy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Obywatelstwo obce - kraj nieustalony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</w:tr>
    </w:tbl>
    <w:bookmarkEnd w:id="33"/>
    <w:p>
      <w:pPr>
        <w:pStyle w:val="BodyText"/>
      </w:pPr>
      <w:r>
        <w:t xml:space="preserve">Źródło: Opracowanie własne na podstawie danych NSP 2021 (dane pobrane</w:t>
      </w:r>
      <w:r>
        <w:t xml:space="preserve"> </w:t>
      </w:r>
      <w:r>
        <w:t xml:space="preserve">zgodnie ze stanem na 23.02.2023).</w:t>
      </w:r>
    </w:p>
    <w:p>
      <w:pPr>
        <w:pStyle w:val="BodyText"/>
      </w:pPr>
      <w:r>
        <w:t xml:space="preserve">Dane z NSP 2021 mogą nam ukazać pewne zależności, które występowały w</w:t>
      </w:r>
      <w:r>
        <w:t xml:space="preserve"> </w:t>
      </w:r>
      <w:r>
        <w:t xml:space="preserve">marcu 2021, ale po rozpoczęciu agresji Rosji na Ukrainę 24 lutego 2022 i</w:t>
      </w:r>
      <w:r>
        <w:t xml:space="preserve"> </w:t>
      </w:r>
      <w:r>
        <w:t xml:space="preserve">fali migracji uchodźców, liczby te zdecydowanie różnią się od bieżącej</w:t>
      </w:r>
      <w:r>
        <w:t xml:space="preserve"> </w:t>
      </w:r>
      <w:r>
        <w:t xml:space="preserve">sytuacji.</w:t>
      </w:r>
    </w:p>
    <w:bookmarkEnd w:id="34"/>
    <w:bookmarkStart w:id="44" w:name="źródła-big-data"/>
    <w:p>
      <w:pPr>
        <w:pStyle w:val="Heading2"/>
      </w:pPr>
      <w:r>
        <w:t xml:space="preserve">3.3 Źródła big data</w:t>
      </w:r>
    </w:p>
    <w:p>
      <w:pPr>
        <w:pStyle w:val="FirstParagraph"/>
      </w:pPr>
      <w:r>
        <w:t xml:space="preserve">Statystyka publiczna coraz częściej sięga po alternatywne, do rejestrów</w:t>
      </w:r>
      <w:r>
        <w:t xml:space="preserve"> </w:t>
      </w:r>
      <w:r>
        <w:t xml:space="preserve">administracyjnych, źródła danych, które można zdefiniować jako big data</w:t>
      </w:r>
      <w:r>
        <w:t xml:space="preserve"> </w:t>
      </w:r>
      <w:r>
        <w:t xml:space="preserve">(Daas i in. 2015; Tam i Clarke 2015; Beręsewicz i Szymkowiak 2015)</w:t>
      </w:r>
      <w:r>
        <w:t xml:space="preserve">. Dotyczy to głównie</w:t>
      </w:r>
      <w:r>
        <w:t xml:space="preserve"> </w:t>
      </w:r>
      <w:r>
        <w:t xml:space="preserve">wykorzystania danych pochodzących z różnych systemów informacyjnych</w:t>
      </w:r>
      <w:r>
        <w:t xml:space="preserve"> </w:t>
      </w:r>
      <w:r>
        <w:t xml:space="preserve">sieci telekomunikacyjnych, nadzoru ruchu drogowego i wodnego, czy</w:t>
      </w:r>
      <w:r>
        <w:t xml:space="preserve"> </w:t>
      </w:r>
      <w:r>
        <w:t xml:space="preserve">aktywności ludności i podmiotów gospodarczych w sieci.</w:t>
      </w:r>
    </w:p>
    <w:p>
      <w:pPr>
        <w:pStyle w:val="BodyText"/>
      </w:pPr>
      <w:r>
        <w:t xml:space="preserve">Pomimo istotnej przewagi źródeł big data nad rejestrami</w:t>
      </w:r>
      <w:r>
        <w:t xml:space="preserve"> </w:t>
      </w:r>
      <w:r>
        <w:t xml:space="preserve">administracyjnymi w kontekście aktualności i automatycznego sposobu</w:t>
      </w:r>
      <w:r>
        <w:t xml:space="preserve"> </w:t>
      </w:r>
      <w:r>
        <w:t xml:space="preserve">zbierania informacji, główne problemy z punktu widzenia estymacji</w:t>
      </w:r>
      <w:r>
        <w:t xml:space="preserve"> </w:t>
      </w:r>
      <w:r>
        <w:t xml:space="preserve">pozostają te same: błędy pokrycia oraz pomiaru. Aby móc wykorzystać te</w:t>
      </w:r>
      <w:r>
        <w:t xml:space="preserve"> </w:t>
      </w:r>
      <w:r>
        <w:t xml:space="preserve">źródła do celów statystycznych należy je skrupulatnie ocenić.</w:t>
      </w:r>
    </w:p>
    <w:p>
      <w:pPr>
        <w:pStyle w:val="BodyText"/>
      </w:pPr>
      <w:r>
        <w:t xml:space="preserve">W tej sekcji przedstawione zostaną dane pochodzące od firmy</w:t>
      </w:r>
      <w:r>
        <w:t xml:space="preserve"> </w:t>
      </w:r>
      <w:r>
        <w:t xml:space="preserve">Selectivv</w:t>
      </w:r>
      <w:r>
        <w:rPr>
          <w:rStyle w:val="FootnoteReference"/>
        </w:rPr>
        <w:footnoteReference w:id="35"/>
      </w:r>
      <w:r>
        <w:t xml:space="preserve">, która działa na polskim i międzynarodowym rynku mobilnej</w:t>
      </w:r>
      <w:r>
        <w:t xml:space="preserve"> </w:t>
      </w:r>
      <w:r>
        <w:t xml:space="preserve">reklamy internetowej tzw. reklamy programatycznej (ang.</w:t>
      </w:r>
      <w:r>
        <w:t xml:space="preserve"> </w:t>
      </w:r>
      <w:r>
        <w:rPr>
          <w:iCs/>
          <w:i/>
        </w:rPr>
        <w:t xml:space="preserve">programmatic</w:t>
      </w:r>
      <w:r>
        <w:rPr>
          <w:iCs/>
          <w:i/>
        </w:rPr>
        <w:t xml:space="preserve"> </w:t>
      </w:r>
      <w:r>
        <w:rPr>
          <w:iCs/>
          <w:i/>
        </w:rPr>
        <w:t xml:space="preserve">advertisement</w:t>
      </w:r>
      <w:r>
        <w:t xml:space="preserve">). W skrócie polega ona na dobraniu odpowiedniej</w:t>
      </w:r>
      <w:r>
        <w:t xml:space="preserve"> </w:t>
      </w:r>
      <w:r>
        <w:t xml:space="preserve">informacji dla danego użytkownika smartfona na podstawie zebranych o nim</w:t>
      </w:r>
      <w:r>
        <w:t xml:space="preserve"> </w:t>
      </w:r>
      <w:r>
        <w:t xml:space="preserve">informacji takich, jak zainstalowane aplikacje, system operacyjny, marka</w:t>
      </w:r>
      <w:r>
        <w:t xml:space="preserve"> </w:t>
      </w:r>
      <w:r>
        <w:t xml:space="preserve">smartfona, geolokalizacja czy, o ile takie informacje są dostępne, cech</w:t>
      </w:r>
      <w:r>
        <w:t xml:space="preserve"> </w:t>
      </w:r>
      <w:r>
        <w:t xml:space="preserve">społeczno-demograficznych. Firma Selectivv zbiera informacje o ponad 30</w:t>
      </w:r>
      <w:r>
        <w:t xml:space="preserve"> </w:t>
      </w:r>
      <w:r>
        <w:t xml:space="preserve">mln użytkowników smartfonów w Polsce, z czego w swojej bazie miała w</w:t>
      </w:r>
      <w:r>
        <w:t xml:space="preserve"> </w:t>
      </w:r>
      <w:r>
        <w:t xml:space="preserve">latach 2018-2021 ponad 1,2 mln ,,obywateli Ukrainy”, 50 tys. ,,obywateli</w:t>
      </w:r>
      <w:r>
        <w:t xml:space="preserve"> </w:t>
      </w:r>
      <w:r>
        <w:t xml:space="preserve">Białorusi’’ oraz blisko 200 tys. ,,obywateli Rosji”. Użycie cudzysłowu</w:t>
      </w:r>
      <w:r>
        <w:t xml:space="preserve"> </w:t>
      </w:r>
      <w:r>
        <w:t xml:space="preserve">służy podkreśleniu faktu, że informacje dotyczące obywatelstwa są</w:t>
      </w:r>
      <w:r>
        <w:t xml:space="preserve"> </w:t>
      </w:r>
      <w:r>
        <w:t xml:space="preserve">ustalane na podstawie określonych reguł decyzyjnych oraz algorytmów,</w:t>
      </w:r>
      <w:r>
        <w:t xml:space="preserve"> </w:t>
      </w:r>
      <w:r>
        <w:t xml:space="preserve">które biorą pod uwagę język systemu telefonu oraz dane geolokalizacyjne.</w:t>
      </w:r>
      <w:r>
        <w:t xml:space="preserve"> </w:t>
      </w:r>
      <w:r>
        <w:t xml:space="preserve">Dane Selectivv były wykorzystane m.in. w raporcie Unii Metropolii</w:t>
      </w:r>
      <w:r>
        <w:t xml:space="preserve"> </w:t>
      </w:r>
      <w:r>
        <w:t xml:space="preserve">Polskich</w:t>
      </w:r>
      <w:r>
        <w:t xml:space="preserve"> </w:t>
      </w:r>
      <w:r>
        <w:t xml:space="preserve">(2022)</w:t>
      </w:r>
      <w:r>
        <w:t xml:space="preserve"> </w:t>
      </w:r>
      <w:r>
        <w:t xml:space="preserve">do określenia liczby Ukraińców w marcu i maju 2022,</w:t>
      </w:r>
      <w:r>
        <w:t xml:space="preserve"> </w:t>
      </w:r>
      <w:r>
        <w:t xml:space="preserve">która wynosiła odpowiednio 3,85 i 3,37 mln osób, a w samych 12</w:t>
      </w:r>
      <w:r>
        <w:t xml:space="preserve"> </w:t>
      </w:r>
      <w:r>
        <w:t xml:space="preserve">największych polskich miastach 1,43 mln.</w:t>
      </w:r>
    </w:p>
    <w:p>
      <w:pPr>
        <w:pStyle w:val="BodyText"/>
      </w:pPr>
      <w:r>
        <w:t xml:space="preserve">Rysunek</w:t>
      </w:r>
      <w:r>
        <w:t xml:space="preserve"> </w:t>
      </w:r>
      <w:hyperlink w:anchor="fig-ukr-big-data1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przedstawia liczbę cudzoziemców określoną</w:t>
      </w:r>
      <w:r>
        <w:t xml:space="preserve"> </w:t>
      </w:r>
      <w:r>
        <w:t xml:space="preserve">na podstawie danych ze smartfonów między 2018 i 2021 rokiem, a kropka</w:t>
      </w:r>
      <w:r>
        <w:t xml:space="preserve"> </w:t>
      </w:r>
      <w:r>
        <w:t xml:space="preserve">oznacza liczbę cudzoziemców określoną na podstawie pracy metodologicznej</w:t>
      </w:r>
      <w:r>
        <w:t xml:space="preserve"> </w:t>
      </w:r>
      <w:r>
        <w:t xml:space="preserve">GUS</w:t>
      </w:r>
      <w:r>
        <w:t xml:space="preserve"> </w:t>
      </w:r>
      <w:r>
        <w:t xml:space="preserve">(Główny Urząd Statystyczny 2020)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ukr-big-data1"/>
          <w:p>
            <w:pPr>
              <w:pStyle w:val="Figure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pan-artykul_files/figure-docx/fig-ukr-big-data1-1.jpe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Rysunek 2: Liczba cudzoziemców określona na podstawie danych ze smartfonów między 2018, a 2021 rokiem</w:t>
            </w:r>
          </w:p>
          <w:bookmarkEnd w:id="39"/>
        </w:tc>
      </w:tr>
    </w:tbl>
    <w:p>
      <w:pPr>
        <w:pStyle w:val="BodyText"/>
      </w:pPr>
      <w:r>
        <w:t xml:space="preserve">Źródło: Opracowanie własne na podstawie danych Selectivv. Punkty na</w:t>
      </w:r>
      <w:r>
        <w:t xml:space="preserve"> </w:t>
      </w:r>
      <w:r>
        <w:t xml:space="preserve">wykresie przedstawiają szacunek omówiony w sekcji</w:t>
      </w:r>
      <w:r>
        <w:t xml:space="preserve"> </w:t>
      </w:r>
      <w:hyperlink w:anchor="sec-gus-rejestry">
        <w:r>
          <w:rPr>
            <w:rStyle w:val="Hyperlink"/>
          </w:rPr>
          <w:t xml:space="preserve">3.1</w:t>
        </w:r>
      </w:hyperlink>
      <w:r>
        <w:t xml:space="preserve">.</w:t>
      </w:r>
    </w:p>
    <w:p>
      <w:pPr>
        <w:pStyle w:val="BodyText"/>
      </w:pPr>
      <w:r>
        <w:t xml:space="preserve">Dane pochodzące ze smartfonów umożliwiają m.in. określenie długości</w:t>
      </w:r>
      <w:r>
        <w:t xml:space="preserve"> </w:t>
      </w:r>
      <w:r>
        <w:t xml:space="preserve">pobytu w danym miejscu na podstawie aktywności oraz geolokalizacji.</w:t>
      </w:r>
      <w:r>
        <w:t xml:space="preserve"> </w:t>
      </w:r>
      <w:r>
        <w:t xml:space="preserve">Rysunek</w:t>
      </w:r>
      <w:r>
        <w:t xml:space="preserve"> </w:t>
      </w:r>
      <w:hyperlink w:anchor="fig-ukr-big-data2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przedstawia liczbę ,,obywateli Ukrainy” na</w:t>
      </w:r>
      <w:r>
        <w:t xml:space="preserve"> </w:t>
      </w:r>
      <w:r>
        <w:t xml:space="preserve">podstawie danych ze smarfonów według długości pobytu w Poznaniu w latach</w:t>
      </w:r>
      <w:r>
        <w:t xml:space="preserve"> </w:t>
      </w:r>
      <w:r>
        <w:t xml:space="preserve">2018-2021. Według danych Selectivv w 2018 roku liczba ,,obywateli</w:t>
      </w:r>
      <w:r>
        <w:t xml:space="preserve"> </w:t>
      </w:r>
      <w:r>
        <w:t xml:space="preserve">Ukrainy” wynosiła blisko 45 tys. z czego 13 tys. przebywało od 30 do 3</w:t>
      </w:r>
      <w:r>
        <w:t xml:space="preserve"> </w:t>
      </w:r>
      <w:r>
        <w:t xml:space="preserve">miesięcy, 17 tys. od 3 miesięcy do 12, a blisko 14 tys. ponad 12</w:t>
      </w:r>
      <w:r>
        <w:t xml:space="preserve"> </w:t>
      </w:r>
      <w:r>
        <w:t xml:space="preserve">miesięcy. Liczba ta spadła w 2019 roku do 38 tys., a w kolejnych wzrosła</w:t>
      </w:r>
      <w:r>
        <w:t xml:space="preserve"> </w:t>
      </w:r>
      <w:r>
        <w:t xml:space="preserve">do blisko 51 tys. Zgodnie z tymi danymi ze smartfonów struktura pobytu</w:t>
      </w:r>
      <w:r>
        <w:t xml:space="preserve"> </w:t>
      </w:r>
      <w:r>
        <w:t xml:space="preserve">,,obywateli Ukrainy’’ była stała i wynosiła około 30% dla pobytu ponad</w:t>
      </w:r>
      <w:r>
        <w:t xml:space="preserve"> </w:t>
      </w:r>
      <w:r>
        <w:t xml:space="preserve">12 miesięcy i 60% dla pobytów krótszych.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ukr-big-data2"/>
          <w:p>
            <w:pPr>
              <w:pStyle w:val="Figure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pan-artykul_files/figure-docx/fig-ukr-big-data2-1.jpe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Rysunek 3: Liczba ,,obywateli Ukrainy’’ na podstawie danych ze smartfonów według długości pobytu w Poznaniu w latach 2018-2021</w:t>
            </w:r>
          </w:p>
          <w:bookmarkEnd w:id="43"/>
        </w:tc>
      </w:tr>
    </w:tbl>
    <w:p>
      <w:pPr>
        <w:pStyle w:val="BodyText"/>
      </w:pPr>
      <w:r>
        <w:t xml:space="preserve">Źródło: Opracowanie własne na podstawie danych Selectivv.</w:t>
      </w:r>
    </w:p>
    <w:p>
      <w:pPr>
        <w:pStyle w:val="BodyText"/>
      </w:pPr>
      <w:r>
        <w:t xml:space="preserve">Należy jednak zaznaczyć, że długość pobytu określana jest dla danego</w:t>
      </w:r>
      <w:r>
        <w:t xml:space="preserve"> </w:t>
      </w:r>
      <w:r>
        <w:t xml:space="preserve">użytkownika smartfona na podstawie unikalnych numerów reklamowych.</w:t>
      </w:r>
      <w:r>
        <w:t xml:space="preserve"> </w:t>
      </w:r>
      <w:r>
        <w:t xml:space="preserve">Oznacza to, że zmiana smartfona powoduje brak ciągłości w danych i</w:t>
      </w:r>
      <w:r>
        <w:t xml:space="preserve"> </w:t>
      </w:r>
      <w:r>
        <w:t xml:space="preserve">osoba, która przebywała ponad 12 miesięcy po zmianie telefonu może</w:t>
      </w:r>
      <w:r>
        <w:t xml:space="preserve"> </w:t>
      </w:r>
      <w:r>
        <w:t xml:space="preserve">zostać zaklasyfikowana jako migrant krótkookresowy (do 3 miesięcy).</w:t>
      </w:r>
    </w:p>
    <w:bookmarkEnd w:id="44"/>
    <w:bookmarkEnd w:id="45"/>
    <w:bookmarkStart w:id="46" w:name="podsumowanie"/>
    <w:p>
      <w:pPr>
        <w:pStyle w:val="Heading1"/>
      </w:pPr>
      <w:r>
        <w:t xml:space="preserve">4. Podsumowanie</w:t>
      </w:r>
    </w:p>
    <w:p>
      <w:pPr>
        <w:pStyle w:val="FirstParagraph"/>
      </w:pPr>
      <w:r>
        <w:t xml:space="preserve">Celem niniejszego artykułu było przedstawienie problemów związanych z</w:t>
      </w:r>
      <w:r>
        <w:t xml:space="preserve"> </w:t>
      </w:r>
      <w:r>
        <w:t xml:space="preserve">określeniem liczby cudzoziemców w Polsce w świetle istniejących źródeł</w:t>
      </w:r>
      <w:r>
        <w:t xml:space="preserve"> </w:t>
      </w:r>
      <w:r>
        <w:t xml:space="preserve">danych (statystycznych i niestatystycznych). Skupiono się na problemie</w:t>
      </w:r>
      <w:r>
        <w:t xml:space="preserve"> </w:t>
      </w:r>
      <w:r>
        <w:t xml:space="preserve">populacji cudzoziemców, która jest</w:t>
      </w:r>
      <w:r>
        <w:t xml:space="preserve"> </w:t>
      </w:r>
      <w:r>
        <w:rPr>
          <w:iCs/>
          <w:i/>
        </w:rPr>
        <w:t xml:space="preserve">populacją trudną do zbadania</w:t>
      </w:r>
      <w:r>
        <w:t xml:space="preserve">,</w:t>
      </w:r>
      <w:r>
        <w:t xml:space="preserve"> </w:t>
      </w:r>
      <w:r>
        <w:t xml:space="preserve">niewystarczająco pokrytą przez istniejące, rozproszone źródła danych w</w:t>
      </w:r>
      <w:r>
        <w:t xml:space="preserve"> </w:t>
      </w:r>
      <w:r>
        <w:t xml:space="preserve">Polsce a przez to niemożliwe jest aktualnie precyzyjne określenie jej</w:t>
      </w:r>
      <w:r>
        <w:t xml:space="preserve"> </w:t>
      </w:r>
      <w:r>
        <w:t xml:space="preserve">wielkości.</w:t>
      </w:r>
    </w:p>
    <w:p>
      <w:pPr>
        <w:pStyle w:val="BodyText"/>
      </w:pPr>
      <w:r>
        <w:t xml:space="preserve">Remedium na omawiane problemy stanowią metody</w:t>
      </w:r>
      <w:r>
        <w:t xml:space="preserve"> </w:t>
      </w:r>
      <w:r>
        <w:rPr>
          <w:iCs/>
          <w:i/>
        </w:rPr>
        <w:t xml:space="preserve">capture-recapture</w:t>
      </w:r>
      <w:r>
        <w:t xml:space="preserve">, które</w:t>
      </w:r>
      <w:r>
        <w:t xml:space="preserve"> </w:t>
      </w:r>
      <w:r>
        <w:t xml:space="preserve">wykorzystując wiele zintegrowanych źródeł danych, przy odpowiednich</w:t>
      </w:r>
      <w:r>
        <w:t xml:space="preserve"> </w:t>
      </w:r>
      <w:r>
        <w:t xml:space="preserve">założeniach, mogą dostarczyć szacunków zarówno części zarejestrowanej</w:t>
      </w:r>
      <w:r>
        <w:t xml:space="preserve"> </w:t>
      </w:r>
      <w:r>
        <w:t xml:space="preserve">jak i poza rejestrami. Należy jednak podkreślić, że jakość szacunków</w:t>
      </w:r>
      <w:r>
        <w:t xml:space="preserve"> </w:t>
      </w:r>
      <w:r>
        <w:t xml:space="preserve">zależy w głównej mierze od jakości danych oraz ich łączenia. Jest to o</w:t>
      </w:r>
      <w:r>
        <w:t xml:space="preserve"> </w:t>
      </w:r>
      <w:r>
        <w:t xml:space="preserve">tyle ważne, że nie wszyscy cudzoziemcy w Polsce posiadają numer PESEL i</w:t>
      </w:r>
      <w:r>
        <w:t xml:space="preserve"> </w:t>
      </w:r>
      <w:r>
        <w:t xml:space="preserve">łączenie wyłącznie po tym identyfikatorze może zawyżać szacunki</w:t>
      </w:r>
      <w:r>
        <w:t xml:space="preserve"> </w:t>
      </w:r>
      <w:r>
        <w:t xml:space="preserve">wielkości populacji. Prace z wykorzystaniem probabilistycznego łączenia</w:t>
      </w:r>
      <w:r>
        <w:t xml:space="preserve"> </w:t>
      </w:r>
      <w:r>
        <w:t xml:space="preserve">rekordów umożliwią połączenie większej liczby cudzoziemców między</w:t>
      </w:r>
      <w:r>
        <w:t xml:space="preserve"> </w:t>
      </w:r>
      <w:r>
        <w:t xml:space="preserve">rejestrami co przyczyni się do poprawy szacunków wielkości populacji</w:t>
      </w:r>
      <w:r>
        <w:t xml:space="preserve"> </w:t>
      </w:r>
      <w:r>
        <w:t xml:space="preserve">cudzoziemców w Polsce.</w:t>
      </w:r>
    </w:p>
    <w:bookmarkEnd w:id="46"/>
    <w:bookmarkStart w:id="47" w:name="podziękowania"/>
    <w:p>
      <w:pPr>
        <w:pStyle w:val="Heading1"/>
      </w:pPr>
      <w:r>
        <w:t xml:space="preserve">5. Podziękowania</w:t>
      </w:r>
    </w:p>
    <w:p>
      <w:pPr>
        <w:pStyle w:val="FirstParagraph"/>
      </w:pPr>
      <w:r>
        <w:t xml:space="preserve">Autor dziękuje prof. dr hab. Markowi Świtońskiemu za zaproszenie do</w:t>
      </w:r>
      <w:r>
        <w:t xml:space="preserve"> </w:t>
      </w:r>
      <w:r>
        <w:t xml:space="preserve">wygłoszenia referatu pt. ,,Ilu jest w Polsce cudzoziemców? Ujęcie</w:t>
      </w:r>
      <w:r>
        <w:t xml:space="preserve"> </w:t>
      </w:r>
      <w:r>
        <w:t xml:space="preserve">statystyczne i ekonomiczne’’ w ramach Dwugłosu Nauki ,,Migracje –</w:t>
      </w:r>
      <w:r>
        <w:t xml:space="preserve"> </w:t>
      </w:r>
      <w:r>
        <w:t xml:space="preserve">historia i teraźniejszość’’ 21.11.2022.</w:t>
      </w:r>
    </w:p>
    <w:p>
      <w:pPr>
        <w:pStyle w:val="BodyText"/>
      </w:pPr>
      <w:r>
        <w:t xml:space="preserve">Badania autora są realizowane dzięki wsparciu Narodowego Centrum Nauki</w:t>
      </w:r>
      <w:r>
        <w:t xml:space="preserve"> </w:t>
      </w:r>
      <w:r>
        <w:t xml:space="preserve">(grant NCN OPUS 20 nr 2020/39/B/HS4/00931 pt. ,,Statystyka cudzoziemców</w:t>
      </w:r>
      <w:r>
        <w:t xml:space="preserve"> </w:t>
      </w:r>
      <w:r>
        <w:t xml:space="preserve">bez spisu powszechnego – jakość, integracja danych i estymacja’’).</w:t>
      </w:r>
    </w:p>
    <w:bookmarkEnd w:id="47"/>
    <w:bookmarkStart w:id="86" w:name="literatura"/>
    <w:p>
      <w:pPr>
        <w:pStyle w:val="Heading1"/>
      </w:pPr>
      <w:r>
        <w:t xml:space="preserve">6. Literatura</w:t>
      </w:r>
    </w:p>
    <w:bookmarkStart w:id="85" w:name="refs"/>
    <w:bookmarkStart w:id="49" w:name="ref-beresewicz2019a"/>
    <w:p>
      <w:pPr>
        <w:pStyle w:val="Bibliography"/>
      </w:pPr>
      <w:r>
        <w:t xml:space="preserve">Beręsewicz, Maciej, Grzegorz Gudaszewski, i Marcin Szymkowiak. 2019.</w:t>
      </w:r>
      <w:r>
        <w:t xml:space="preserve"> </w:t>
      </w:r>
      <w:r>
        <w:t xml:space="preserve">„Estymacja liczby cudzoziemców w Polsce z wykorzystaniem metody capture-recapture”</w:t>
      </w:r>
      <w:r>
        <w:t xml:space="preserve">.</w:t>
      </w:r>
      <w:r>
        <w:t xml:space="preserve"> </w:t>
      </w:r>
      <w:r>
        <w:rPr>
          <w:iCs/>
          <w:i/>
        </w:rPr>
        <w:t xml:space="preserve">Wiadomo</w:t>
      </w:r>
      <w:r>
        <w:rPr>
          <w:iCs/>
          <w:i/>
        </w:rPr>
        <w:t xml:space="preserve">ś</w:t>
      </w:r>
      <w:r>
        <w:rPr>
          <w:iCs/>
          <w:i/>
        </w:rPr>
        <w:t xml:space="preserve">ci Statystyczne. The Polish Statistician</w:t>
      </w:r>
      <w:r>
        <w:t xml:space="preserve"> </w:t>
      </w:r>
      <w:r>
        <w:t xml:space="preserve">64 (10): 7–35.</w:t>
      </w:r>
      <w:r>
        <w:t xml:space="preserve"> </w:t>
      </w:r>
      <w:hyperlink r:id="rId48">
        <w:r>
          <w:rPr>
            <w:rStyle w:val="Hyperlink"/>
          </w:rPr>
          <w:t xml:space="preserve">https://doi.org/10.5604/01.3001.0013.7589</w:t>
        </w:r>
      </w:hyperlink>
      <w:r>
        <w:t xml:space="preserve">.</w:t>
      </w:r>
    </w:p>
    <w:bookmarkEnd w:id="49"/>
    <w:bookmarkStart w:id="50" w:name="ref-berkesewicz2015big"/>
    <w:p>
      <w:pPr>
        <w:pStyle w:val="Bibliography"/>
      </w:pPr>
      <w:r>
        <w:t xml:space="preserve">Beręsewicz, Maciej, i Marcin Szymkowiak. 2015.</w:t>
      </w:r>
      <w:r>
        <w:t xml:space="preserve"> </w:t>
      </w:r>
      <w:r>
        <w:t xml:space="preserve">„Big data w statystyce publicznej–nadzieje, osi</w:t>
      </w:r>
      <w:r>
        <w:t xml:space="preserve">ą</w:t>
      </w:r>
      <w:r>
        <w:t xml:space="preserve">gni</w:t>
      </w:r>
      <w:r>
        <w:t xml:space="preserve">ę</w:t>
      </w:r>
      <w:r>
        <w:t xml:space="preserve">cia, wyzwania i zagro</w:t>
      </w:r>
      <w:r>
        <w:t xml:space="preserve">ż</w:t>
      </w:r>
      <w:r>
        <w:t xml:space="preserve">enia”</w:t>
      </w:r>
      <w:r>
        <w:t xml:space="preserve">.</w:t>
      </w:r>
      <w:r>
        <w:t xml:space="preserve"> </w:t>
      </w:r>
      <w:r>
        <w:rPr>
          <w:iCs/>
          <w:i/>
        </w:rPr>
        <w:t xml:space="preserve">Econometrics. Ekonometria. Advances in Applied Data Analytics</w:t>
      </w:r>
      <w:r>
        <w:t xml:space="preserve"> </w:t>
      </w:r>
      <w:r>
        <w:t xml:space="preserve">2: 9–22.</w:t>
      </w:r>
    </w:p>
    <w:bookmarkEnd w:id="50"/>
    <w:bookmarkStart w:id="51" w:name="ref-bohning2018capture"/>
    <w:p>
      <w:pPr>
        <w:pStyle w:val="Bibliography"/>
      </w:pPr>
      <w:r>
        <w:t xml:space="preserve">Böhning, Dankmar, John Bunge, i Peter GM Heijden. 2018.</w:t>
      </w:r>
      <w:r>
        <w:t xml:space="preserve"> </w:t>
      </w:r>
      <w:r>
        <w:rPr>
          <w:iCs/>
          <w:i/>
        </w:rPr>
        <w:t xml:space="preserve">Capture-recapture methods for the social and medical sciences</w:t>
      </w:r>
      <w:r>
        <w:t xml:space="preserve">. CRC Press Boca Raton.</w:t>
      </w:r>
    </w:p>
    <w:bookmarkEnd w:id="51"/>
    <w:bookmarkStart w:id="52" w:name="ref-brittain2009estimators"/>
    <w:p>
      <w:pPr>
        <w:pStyle w:val="Bibliography"/>
      </w:pPr>
      <w:r>
        <w:t xml:space="preserve">Brittain, Sarah, i Dankmar Böhning. 2009.</w:t>
      </w:r>
      <w:r>
        <w:t xml:space="preserve"> </w:t>
      </w:r>
      <w:r>
        <w:t xml:space="preserve">„Estimators in capture–recapture studies with two sources”</w:t>
      </w:r>
      <w:r>
        <w:t xml:space="preserve">.</w:t>
      </w:r>
      <w:r>
        <w:t xml:space="preserve"> </w:t>
      </w:r>
      <w:r>
        <w:rPr>
          <w:iCs/>
          <w:i/>
        </w:rPr>
        <w:t xml:space="preserve">AStA Advances in Statistical Analysis</w:t>
      </w:r>
      <w:r>
        <w:t xml:space="preserve"> </w:t>
      </w:r>
      <w:r>
        <w:t xml:space="preserve">93 (1): 23–47.</w:t>
      </w:r>
    </w:p>
    <w:bookmarkEnd w:id="52"/>
    <w:bookmarkStart w:id="53" w:name="ref-Chatterjee2017"/>
    <w:p>
      <w:pPr>
        <w:pStyle w:val="Bibliography"/>
      </w:pPr>
      <w:r>
        <w:t xml:space="preserve">Chatterjee, Kiranmoy, i Prajamitra Bhuyan. 2017.</w:t>
      </w:r>
      <w:r>
        <w:t xml:space="preserve"> </w:t>
      </w:r>
      <w:r>
        <w:t xml:space="preserve">„On the estimation of population size from a post-stratified two-sample capture–recapture data under dependence”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Computation and Simulation</w:t>
      </w:r>
      <w:r>
        <w:t xml:space="preserve"> </w:t>
      </w:r>
      <w:r>
        <w:t xml:space="preserve">90: 819–38.</w:t>
      </w:r>
    </w:p>
    <w:bookmarkEnd w:id="53"/>
    <w:bookmarkStart w:id="54" w:name="ref-chatterjee2019estimation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„On the estimation of population size from a dependent triple-record system”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the Royal Statistical Society: Series A (Statistics in Society)</w:t>
      </w:r>
      <w:r>
        <w:t xml:space="preserve"> </w:t>
      </w:r>
      <w:r>
        <w:t xml:space="preserve">182 (4): 1487–1501.</w:t>
      </w:r>
    </w:p>
    <w:bookmarkEnd w:id="54"/>
    <w:bookmarkStart w:id="56" w:name="ref-chatterjee2021"/>
    <w:p>
      <w:pPr>
        <w:pStyle w:val="Bibliography"/>
      </w:pPr>
      <w:r>
        <w:t xml:space="preserve">Chatterjee, Kiranmoy, i Diganta Mukherjee. 2021.</w:t>
      </w:r>
      <w:r>
        <w:t xml:space="preserve"> </w:t>
      </w:r>
      <w:r>
        <w:t xml:space="preserve">„On the Estimation of Population Size Under Dependent Dual-Record System: An Adjusted Profile-Likelihood Approach”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Computation and Simulation</w:t>
      </w:r>
      <w:r>
        <w:t xml:space="preserve"> </w:t>
      </w:r>
      <w:r>
        <w:t xml:space="preserve">91 (13): 2740–63.</w:t>
      </w:r>
      <w:r>
        <w:t xml:space="preserve"> </w:t>
      </w:r>
      <w:hyperlink r:id="rId55">
        <w:r>
          <w:rPr>
            <w:rStyle w:val="Hyperlink"/>
          </w:rPr>
          <w:t xml:space="preserve">https://doi.org/10.1080/00949655.2021.1908284</w:t>
        </w:r>
      </w:hyperlink>
      <w:r>
        <w:t xml:space="preserve">.</w:t>
      </w:r>
    </w:p>
    <w:bookmarkEnd w:id="56"/>
    <w:bookmarkStart w:id="57" w:name="ref-daas2015big"/>
    <w:p>
      <w:pPr>
        <w:pStyle w:val="Bibliography"/>
      </w:pPr>
      <w:r>
        <w:t xml:space="preserve">Daas, Piet JH, Marco J Puts, Bart Buelens, i Paul AM van den Hurk. 2015.</w:t>
      </w:r>
      <w:r>
        <w:t xml:space="preserve"> </w:t>
      </w:r>
      <w:r>
        <w:t xml:space="preserve">„Big data as a source for official statistics”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Official Statistics</w:t>
      </w:r>
      <w:r>
        <w:t xml:space="preserve"> </w:t>
      </w:r>
      <w:r>
        <w:t xml:space="preserve">31 (2): 249–62.</w:t>
      </w:r>
    </w:p>
    <w:bookmarkEnd w:id="57"/>
    <w:bookmarkStart w:id="58" w:name="ref-di2018population"/>
    <w:p>
      <w:pPr>
        <w:pStyle w:val="Bibliography"/>
      </w:pPr>
      <w:r>
        <w:t xml:space="preserve">Di Cecco, Davide, Marco Di Zio, Danila Filipponi, i Irene Rocchetti. 2018.</w:t>
      </w:r>
      <w:r>
        <w:t xml:space="preserve"> </w:t>
      </w:r>
      <w:r>
        <w:t xml:space="preserve">„Population Size Estimation Using Multiple Incomplete Lists with Overcoverage”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Official Statistics</w:t>
      </w:r>
      <w:r>
        <w:t xml:space="preserve"> </w:t>
      </w:r>
      <w:r>
        <w:t xml:space="preserve">34 (2): 557–72.</w:t>
      </w:r>
    </w:p>
    <w:bookmarkEnd w:id="58"/>
    <w:bookmarkStart w:id="59" w:name="ref-diconsiglio2015"/>
    <w:p>
      <w:pPr>
        <w:pStyle w:val="Bibliography"/>
      </w:pPr>
      <w:r>
        <w:t xml:space="preserve">Di Consiglio, Loredana, i Tiziana Tuoto. 2015.</w:t>
      </w:r>
      <w:r>
        <w:t xml:space="preserve"> </w:t>
      </w:r>
      <w:r>
        <w:t xml:space="preserve">„Coverage evaluation on probabilistically linked data”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Official Statistics</w:t>
      </w:r>
      <w:r>
        <w:t xml:space="preserve"> </w:t>
      </w:r>
      <w:r>
        <w:t xml:space="preserve">31 (3): 415429.</w:t>
      </w:r>
    </w:p>
    <w:bookmarkEnd w:id="59"/>
    <w:bookmarkStart w:id="60" w:name="ref-di2019capture"/>
    <w:p>
      <w:pPr>
        <w:pStyle w:val="Bibliography"/>
      </w:pPr>
      <w:r>
        <w:t xml:space="preserve">Di Consiglio, Loredana, Tiziana Tuoto, i Li-Chun Zhang. 2019.</w:t>
      </w:r>
      <w:r>
        <w:t xml:space="preserve"> </w:t>
      </w:r>
      <w:r>
        <w:t xml:space="preserve">„Capture-recapture methods in the presence of linkage errors”</w:t>
      </w:r>
      <w:r>
        <w:t xml:space="preserve">. W</w:t>
      </w:r>
      <w:r>
        <w:t xml:space="preserve"> </w:t>
      </w:r>
      <w:r>
        <w:rPr>
          <w:iCs/>
          <w:i/>
        </w:rPr>
        <w:t xml:space="preserve">Analysis of Integrated Data</w:t>
      </w:r>
      <w:r>
        <w:t xml:space="preserve">, 39–71. Chapman; Hall/CRC.</w:t>
      </w:r>
    </w:p>
    <w:bookmarkEnd w:id="60"/>
    <w:bookmarkStart w:id="61" w:name="ref-ding1994"/>
    <w:p>
      <w:pPr>
        <w:pStyle w:val="Bibliography"/>
      </w:pPr>
      <w:r>
        <w:t xml:space="preserve">Ding, Y, i SE Fienberg. 1994.</w:t>
      </w:r>
      <w:r>
        <w:t xml:space="preserve"> </w:t>
      </w:r>
      <w:r>
        <w:t xml:space="preserve">„Dual system estimation of Census undercount in the presence of matching error”</w:t>
      </w:r>
      <w:r>
        <w:t xml:space="preserve">.</w:t>
      </w:r>
      <w:r>
        <w:t xml:space="preserve"> </w:t>
      </w:r>
      <w:r>
        <w:rPr>
          <w:iCs/>
          <w:i/>
        </w:rPr>
        <w:t xml:space="preserve">Survey Methodology</w:t>
      </w:r>
      <w:r>
        <w:t xml:space="preserve"> </w:t>
      </w:r>
      <w:r>
        <w:t xml:space="preserve">20 (2): 149158.</w:t>
      </w:r>
    </w:p>
    <w:bookmarkEnd w:id="61"/>
    <w:bookmarkStart w:id="62" w:name="ref-gerritse2016application"/>
    <w:p>
      <w:pPr>
        <w:pStyle w:val="Bibliography"/>
      </w:pPr>
      <w:r>
        <w:t xml:space="preserve">Gerritse, Susanna Charlotte. 2016.</w:t>
      </w:r>
      <w:r>
        <w:t xml:space="preserve"> </w:t>
      </w:r>
      <w:r>
        <w:t xml:space="preserve">„An application of population size estimation to official statistics: Sensitivity of model assumptions and the effect of implied coverage”</w:t>
      </w:r>
      <w:r>
        <w:t xml:space="preserve">. Phdthesis, Utrecht University.</w:t>
      </w:r>
    </w:p>
    <w:bookmarkEnd w:id="62"/>
    <w:bookmarkStart w:id="63" w:name="ref-gerritse2015sensitivity"/>
    <w:p>
      <w:pPr>
        <w:pStyle w:val="Bibliography"/>
      </w:pPr>
      <w:r>
        <w:t xml:space="preserve">Gerritse, Susanna C, Peter GM van der Heijden, i Bart FM Bakker. 2015.</w:t>
      </w:r>
      <w:r>
        <w:t xml:space="preserve"> </w:t>
      </w:r>
      <w:r>
        <w:t xml:space="preserve">„Sensitivity of population size estimation for violating parametric assumptions in log-linear models”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official statistics</w:t>
      </w:r>
      <w:r>
        <w:t xml:space="preserve"> </w:t>
      </w:r>
      <w:r>
        <w:t xml:space="preserve">31 (3): 357–79.</w:t>
      </w:r>
    </w:p>
    <w:bookmarkEnd w:id="63"/>
    <w:bookmarkStart w:id="65" w:name="ref-gus-met-2019"/>
    <w:p>
      <w:pPr>
        <w:pStyle w:val="Bibliography"/>
      </w:pPr>
      <w:r>
        <w:t xml:space="preserve">Główny Urząd Statystyczny. 2019.</w:t>
      </w:r>
      <w:r>
        <w:t xml:space="preserve"> </w:t>
      </w:r>
      <w:r>
        <w:t xml:space="preserve">„Cudzoziemcy na krajowym rynku pracy w ujęciu regionalnym”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https://stat.gov.pl/statystyki-eksperymentalne/kapital-ludzki/cudzoziemcy-na-krajowym-rynku-pracy-w-ujeciu-regionalnym,6,1.html</w:t>
        </w:r>
      </w:hyperlink>
      <w:r>
        <w:t xml:space="preserve">.</w:t>
      </w:r>
    </w:p>
    <w:bookmarkEnd w:id="65"/>
    <w:bookmarkStart w:id="67" w:name="ref-gus-covid-19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„Populacja cudzoziemców w Polsce w czasie COVID-19”</w:t>
      </w:r>
      <w:r>
        <w:t xml:space="preserve">.</w:t>
      </w:r>
      <w:r>
        <w:t xml:space="preserve"> </w:t>
      </w:r>
      <w:hyperlink r:id="rId66">
        <w:r>
          <w:rPr>
            <w:rStyle w:val="Hyperlink"/>
          </w:rPr>
          <w:t xml:space="preserve">https://stat.gov.pl/statystyki-eksperymentalne/kapital-ludzki/populacja-cudzoziemcow-w-polsce-w-czasie-covid-19,12,1.html</w:t>
        </w:r>
      </w:hyperlink>
      <w:r>
        <w:t xml:space="preserve">.</w:t>
      </w:r>
    </w:p>
    <w:bookmarkEnd w:id="67"/>
    <w:bookmarkStart w:id="68" w:name="ref-golata2018koniec"/>
    <w:p>
      <w:pPr>
        <w:pStyle w:val="Bibliography"/>
      </w:pPr>
      <w:r>
        <w:t xml:space="preserve">Gołata, Elżbieta. 2018.</w:t>
      </w:r>
      <w:r>
        <w:t xml:space="preserve"> </w:t>
      </w:r>
      <w:r>
        <w:rPr>
          <w:iCs/>
          <w:i/>
        </w:rPr>
        <w:t xml:space="preserve">Koniec ery tradycyjnych spis</w:t>
      </w:r>
      <w:r>
        <w:rPr>
          <w:iCs/>
          <w:i/>
        </w:rPr>
        <w:t xml:space="preserve">ó</w:t>
      </w:r>
      <w:r>
        <w:rPr>
          <w:iCs/>
          <w:i/>
        </w:rPr>
        <w:t xml:space="preserve">w ludno</w:t>
      </w:r>
      <w:r>
        <w:rPr>
          <w:iCs/>
          <w:i/>
        </w:rPr>
        <w:t xml:space="preserve">ś</w:t>
      </w:r>
      <w:r>
        <w:rPr>
          <w:iCs/>
          <w:i/>
        </w:rPr>
        <w:t xml:space="preserve">ci</w:t>
      </w:r>
      <w:r>
        <w:t xml:space="preserve">. Wydawnictwo Uniwersytetu Ekonomicznego w Poznaniu.</w:t>
      </w:r>
    </w:p>
    <w:bookmarkEnd w:id="68"/>
    <w:bookmarkStart w:id="69" w:name="ref-jozefowski2010ocena"/>
    <w:p>
      <w:pPr>
        <w:pStyle w:val="Bibliography"/>
      </w:pPr>
      <w:r>
        <w:t xml:space="preserve">Józefowski, Tomasz, i Beata Rynarzewska-Pietrzak. 2010.</w:t>
      </w:r>
      <w:r>
        <w:t xml:space="preserve"> </w:t>
      </w:r>
      <w:r>
        <w:t xml:space="preserve">„Ocena mo</w:t>
      </w:r>
      <w:r>
        <w:t xml:space="preserve">ż</w:t>
      </w:r>
      <w:r>
        <w:t xml:space="preserve">liwo</w:t>
      </w:r>
      <w:r>
        <w:t xml:space="preserve">ś</w:t>
      </w:r>
      <w:r>
        <w:t xml:space="preserve">ci wykorzystania rejestru PESEL w spisie ludno</w:t>
      </w:r>
      <w:r>
        <w:t xml:space="preserve">ś</w:t>
      </w:r>
      <w:r>
        <w:t xml:space="preserve">ci”</w:t>
      </w:r>
      <w:r>
        <w:t xml:space="preserve">.</w:t>
      </w:r>
      <w:r>
        <w:t xml:space="preserve"> </w:t>
      </w:r>
      <w:r>
        <w:rPr>
          <w:iCs/>
          <w:i/>
        </w:rPr>
        <w:t xml:space="preserve">Zeszyty Naukowe/Uniwersytet Ekonomiczny w Poznaniu</w:t>
      </w:r>
      <w:r>
        <w:t xml:space="preserve">, nr 149: 67–84.</w:t>
      </w:r>
    </w:p>
    <w:bookmarkEnd w:id="69"/>
    <w:bookmarkStart w:id="71" w:name="ref-kprm"/>
    <w:p>
      <w:pPr>
        <w:pStyle w:val="Bibliography"/>
      </w:pPr>
      <w:r>
        <w:t xml:space="preserve">Kancelaria Prezesa Rady Ministrów. 2023.</w:t>
      </w:r>
      <w:r>
        <w:t xml:space="preserve"> </w:t>
      </w:r>
      <w:r>
        <w:t xml:space="preserve">„Dane statystyczne dot. wniosków o nadanie statusu cudzoziemca UKR w związku z konfliktem na Ukrainie. Szczegółowe statystyki dot. osób zarejestrowanych w rejestrze obywateli Ukrainy i członków ich rodzin, którym nadano status cudzoziemca na podstawie specustawy. Stan na 20.02.2023 r.”</w:t>
      </w:r>
      <w:r>
        <w:t xml:space="preserve"> </w:t>
      </w:r>
      <w:hyperlink r:id="rId70">
        <w:r>
          <w:rPr>
            <w:rStyle w:val="Hyperlink"/>
          </w:rPr>
          <w:t xml:space="preserve">https://dane.gov.pl/pl/dataset/2715,zarejestrowane-wnioski-o-nadanie-statusu-ukr</w:t>
        </w:r>
      </w:hyperlink>
      <w:r>
        <w:t xml:space="preserve">.</w:t>
      </w:r>
    </w:p>
    <w:bookmarkEnd w:id="71"/>
    <w:bookmarkStart w:id="73" w:name="ref-kgsg"/>
    <w:p>
      <w:pPr>
        <w:pStyle w:val="Bibliography"/>
      </w:pPr>
      <w:r>
        <w:t xml:space="preserve">Komenda Główna Straży Granicznej. 2023.</w:t>
      </w:r>
      <w:r>
        <w:t xml:space="preserve"> </w:t>
      </w:r>
      <w:r>
        <w:t xml:space="preserve">„Dane statystyczne dotyczące sytuacji na granicy z Ukrainą. Baza ruchu granicznego (osoby, cudzoziemcy, środki transportu, wszystkie odcinki zewn. granicy) - dane za okres: styczeń - grudzień 2022 r. / dane z ZSE6 / Straż Graniczna”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https://dane.gov.pl/pl/dataset/2705,dane-statystyczne-dotyczace-sytuacji-na-granicy-z-Ukraina</w:t>
        </w:r>
      </w:hyperlink>
      <w:r>
        <w:t xml:space="preserve">.</w:t>
      </w:r>
    </w:p>
    <w:bookmarkEnd w:id="73"/>
    <w:bookmarkStart w:id="75" w:name="ref-nour1982"/>
    <w:p>
      <w:pPr>
        <w:pStyle w:val="Bibliography"/>
      </w:pPr>
      <w:r>
        <w:t xml:space="preserve">Nour, El-Sayed. 1982.</w:t>
      </w:r>
      <w:r>
        <w:t xml:space="preserve"> </w:t>
      </w:r>
      <w:r>
        <w:t xml:space="preserve">„On the Estimation of the Total Number of Vital Events with Data from Dual Collection Systems”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the Royal Statistical Society: Series A (General)</w:t>
      </w:r>
      <w:r>
        <w:t xml:space="preserve"> </w:t>
      </w:r>
      <w:r>
        <w:t xml:space="preserve">145 (1): 106–16. https://doi.org/</w:t>
      </w:r>
      <w:hyperlink r:id="rId74">
        <w:r>
          <w:rPr>
            <w:rStyle w:val="Hyperlink"/>
          </w:rPr>
          <w:t xml:space="preserve">https://doi.org/10.2307/2981424</w:t>
        </w:r>
      </w:hyperlink>
      <w:r>
        <w:t xml:space="preserve">.</w:t>
      </w:r>
    </w:p>
    <w:bookmarkEnd w:id="75"/>
    <w:bookmarkStart w:id="76" w:name="ref-tam2015big"/>
    <w:p>
      <w:pPr>
        <w:pStyle w:val="Bibliography"/>
      </w:pPr>
      <w:r>
        <w:t xml:space="preserve">Tam, Siu-Ming, i Frederic Clarke. 2015.</w:t>
      </w:r>
      <w:r>
        <w:t xml:space="preserve"> </w:t>
      </w:r>
      <w:r>
        <w:t xml:space="preserve">„Big data, official statistics and some initiatives by the Australian Bureau of Statistics”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Statistical Review</w:t>
      </w:r>
      <w:r>
        <w:t xml:space="preserve"> </w:t>
      </w:r>
      <w:r>
        <w:t xml:space="preserve">83 (3): 436–48.</w:t>
      </w:r>
    </w:p>
    <w:bookmarkEnd w:id="76"/>
    <w:bookmarkStart w:id="78" w:name="ref-ump"/>
    <w:p>
      <w:pPr>
        <w:pStyle w:val="Bibliography"/>
      </w:pPr>
      <w:r>
        <w:t xml:space="preserve">Unia Metropolii Polskich. 2022.</w:t>
      </w:r>
      <w:r>
        <w:t xml:space="preserve"> </w:t>
      </w:r>
      <w:r>
        <w:t xml:space="preserve">„3,4 mln Ukraińców w Polsce. Nowy raport Unii Metropolii Polskich”</w:t>
      </w:r>
      <w:r>
        <w:t xml:space="preserve">.</w:t>
      </w:r>
      <w:r>
        <w:t xml:space="preserve"> </w:t>
      </w:r>
      <w:hyperlink r:id="rId77">
        <w:r>
          <w:rPr>
            <w:rStyle w:val="Hyperlink"/>
          </w:rPr>
          <w:t xml:space="preserve">https://metropolie.pl/artykul/34-mln-ukraincow-w-polsce-nowy-raport-unii-metropolii-polskich-1</w:t>
        </w:r>
      </w:hyperlink>
      <w:r>
        <w:t xml:space="preserve">.</w:t>
      </w:r>
    </w:p>
    <w:bookmarkEnd w:id="78"/>
    <w:bookmarkStart w:id="79" w:name="ref-wallgren2014register"/>
    <w:p>
      <w:pPr>
        <w:pStyle w:val="Bibliography"/>
      </w:pPr>
      <w:r>
        <w:t xml:space="preserve">Wallgren, Britt, i Anders Wallgren. 2014.</w:t>
      </w:r>
      <w:r>
        <w:t xml:space="preserve"> </w:t>
      </w:r>
      <w:r>
        <w:rPr>
          <w:iCs/>
          <w:i/>
        </w:rPr>
        <w:t xml:space="preserve">Register-based Statistics: statistical methods for administrative data</w:t>
      </w:r>
      <w:r>
        <w:t xml:space="preserve">. John Wiley &amp; Sons.</w:t>
      </w:r>
    </w:p>
    <w:bookmarkEnd w:id="79"/>
    <w:bookmarkStart w:id="80" w:name="ref-wolter1986some"/>
    <w:p>
      <w:pPr>
        <w:pStyle w:val="Bibliography"/>
      </w:pPr>
      <w:r>
        <w:t xml:space="preserve">Wolter, Kirk M. 1986.</w:t>
      </w:r>
      <w:r>
        <w:t xml:space="preserve"> </w:t>
      </w:r>
      <w:r>
        <w:t xml:space="preserve">„Some coverage error models for census data”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the American Statistical Association</w:t>
      </w:r>
      <w:r>
        <w:t xml:space="preserve"> </w:t>
      </w:r>
      <w:r>
        <w:t xml:space="preserve">81 (394): 337–46.</w:t>
      </w:r>
    </w:p>
    <w:bookmarkEnd w:id="80"/>
    <w:bookmarkStart w:id="81" w:name="ref-Zhang2019"/>
    <w:p>
      <w:pPr>
        <w:pStyle w:val="Bibliography"/>
      </w:pPr>
      <w:r>
        <w:t xml:space="preserve">Zhang, Li-chun. 2019.</w:t>
      </w:r>
      <w:r>
        <w:t xml:space="preserve"> </w:t>
      </w:r>
      <w:r>
        <w:t xml:space="preserve">„</w:t>
      </w:r>
      <w:r>
        <w:t xml:space="preserve">A Note on Dual System Population Size Estimator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Official Statistics</w:t>
      </w:r>
      <w:r>
        <w:t xml:space="preserve"> </w:t>
      </w:r>
      <w:r>
        <w:t xml:space="preserve">35 (1): 279–83.</w:t>
      </w:r>
    </w:p>
    <w:bookmarkEnd w:id="81"/>
    <w:bookmarkStart w:id="83" w:name="ref-analysis2019"/>
    <w:p>
      <w:pPr>
        <w:pStyle w:val="Bibliography"/>
      </w:pPr>
      <w:r>
        <w:t xml:space="preserve">Zhang, Li-Chun, i Raymond L. Chambers, red. 2019.</w:t>
      </w:r>
      <w:r>
        <w:t xml:space="preserve"> </w:t>
      </w:r>
      <w:r>
        <w:rPr>
          <w:iCs/>
          <w:i/>
        </w:rPr>
        <w:t xml:space="preserve">Analysis of Integrated Data</w:t>
      </w:r>
      <w:r>
        <w:t xml:space="preserve">. Chapman; Hall/CRC.</w:t>
      </w:r>
      <w:r>
        <w:t xml:space="preserve"> </w:t>
      </w:r>
      <w:hyperlink r:id="rId82">
        <w:r>
          <w:rPr>
            <w:rStyle w:val="Hyperlink"/>
          </w:rPr>
          <w:t xml:space="preserve">https://doi.org/10.1201/9781315120416</w:t>
        </w:r>
      </w:hyperlink>
      <w:r>
        <w:t xml:space="preserve">.</w:t>
      </w:r>
    </w:p>
    <w:bookmarkEnd w:id="83"/>
    <w:bookmarkStart w:id="84" w:name="ref-zhang2017trimmed"/>
    <w:p>
      <w:pPr>
        <w:pStyle w:val="Bibliography"/>
      </w:pPr>
      <w:r>
        <w:t xml:space="preserve">Zhang, Li-Chun, i John Dunne. 2017.</w:t>
      </w:r>
      <w:r>
        <w:t xml:space="preserve"> </w:t>
      </w:r>
      <w:r>
        <w:t xml:space="preserve">„Trimmed dual system estimation”</w:t>
      </w:r>
      <w:r>
        <w:t xml:space="preserve">.</w:t>
      </w:r>
      <w:r>
        <w:t xml:space="preserve"> </w:t>
      </w:r>
      <w:r>
        <w:rPr>
          <w:iCs/>
          <w:i/>
        </w:rPr>
        <w:t xml:space="preserve">Capture-recapture methods for the social and medical sciences</w:t>
      </w:r>
      <w:r>
        <w:t xml:space="preserve">, 237–57.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Ludność według definicji krajowej – stali mieszkańcy Polski - w</w:t>
      </w:r>
      <w:r>
        <w:t xml:space="preserve"> </w:t>
      </w:r>
      <w:r>
        <w:t xml:space="preserve">tym osoby, które przebywają czasowo za granicą (bez względu na okres</w:t>
      </w:r>
      <w:r>
        <w:t xml:space="preserve"> </w:t>
      </w:r>
      <w:r>
        <w:t xml:space="preserve">przebywania), ale zachowały stałe zameldowanie w Polsce. Do ludności</w:t>
      </w:r>
      <w:r>
        <w:t xml:space="preserve"> </w:t>
      </w:r>
      <w:r>
        <w:t xml:space="preserve">nie są natomiast zaliczani imigranci przebywający w Polsce czasowo.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https://selectivv.com/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l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27" Target="media/rId27.jpg" /><Relationship Type="http://schemas.openxmlformats.org/officeDocument/2006/relationships/hyperlink" Id="rId72" Target="https://dane.gov.pl/pl/dataset/2705,dane-statystyczne-dotyczace-sytuacji-na-granicy-z-Ukraina" TargetMode="External" /><Relationship Type="http://schemas.openxmlformats.org/officeDocument/2006/relationships/hyperlink" Id="rId70" Target="https://dane.gov.pl/pl/dataset/2715,zarejestrowane-wnioski-o-nadanie-statusu-ukr" TargetMode="External" /><Relationship Type="http://schemas.openxmlformats.org/officeDocument/2006/relationships/hyperlink" Id="rId55" Target="https://doi.org/10.1080/00949655.2021.1908284" TargetMode="External" /><Relationship Type="http://schemas.openxmlformats.org/officeDocument/2006/relationships/hyperlink" Id="rId82" Target="https://doi.org/10.1201/9781315120416" TargetMode="External" /><Relationship Type="http://schemas.openxmlformats.org/officeDocument/2006/relationships/hyperlink" Id="rId74" Target="https://doi.org/10.2307/2981424" TargetMode="External" /><Relationship Type="http://schemas.openxmlformats.org/officeDocument/2006/relationships/hyperlink" Id="rId48" Target="https://doi.org/10.5604/01.3001.0013.7589" TargetMode="External" /><Relationship Type="http://schemas.openxmlformats.org/officeDocument/2006/relationships/hyperlink" Id="rId77" Target="https://metropolie.pl/artykul/34-mln-ukraincow-w-polsce-nowy-raport-unii-metropolii-polskich-1" TargetMode="External" /><Relationship Type="http://schemas.openxmlformats.org/officeDocument/2006/relationships/hyperlink" Id="rId64" Target="https://stat.gov.pl/statystyki-eksperymentalne/kapital-ludzki/cudzoziemcy-na-krajowym-rynku-pracy-w-ujeciu-regionalnym,6,1.html" TargetMode="External" /><Relationship Type="http://schemas.openxmlformats.org/officeDocument/2006/relationships/hyperlink" Id="rId66" Target="https://stat.gov.pl/statystyki-eksperymentalne/kapital-ludzki/populacja-cudzoziemcow-w-polsce-w-czasie-covid-19,12,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dane.gov.pl/pl/dataset/2705,dane-statystyczne-dotyczace-sytuacji-na-granicy-z-Ukraina" TargetMode="External" /><Relationship Type="http://schemas.openxmlformats.org/officeDocument/2006/relationships/hyperlink" Id="rId70" Target="https://dane.gov.pl/pl/dataset/2715,zarejestrowane-wnioski-o-nadanie-statusu-ukr" TargetMode="External" /><Relationship Type="http://schemas.openxmlformats.org/officeDocument/2006/relationships/hyperlink" Id="rId55" Target="https://doi.org/10.1080/00949655.2021.1908284" TargetMode="External" /><Relationship Type="http://schemas.openxmlformats.org/officeDocument/2006/relationships/hyperlink" Id="rId82" Target="https://doi.org/10.1201/9781315120416" TargetMode="External" /><Relationship Type="http://schemas.openxmlformats.org/officeDocument/2006/relationships/hyperlink" Id="rId74" Target="https://doi.org/10.2307/2981424" TargetMode="External" /><Relationship Type="http://schemas.openxmlformats.org/officeDocument/2006/relationships/hyperlink" Id="rId48" Target="https://doi.org/10.5604/01.3001.0013.7589" TargetMode="External" /><Relationship Type="http://schemas.openxmlformats.org/officeDocument/2006/relationships/hyperlink" Id="rId77" Target="https://metropolie.pl/artykul/34-mln-ukraincow-w-polsce-nowy-raport-unii-metropolii-polskich-1" TargetMode="External" /><Relationship Type="http://schemas.openxmlformats.org/officeDocument/2006/relationships/hyperlink" Id="rId64" Target="https://stat.gov.pl/statystyki-eksperymentalne/kapital-ludzki/cudzoziemcy-na-krajowym-rynku-pracy-w-ujeciu-regionalnym,6,1.html" TargetMode="External" /><Relationship Type="http://schemas.openxmlformats.org/officeDocument/2006/relationships/hyperlink" Id="rId66" Target="https://stat.gov.pl/statystyki-eksperymentalne/kapital-ludzki/populacja-cudzoziemcow-w-polsce-w-czasie-covid-19,12,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 jest w Polsce cudzoziemców? Ujęcie statystyczne i ekonomiczne</dc:title>
  <dc:creator>Dr Maciej Beręsewicz, prof. UEP</dc:creator>
  <dc:language>pl</dc:language>
  <cp:keywords/>
  <dcterms:created xsi:type="dcterms:W3CDTF">2023-02-26T23:08:02Z</dcterms:created>
  <dcterms:modified xsi:type="dcterms:W3CDTF">2023-02-26T23:08:02Z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atexop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sl">
    <vt:lpwstr>chicago-author-date.csl</vt:lpwstr>
  </property>
  <property fmtid="{D5CDD505-2E9C-101B-9397-08002B2CF9AE}" pid="8" name="editor">
    <vt:lpwstr>visual</vt:lpwstr>
  </property>
  <property fmtid="{D5CDD505-2E9C-101B-9397-08002B2CF9AE}" pid="9" name="execute">
    <vt:lpwstr/>
  </property>
  <property fmtid="{D5CDD505-2E9C-101B-9397-08002B2CF9AE}" pid="10" name="fig-cap-location">
    <vt:lpwstr>bottom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Spis treści</vt:lpwstr>
  </property>
</Properties>
</file>